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480" w:lineRule="auto"/>
        <w:jc w:val="center"/>
        <w:rPr>
          <w:rFonts w:ascii="Times New Roman" w:hAnsi="Times New Roman" w:cs="Times New Roman"/>
          <w:b/>
          <w:bCs/>
        </w:rPr>
      </w:pPr>
    </w:p>
    <w:p w14:paraId="5B165C17">
      <w:pPr>
        <w:spacing w:line="480" w:lineRule="auto"/>
        <w:jc w:val="center"/>
        <w:rPr>
          <w:rFonts w:ascii="Times New Roman" w:hAnsi="Times New Roman" w:cs="Times New Roman"/>
          <w:b/>
          <w:bCs/>
        </w:rPr>
      </w:pPr>
    </w:p>
    <w:p w14:paraId="5FC59F26">
      <w:pPr>
        <w:spacing w:line="480" w:lineRule="auto"/>
        <w:jc w:val="center"/>
        <w:rPr>
          <w:rFonts w:ascii="Times New Roman" w:hAnsi="Times New Roman" w:cs="Times New Roman"/>
          <w:b/>
          <w:bCs/>
        </w:rPr>
      </w:pPr>
    </w:p>
    <w:p w14:paraId="269FBBCF">
      <w:pPr>
        <w:spacing w:line="480" w:lineRule="auto"/>
        <w:jc w:val="center"/>
        <w:rPr>
          <w:rFonts w:ascii="Times New Roman" w:hAnsi="Times New Roman" w:cs="Times New Roman"/>
          <w:b/>
          <w:bCs/>
        </w:rPr>
      </w:pPr>
    </w:p>
    <w:p w14:paraId="78A43828">
      <w:pPr>
        <w:spacing w:line="480" w:lineRule="auto"/>
        <w:jc w:val="center"/>
        <w:rPr>
          <w:rFonts w:ascii="Times New Roman" w:hAnsi="Times New Roman" w:cs="Times New Roman"/>
          <w:b/>
          <w:bCs/>
        </w:rPr>
      </w:pPr>
    </w:p>
    <w:p w14:paraId="791A8A09">
      <w:pPr>
        <w:spacing w:line="480" w:lineRule="auto"/>
        <w:jc w:val="center"/>
        <w:rPr>
          <w:rFonts w:ascii="Times New Roman" w:hAnsi="Times New Roman" w:cs="Times New Roman"/>
          <w:b/>
          <w:bCs/>
        </w:rPr>
      </w:pPr>
    </w:p>
    <w:p w14:paraId="57FB67FF">
      <w:pPr>
        <w:spacing w:line="480" w:lineRule="auto"/>
        <w:jc w:val="center"/>
        <w:rPr>
          <w:rFonts w:ascii="Times New Roman" w:hAnsi="Times New Roman" w:cs="Times New Roman"/>
          <w:b/>
          <w:bCs/>
        </w:rPr>
      </w:pPr>
    </w:p>
    <w:p w14:paraId="177FFCC7">
      <w:pPr>
        <w:spacing w:line="480" w:lineRule="auto"/>
        <w:jc w:val="center"/>
        <w:rPr>
          <w:rFonts w:ascii="Times New Roman" w:hAnsi="Times New Roman" w:cs="Times New Roman"/>
          <w:b/>
          <w:bCs/>
        </w:rPr>
      </w:pPr>
    </w:p>
    <w:p w14:paraId="00000002">
      <w:pPr>
        <w:spacing w:line="480" w:lineRule="auto"/>
        <w:jc w:val="center"/>
        <w:rPr>
          <w:rFonts w:ascii="Times New Roman" w:hAnsi="Times New Roman" w:cs="Times New Roman"/>
          <w:b/>
          <w:bCs/>
        </w:rPr>
      </w:pPr>
      <w:r>
        <w:rPr>
          <w:rFonts w:ascii="Times New Roman" w:hAnsi="Times New Roman" w:cs="Times New Roman"/>
          <w:b/>
          <w:bCs/>
        </w:rPr>
        <w:t>The Monitor You Cannot See</w:t>
      </w:r>
    </w:p>
    <w:p w14:paraId="00000003">
      <w:pPr>
        <w:spacing w:line="480" w:lineRule="auto"/>
        <w:jc w:val="center"/>
        <w:rPr>
          <w:rFonts w:ascii="Times New Roman" w:hAnsi="Times New Roman" w:cs="Times New Roman"/>
        </w:rPr>
      </w:pPr>
      <w:r>
        <w:rPr>
          <w:rFonts w:ascii="Times New Roman" w:hAnsi="Times New Roman" w:cs="Times New Roman"/>
          <w:b/>
          <w:bCs/>
        </w:rPr>
        <w:t>Cognitive Offloading, Metacognition, and</w:t>
      </w:r>
    </w:p>
    <w:p w14:paraId="00000006">
      <w:pPr>
        <w:spacing w:line="480" w:lineRule="auto"/>
        <w:jc w:val="center"/>
        <w:rPr>
          <w:rFonts w:ascii="Times New Roman" w:hAnsi="Times New Roman" w:cs="Times New Roman"/>
          <w:b/>
          <w:bCs/>
        </w:rPr>
      </w:pPr>
      <w:r>
        <w:rPr>
          <w:rFonts w:ascii="Times New Roman" w:hAnsi="Times New Roman" w:cs="Times New Roman"/>
          <w:b/>
          <w:bCs/>
        </w:rPr>
        <w:t>the Student’s Unfinished Mind</w:t>
      </w:r>
    </w:p>
    <w:p w14:paraId="60739271">
      <w:pPr>
        <w:spacing w:line="480" w:lineRule="auto"/>
        <w:jc w:val="center"/>
        <w:rPr>
          <w:rFonts w:ascii="Times New Roman" w:hAnsi="Times New Roman" w:cs="Times New Roman"/>
          <w:b/>
          <w:bCs/>
        </w:rPr>
      </w:pPr>
    </w:p>
    <w:p w14:paraId="00000007">
      <w:pPr>
        <w:spacing w:line="480" w:lineRule="auto"/>
        <w:jc w:val="center"/>
        <w:rPr>
          <w:rFonts w:ascii="Times New Roman" w:hAnsi="Times New Roman" w:cs="Times New Roman"/>
          <w:b/>
          <w:bCs/>
        </w:rPr>
      </w:pPr>
      <w:r>
        <w:rPr>
          <w:rFonts w:ascii="Times New Roman" w:hAnsi="Times New Roman" w:cs="Times New Roman"/>
          <w:b/>
          <w:bCs/>
        </w:rPr>
        <w:t>Yiran Zhu</w:t>
      </w:r>
    </w:p>
    <w:p w14:paraId="61745561">
      <w:pPr>
        <w:spacing w:line="480" w:lineRule="auto"/>
        <w:jc w:val="center"/>
        <w:rPr>
          <w:rFonts w:hint="eastAsia" w:ascii="Times New Roman" w:hAnsi="Times New Roman" w:cs="Times New Roman"/>
          <w:b w:val="0"/>
          <w:bCs w:val="0"/>
        </w:rPr>
      </w:pPr>
      <w:r>
        <w:rPr>
          <w:rFonts w:hint="eastAsia" w:ascii="Times New Roman" w:hAnsi="Times New Roman" w:cs="Times New Roman"/>
          <w:b w:val="0"/>
          <w:bCs w:val="0"/>
        </w:rPr>
        <w:t>Shanghai Starriver Bilingual School</w:t>
      </w:r>
    </w:p>
    <w:p w14:paraId="30B86483">
      <w:pPr>
        <w:spacing w:line="480" w:lineRule="auto"/>
        <w:jc w:val="center"/>
        <w:rPr>
          <w:rFonts w:hint="eastAsia" w:ascii="Times New Roman" w:hAnsi="Times New Roman" w:cs="Times New Roman"/>
          <w:b w:val="0"/>
          <w:bCs w:val="0"/>
        </w:rPr>
      </w:pPr>
      <w:r>
        <w:rPr>
          <w:rFonts w:hint="eastAsia" w:ascii="Times New Roman" w:hAnsi="Times New Roman" w:cs="Times New Roman"/>
          <w:b w:val="0"/>
          <w:bCs w:val="0"/>
        </w:rPr>
        <w:t>zyr2025sum@163.com</w:t>
      </w:r>
    </w:p>
    <w:p w14:paraId="00000008">
      <w:pPr>
        <w:spacing w:line="480" w:lineRule="auto"/>
        <w:jc w:val="both"/>
        <w:rPr>
          <w:rFonts w:ascii="Times New Roman" w:hAnsi="Times New Roman" w:cs="Times New Roman"/>
          <w:b/>
          <w:bCs/>
        </w:rPr>
      </w:pPr>
    </w:p>
    <w:p w14:paraId="00000009">
      <w:pPr>
        <w:spacing w:line="480" w:lineRule="auto"/>
        <w:jc w:val="both"/>
        <w:rPr>
          <w:rFonts w:ascii="Times New Roman" w:hAnsi="Times New Roman" w:cs="Times New Roman"/>
          <w:b/>
          <w:bCs/>
        </w:rPr>
      </w:pPr>
    </w:p>
    <w:p w14:paraId="0000000A">
      <w:pPr>
        <w:spacing w:line="480" w:lineRule="auto"/>
        <w:jc w:val="both"/>
        <w:rPr>
          <w:rFonts w:ascii="Times New Roman" w:hAnsi="Times New Roman" w:cs="Times New Roman"/>
          <w:b/>
          <w:bCs/>
        </w:rPr>
      </w:pPr>
    </w:p>
    <w:p w14:paraId="0000000B">
      <w:pPr>
        <w:spacing w:line="480" w:lineRule="auto"/>
        <w:jc w:val="both"/>
        <w:rPr>
          <w:rFonts w:ascii="Times New Roman" w:hAnsi="Times New Roman" w:cs="Times New Roman"/>
          <w:b/>
          <w:bCs/>
        </w:rPr>
      </w:pPr>
      <w:bookmarkStart w:id="0" w:name="_GoBack"/>
      <w:bookmarkEnd w:id="0"/>
    </w:p>
    <w:p w14:paraId="0000000C">
      <w:pPr>
        <w:spacing w:line="480" w:lineRule="auto"/>
        <w:ind w:left="3600" w:firstLine="720"/>
        <w:jc w:val="both"/>
        <w:rPr>
          <w:rFonts w:ascii="Times New Roman" w:hAnsi="Times New Roman" w:cs="Times New Roman"/>
          <w:b/>
          <w:bCs/>
        </w:rPr>
      </w:pPr>
    </w:p>
    <w:p w14:paraId="0000000D">
      <w:pPr>
        <w:spacing w:line="480" w:lineRule="auto"/>
        <w:ind w:left="3600" w:firstLine="720"/>
        <w:jc w:val="both"/>
        <w:rPr>
          <w:rFonts w:ascii="Times New Roman" w:hAnsi="Times New Roman" w:cs="Times New Roman"/>
          <w:b/>
          <w:bCs/>
        </w:rPr>
      </w:pPr>
    </w:p>
    <w:p w14:paraId="0DEF17EE">
      <w:pPr>
        <w:spacing w:line="480" w:lineRule="auto"/>
        <w:jc w:val="both"/>
        <w:rPr>
          <w:rFonts w:ascii="Times New Roman" w:hAnsi="Times New Roman" w:cs="Times New Roman"/>
          <w:b/>
          <w:bCs/>
        </w:rPr>
      </w:pPr>
      <w:r>
        <w:rPr>
          <w:rFonts w:ascii="Times New Roman" w:hAnsi="Times New Roman" w:cs="Times New Roman"/>
          <w:b/>
          <w:bCs/>
        </w:rPr>
        <w:br w:type="page"/>
      </w:r>
    </w:p>
    <w:p w14:paraId="00000010">
      <w:pPr>
        <w:spacing w:line="480" w:lineRule="auto"/>
        <w:jc w:val="both"/>
        <w:rPr>
          <w:rFonts w:ascii="Times New Roman" w:hAnsi="Times New Roman" w:cs="Times New Roman"/>
        </w:rPr>
      </w:pPr>
      <w:r>
        <w:rPr>
          <w:rFonts w:ascii="Times New Roman" w:hAnsi="Times New Roman" w:cs="Times New Roman"/>
          <w:b/>
          <w:bCs/>
        </w:rPr>
        <w:t>Abstract</w:t>
      </w:r>
    </w:p>
    <w:p w14:paraId="00000015">
      <w:pPr>
        <w:spacing w:line="480" w:lineRule="auto"/>
        <w:jc w:val="both"/>
        <w:rPr>
          <w:rFonts w:ascii="Times New Roman" w:hAnsi="Times New Roman" w:cs="Times New Roman"/>
        </w:rPr>
      </w:pPr>
      <w:r>
        <w:rPr>
          <w:rFonts w:ascii="Times New Roman" w:hAnsi="Times New Roman" w:cs="Times New Roman"/>
        </w:rPr>
        <w:t>Generative AI has only been around for three years but is already a standard feature of the majority of student work in the UK. Undergraduate students’ usage has shot up to near-universal level: 66% to 95% between 2024 and 2026. This piece questions a line of thinking that has emerged faster than it should have: is giving thinking to a machine the same kind of cognitive offloading that human beings resort to time and again, or is this altogether a different thing?</w:t>
      </w:r>
      <w:r>
        <w:rPr>
          <w:rFonts w:hint="eastAsia" w:ascii="Times New Roman" w:hAnsi="Times New Roman" w:cs="Times New Roman"/>
          <w:lang w:val="en-US" w:eastAsia="zh-CN"/>
        </w:rPr>
        <w:t xml:space="preserve"> </w:t>
      </w:r>
      <w:r>
        <w:rPr>
          <w:rFonts w:ascii="Times New Roman" w:hAnsi="Times New Roman" w:cs="Times New Roman"/>
        </w:rPr>
        <w:t>By drawing on Risko and Gilbert’s (2016) idea of offloading, they argue only works as long as the offloader’s selfassessment of their own ability remains accurate, the authors of this paper develop a tool. Through experiments with navigation, search and generative AI, we observed that the action of offloading did not change, but what is being transferred did change. Instead of handing over just part of the thought process, students end up handing over the very thing that monitored whether the thought was good or not. Hence, the danger is not the tool itself but when this happens, as the very delegation that enables a master to delegate, will limit the learner whose internal guide develops fully. Since Bastani et al. (2025) showed that by employing a well-designed tutor, every gain could be preserved without any loss happening, then this damage can be attributed to the way the tool is constructed.</w:t>
      </w:r>
      <w:r>
        <w:rPr>
          <w:rFonts w:hint="eastAsia" w:ascii="Times New Roman" w:hAnsi="Times New Roman" w:cs="Times New Roman"/>
          <w:lang w:val="en-US" w:eastAsia="zh-CN"/>
        </w:rPr>
        <w:t xml:space="preserve"> </w:t>
      </w:r>
      <w:r>
        <w:rPr>
          <w:rFonts w:ascii="Times New Roman" w:hAnsi="Times New Roman" w:cs="Times New Roman"/>
        </w:rPr>
        <w:t>The essay recommends Commit-Before-Consult which is a minimal-risk way of tuning up and explains it.</w:t>
      </w:r>
    </w:p>
    <w:p w14:paraId="00000016">
      <w:pPr>
        <w:spacing w:line="480" w:lineRule="auto"/>
        <w:jc w:val="both"/>
        <w:rPr>
          <w:rFonts w:ascii="Times New Roman" w:hAnsi="Times New Roman" w:cs="Times New Roman"/>
        </w:rPr>
      </w:pPr>
    </w:p>
    <w:p w14:paraId="00000017">
      <w:pPr>
        <w:spacing w:line="480" w:lineRule="auto"/>
        <w:jc w:val="both"/>
        <w:rPr>
          <w:rFonts w:ascii="Times New Roman" w:hAnsi="Times New Roman" w:cs="Times New Roman"/>
        </w:rPr>
      </w:pPr>
    </w:p>
    <w:p w14:paraId="0CA6E0E7">
      <w:pPr>
        <w:spacing w:line="480" w:lineRule="auto"/>
        <w:rPr>
          <w:rFonts w:ascii="Times New Roman" w:hAnsi="Times New Roman" w:cs="Times New Roman"/>
        </w:rPr>
      </w:pPr>
      <w:r>
        <w:rPr>
          <w:rFonts w:ascii="Times New Roman" w:hAnsi="Times New Roman" w:cs="Times New Roman"/>
        </w:rPr>
        <w:br w:type="page"/>
      </w:r>
    </w:p>
    <w:p w14:paraId="0000001A">
      <w:pPr>
        <w:spacing w:line="480" w:lineRule="auto"/>
        <w:jc w:val="both"/>
        <w:rPr>
          <w:rFonts w:ascii="Times New Roman" w:hAnsi="Times New Roman" w:cs="Times New Roman"/>
        </w:rPr>
      </w:pPr>
      <w:r>
        <w:rPr>
          <w:rFonts w:ascii="Times New Roman" w:hAnsi="Times New Roman" w:cs="Times New Roman"/>
          <w:b/>
          <w:bCs/>
        </w:rPr>
        <w:t>Introduction</w:t>
      </w:r>
    </w:p>
    <w:p w14:paraId="0000001B">
      <w:pPr>
        <w:spacing w:line="480" w:lineRule="auto"/>
        <w:jc w:val="both"/>
        <w:rPr>
          <w:rFonts w:ascii="Times New Roman" w:hAnsi="Times New Roman" w:cs="Times New Roman"/>
        </w:rPr>
      </w:pPr>
      <w:r>
        <w:rPr>
          <w:rFonts w:ascii="Times New Roman" w:hAnsi="Times New Roman" w:cs="Times New Roman"/>
        </w:rPr>
        <w:t>About a thousand young people in Turkey used artificial intelligence to study and prepare mathematics homework. Their scores improved by 48% when they used a chatbot and by 127% with a purpose-assigned tutor. However, when the AI was turned off before a test, the chatbot scored 17% lower than non-users (Bastani et al., 2025). Both discoveries may be facts, but nothing in the students' lives would have told them this. That ignorance is where this essay starts.</w:t>
      </w:r>
    </w:p>
    <w:p w14:paraId="0000001C">
      <w:pPr>
        <w:spacing w:line="480" w:lineRule="auto"/>
        <w:jc w:val="both"/>
        <w:rPr>
          <w:rFonts w:ascii="Times New Roman" w:hAnsi="Times New Roman" w:cs="Times New Roman"/>
        </w:rPr>
      </w:pPr>
    </w:p>
    <w:p w14:paraId="0000001D">
      <w:pPr>
        <w:spacing w:line="480" w:lineRule="auto"/>
        <w:jc w:val="both"/>
        <w:rPr>
          <w:rFonts w:ascii="Times New Roman" w:hAnsi="Times New Roman" w:cs="Times New Roman"/>
        </w:rPr>
      </w:pPr>
      <w:r>
        <w:rPr>
          <w:rFonts w:ascii="Times New Roman" w:hAnsi="Times New Roman" w:cs="Times New Roman"/>
        </w:rPr>
        <w:t>The issue isn’t a hypothetical or a marginal one. UK undergraduates’ use of AI rose from 66% in 2024 to 95% in 2026, with 94% of them using AI in their assessed work (Stephenson &amp; Armstrong, 2026). Yet the discussion usually rests on two basic assumptions: that AI is just like offloading some cognitive tasks onto a paper notebook, or that AI is fundamentally different because it can think. Neither of them accounts for the data. Hence, this essay puts forth a standard for evaluating whether AI handing over tasks to humans is a change of type, and then illustrates it through several examples, referring back to the Turkish students repeatedly as they best reflect that mystery: gain, loss, and unawareness.</w:t>
      </w:r>
    </w:p>
    <w:p w14:paraId="0000001E">
      <w:pPr>
        <w:spacing w:line="480" w:lineRule="auto"/>
        <w:jc w:val="both"/>
        <w:rPr>
          <w:rFonts w:ascii="Times New Roman" w:hAnsi="Times New Roman" w:cs="Times New Roman"/>
        </w:rPr>
      </w:pPr>
    </w:p>
    <w:p w14:paraId="0000001F">
      <w:pPr>
        <w:spacing w:line="480" w:lineRule="auto"/>
        <w:jc w:val="both"/>
        <w:rPr>
          <w:rFonts w:ascii="Times New Roman" w:hAnsi="Times New Roman" w:cs="Times New Roman"/>
        </w:rPr>
      </w:pPr>
      <w:r>
        <w:rPr>
          <w:rFonts w:ascii="Times New Roman" w:hAnsi="Times New Roman" w:cs="Times New Roman"/>
          <w:b/>
          <w:bCs/>
        </w:rPr>
        <w:t>The Origin of the Problem</w:t>
      </w:r>
    </w:p>
    <w:p w14:paraId="00000021">
      <w:pPr>
        <w:spacing w:line="480" w:lineRule="auto"/>
        <w:jc w:val="both"/>
        <w:rPr>
          <w:rFonts w:ascii="Times New Roman" w:hAnsi="Times New Roman" w:cs="Times New Roman"/>
        </w:rPr>
      </w:pPr>
      <w:r>
        <w:rPr>
          <w:rFonts w:ascii="Times New Roman" w:hAnsi="Times New Roman" w:cs="Times New Roman"/>
        </w:rPr>
        <w:t>Risko and Gilbert</w:t>
      </w:r>
      <w:r>
        <w:rPr>
          <w:rFonts w:hint="eastAsia" w:ascii="Times New Roman" w:hAnsi="Times New Roman" w:cs="Times New Roman"/>
        </w:rPr>
        <w:t xml:space="preserve"> (2016)</w:t>
      </w:r>
      <w:r>
        <w:rPr>
          <w:rFonts w:ascii="Times New Roman" w:hAnsi="Times New Roman" w:cs="Times New Roman"/>
        </w:rPr>
        <w:t xml:space="preserve"> identified cognitive offloading; the externalisation of actions to lighten internal processing. According to them it isn’t the mere human tendency to use tools that deserves our attention but it is the context in which they do so: people offload mental work only when they are convinced, via metacognitive assessment, that their resources aren’t sufficient. Since these estimations are error-prone, offloading succeeds only when the monitoring is correct. This requirement frames the rest of the essay.</w:t>
      </w:r>
    </w:p>
    <w:p w14:paraId="00000022">
      <w:pPr>
        <w:spacing w:line="480" w:lineRule="auto"/>
        <w:jc w:val="both"/>
        <w:rPr>
          <w:rFonts w:ascii="Times New Roman" w:hAnsi="Times New Roman" w:cs="Times New Roman"/>
        </w:rPr>
      </w:pPr>
      <w:r>
        <w:rPr>
          <w:rFonts w:ascii="Times New Roman" w:hAnsi="Times New Roman" w:cs="Times New Roman"/>
        </w:rPr>
        <w:t>Nevertheless, one aspect needs clarification. Human self-evaluation contains systematic rather than random bias and metacognitive assessments are inferences, not direct measures of performance (Fleming, 2024). That said, the monitor has always been an estimate. But a wrong gauge is different from having none. The standard cognitive offloading transfers mental work while monitoring continues. With generative artificial intelligence, by contrast, we find a case involving offloading from the metacognitive self. Here, the model performs tasks previously done by the mind and directs internalisation in other words, for the process of reflection and orientation. Traditional tool-based offloading is well established; using generative AI as a substitute mind is radical. The rest of the essay examines how different it really is.</w:t>
      </w:r>
    </w:p>
    <w:p w14:paraId="00000023">
      <w:pPr>
        <w:spacing w:line="480" w:lineRule="auto"/>
        <w:ind w:firstLine="720"/>
        <w:jc w:val="both"/>
        <w:rPr>
          <w:rFonts w:ascii="Times New Roman" w:hAnsi="Times New Roman" w:cs="Times New Roman"/>
        </w:rPr>
      </w:pPr>
    </w:p>
    <w:p w14:paraId="00000024">
      <w:pPr>
        <w:spacing w:line="480" w:lineRule="auto"/>
        <w:jc w:val="both"/>
        <w:rPr>
          <w:rFonts w:ascii="Times New Roman" w:hAnsi="Times New Roman" w:cs="Times New Roman"/>
        </w:rPr>
      </w:pPr>
      <w:r>
        <w:rPr>
          <w:rFonts w:ascii="Times New Roman" w:hAnsi="Times New Roman" w:cs="Times New Roman"/>
          <w:b/>
          <w:bCs/>
        </w:rPr>
        <w:t>The Instrument</w:t>
      </w:r>
    </w:p>
    <w:p w14:paraId="00000025">
      <w:pPr>
        <w:spacing w:line="480" w:lineRule="auto"/>
        <w:jc w:val="both"/>
        <w:rPr>
          <w:rFonts w:ascii="Times New Roman" w:hAnsi="Times New Roman" w:cs="Times New Roman"/>
        </w:rPr>
      </w:pPr>
      <w:r>
        <w:rPr>
          <w:rFonts w:ascii="Times New Roman" w:hAnsi="Times New Roman" w:cs="Times New Roman"/>
        </w:rPr>
        <w:t>Three requirements need to be met. Firstly, the external resource must be reliable within a familiar knowledge domain. Secondly, users’ evaluation of a tool should be accurate and their remaining capability as well. Thirdly, available capacity must be reallocated rather than discarded. The second is critical. If users misjudge their independent knowledge, a reliable tool will not be sufficient. This calculator illustrates this best. When multiplied, the calculation isn’t in one’s head anymore because the boundary between user and tool is clear. But the issue is, how would one realize if that boundary is gone?</w:t>
      </w:r>
    </w:p>
    <w:p w14:paraId="00000026">
      <w:pPr>
        <w:spacing w:line="480" w:lineRule="auto"/>
        <w:jc w:val="both"/>
        <w:rPr>
          <w:rFonts w:ascii="Times New Roman" w:hAnsi="Times New Roman" w:cs="Times New Roman"/>
          <w:b/>
          <w:bCs/>
        </w:rPr>
      </w:pPr>
    </w:p>
    <w:p w14:paraId="00000027">
      <w:pPr>
        <w:spacing w:line="480" w:lineRule="auto"/>
        <w:jc w:val="both"/>
        <w:rPr>
          <w:rFonts w:ascii="Times New Roman" w:hAnsi="Times New Roman" w:cs="Times New Roman"/>
        </w:rPr>
      </w:pPr>
      <w:r>
        <w:rPr>
          <w:rFonts w:ascii="Times New Roman" w:hAnsi="Times New Roman" w:cs="Times New Roman"/>
          <w:b/>
          <w:bCs/>
        </w:rPr>
        <w:t>Three Cases, One Measure</w:t>
      </w:r>
    </w:p>
    <w:p w14:paraId="00000028">
      <w:pPr>
        <w:spacing w:line="480" w:lineRule="auto"/>
        <w:jc w:val="both"/>
        <w:rPr>
          <w:rFonts w:ascii="Times New Roman" w:hAnsi="Times New Roman" w:cs="Times New Roman"/>
        </w:rPr>
      </w:pPr>
      <w:r>
        <w:rPr>
          <w:rFonts w:ascii="Times New Roman" w:hAnsi="Times New Roman" w:cs="Times New Roman"/>
        </w:rPr>
        <w:t>Three familiar technologies form a progression.</w:t>
      </w:r>
    </w:p>
    <w:p w14:paraId="00000029">
      <w:pPr>
        <w:spacing w:line="480" w:lineRule="auto"/>
        <w:jc w:val="both"/>
        <w:rPr>
          <w:rFonts w:ascii="Times New Roman" w:hAnsi="Times New Roman" w:cs="Times New Roman"/>
        </w:rPr>
      </w:pPr>
    </w:p>
    <w:p w14:paraId="0000002A">
      <w:pPr>
        <w:spacing w:line="480" w:lineRule="auto"/>
        <w:jc w:val="both"/>
        <w:rPr>
          <w:rFonts w:ascii="Times New Roman" w:hAnsi="Times New Roman" w:cs="Times New Roman"/>
        </w:rPr>
      </w:pPr>
      <w:r>
        <w:rPr>
          <w:rFonts w:ascii="Times New Roman" w:hAnsi="Times New Roman" w:cs="Times New Roman"/>
          <w:b/>
          <w:bCs/>
        </w:rPr>
        <w:t xml:space="preserve">Navigation. </w:t>
      </w:r>
      <w:r>
        <w:rPr>
          <w:rFonts w:ascii="Times New Roman" w:hAnsi="Times New Roman" w:cs="Times New Roman"/>
        </w:rPr>
        <w:t>Dahmani and Bohbot (2020) studied lifetime GPS use in 50 drivers. Heavy users demonstrated worse spatial memory without aid, and the subsample reassessed 3 years later declined further with continued use. Since these drivers hadn’t initially reported a poor sense of direction, GPS use likely caused the decline. This is neural deterioration. However, the internal monitor is alive and well. Drivers clearly recognise the map as external and they know they could navigate without it if necessary. The framework therefore estimates the cost of offloading.</w:t>
      </w:r>
    </w:p>
    <w:p w14:paraId="0000002B">
      <w:pPr>
        <w:spacing w:line="480" w:lineRule="auto"/>
        <w:jc w:val="both"/>
        <w:rPr>
          <w:rFonts w:ascii="Times New Roman" w:hAnsi="Times New Roman" w:cs="Times New Roman"/>
        </w:rPr>
      </w:pPr>
    </w:p>
    <w:p w14:paraId="0000002C">
      <w:pPr>
        <w:spacing w:line="480" w:lineRule="auto"/>
        <w:jc w:val="both"/>
        <w:rPr>
          <w:rFonts w:ascii="Times New Roman" w:hAnsi="Times New Roman" w:cs="Times New Roman"/>
        </w:rPr>
      </w:pPr>
      <w:r>
        <w:rPr>
          <w:rFonts w:ascii="Times New Roman" w:hAnsi="Times New Roman" w:cs="Times New Roman"/>
          <w:b/>
          <w:bCs/>
        </w:rPr>
        <w:t xml:space="preserve">Search. </w:t>
      </w:r>
      <w:r>
        <w:rPr>
          <w:rFonts w:ascii="Times New Roman" w:hAnsi="Times New Roman" w:cs="Times New Roman"/>
        </w:rPr>
        <w:t>Ward (2021) reported in eight studies (n = 1, 917) that Google users felt more confident in their information access and knowledge. Without search, users consistently inflated their knowledge and expected to retain it.</w:t>
      </w:r>
    </w:p>
    <w:p w14:paraId="0000002D">
      <w:pPr>
        <w:spacing w:line="480" w:lineRule="auto"/>
        <w:jc w:val="both"/>
        <w:rPr>
          <w:rFonts w:ascii="Times New Roman" w:hAnsi="Times New Roman" w:cs="Times New Roman"/>
        </w:rPr>
      </w:pPr>
    </w:p>
    <w:p w14:paraId="0000002E">
      <w:pPr>
        <w:spacing w:line="480" w:lineRule="auto"/>
        <w:jc w:val="both"/>
        <w:rPr>
          <w:rFonts w:ascii="Times New Roman" w:hAnsi="Times New Roman" w:cs="Times New Roman"/>
        </w:rPr>
      </w:pPr>
      <w:r>
        <w:rPr>
          <w:rFonts w:ascii="Times New Roman" w:hAnsi="Times New Roman" w:cs="Times New Roman"/>
        </w:rPr>
        <w:t>However, the knowledge of one’s capacity remains fairly intact, while judgement of a tool’s reliability begins to erode. A search engine is a blur and generative AI erases it.</w:t>
      </w:r>
    </w:p>
    <w:p w14:paraId="0000002F">
      <w:pPr>
        <w:spacing w:line="480" w:lineRule="auto"/>
        <w:jc w:val="both"/>
        <w:rPr>
          <w:rFonts w:ascii="Times New Roman" w:hAnsi="Times New Roman" w:cs="Times New Roman"/>
        </w:rPr>
      </w:pPr>
    </w:p>
    <w:p w14:paraId="00000030">
      <w:pPr>
        <w:spacing w:line="480" w:lineRule="auto"/>
        <w:jc w:val="both"/>
        <w:rPr>
          <w:rFonts w:ascii="Times New Roman" w:hAnsi="Times New Roman" w:cs="Times New Roman"/>
        </w:rPr>
      </w:pPr>
      <w:r>
        <w:rPr>
          <w:rFonts w:ascii="Times New Roman" w:hAnsi="Times New Roman" w:cs="Times New Roman"/>
        </w:rPr>
        <w:t>Generative AI. Fernandes et al. (2026) got the subjects (N = 246; run at N = 452) to solve LSAT logical-reasoning questions using AI. AI assistance resulted in a three-point increase over the benchmark. However, participants rated themselves four points higher, and higher AI literates predicted lower metacognitive accuracy. The Dunning-Kruger effect disappeared: overestimation became uniform across ability levels. A monitor that doesn’t anymore identify competences from incompetences isn’t there. It isn’t weakened; this is a qualitative shift.</w:t>
      </w:r>
    </w:p>
    <w:p w14:paraId="00000031">
      <w:pPr>
        <w:spacing w:line="480" w:lineRule="auto"/>
        <w:jc w:val="both"/>
        <w:rPr>
          <w:rFonts w:ascii="Times New Roman" w:hAnsi="Times New Roman" w:cs="Times New Roman"/>
        </w:rPr>
      </w:pPr>
    </w:p>
    <w:p w14:paraId="00000032">
      <w:pPr>
        <w:spacing w:line="480" w:lineRule="auto"/>
        <w:jc w:val="both"/>
        <w:rPr>
          <w:rFonts w:ascii="Times New Roman" w:hAnsi="Times New Roman" w:cs="Times New Roman"/>
        </w:rPr>
      </w:pPr>
      <w:r>
        <w:rPr>
          <w:rFonts w:ascii="Times New Roman" w:hAnsi="Times New Roman" w:cs="Times New Roman"/>
          <w:b/>
          <w:bCs/>
        </w:rPr>
        <w:t>What Is Gained</w:t>
      </w:r>
    </w:p>
    <w:p w14:paraId="00000033">
      <w:pPr>
        <w:spacing w:line="480" w:lineRule="auto"/>
        <w:jc w:val="both"/>
        <w:rPr>
          <w:rFonts w:ascii="Times New Roman" w:hAnsi="Times New Roman" w:cs="Times New Roman"/>
        </w:rPr>
      </w:pPr>
      <w:r>
        <w:rPr>
          <w:rFonts w:ascii="Times New Roman" w:hAnsi="Times New Roman" w:cs="Times New Roman"/>
        </w:rPr>
        <w:t>The results reveal what the tool only hinted at. The chatbot has taken over monitoring they would otherwise develop improving answers while underlying ability stagnates. The exam simply removed the borrowed monitor revealing no underlying growth. Two studies support it. Fan et. al (2025) randomised 117 students and found that ChatGPT raised essay scores without expanding knowledge or transfer, while lowering metacognitive processes such as evaluation and orientation which they termed metacognitive laziness. Lee et al. (2025) studied 319 knowledge workers across 936 tasks and found that the greater belief in AI the lower critical-thinking ability whereas greater self-confidence predicted critical thinking.</w:t>
      </w:r>
    </w:p>
    <w:p w14:paraId="00000034">
      <w:pPr>
        <w:spacing w:before="240" w:after="240" w:line="480" w:lineRule="auto"/>
        <w:jc w:val="both"/>
        <w:rPr>
          <w:rFonts w:ascii="Times New Roman" w:hAnsi="Times New Roman" w:cs="Times New Roman"/>
        </w:rPr>
      </w:pPr>
      <w:r>
        <w:rPr>
          <w:rFonts w:ascii="Times New Roman" w:hAnsi="Times New Roman" w:cs="Times New Roman"/>
        </w:rPr>
        <w:t>This is the developmental turning point. Usually, task-specific confidence is lowest while reliance on the tool is highest. Gerlich (2025) interviewed 666 participants and concluded that younger generations depend on AI while showing weaker critical thinking and that education mitigates the effect. Although correlational, the findings align with Dahm</w:t>
      </w:r>
      <w:r>
        <w:rPr>
          <w:rFonts w:hint="eastAsia" w:ascii="Times New Roman" w:hAnsi="Times New Roman" w:cs="Times New Roman"/>
        </w:rPr>
        <w:t>ani</w:t>
      </w:r>
      <w:r>
        <w:rPr>
          <w:rFonts w:ascii="Times New Roman" w:hAnsi="Times New Roman" w:cs="Times New Roman"/>
        </w:rPr>
        <w:t xml:space="preserve"> and Bohbot</w:t>
      </w:r>
      <w:r>
        <w:rPr>
          <w:rFonts w:hint="eastAsia" w:ascii="Times New Roman" w:hAnsi="Times New Roman" w:cs="Times New Roman"/>
        </w:rPr>
        <w:t xml:space="preserve"> (2020)</w:t>
      </w:r>
      <w:r>
        <w:rPr>
          <w:rFonts w:ascii="Times New Roman" w:hAnsi="Times New Roman" w:cs="Times New Roman"/>
        </w:rPr>
        <w:t xml:space="preserve"> which ruled out reverse causation.</w:t>
      </w:r>
    </w:p>
    <w:p w14:paraId="00000035">
      <w:pPr>
        <w:spacing w:before="240" w:after="240" w:line="480" w:lineRule="auto"/>
        <w:jc w:val="both"/>
        <w:rPr>
          <w:rFonts w:ascii="Times New Roman" w:hAnsi="Times New Roman" w:cs="Times New Roman"/>
        </w:rPr>
      </w:pPr>
      <w:r>
        <w:rPr>
          <w:rFonts w:ascii="Times New Roman" w:hAnsi="Times New Roman" w:cs="Times New Roman"/>
        </w:rPr>
        <w:t>The distinction is clear. If someone already possesses that ability and then seeks help, it is delegation. The monitor existed before the tool and remains without it. However, if you outsource an activity still developing, it is the developmental closure of a path before it is explored. A student who outsources evaluation during learning hasn’t lost the ability they never developed and will be unaware because awareness depends on that ability. Therefore, the disappeared Dunning, Kruger effect reflects not only misplaced confidence but more importantly the loss of self-evaluation. The damage stems neither from the machine nor student misuse, but when a tool that disables monitoring is given to someone still developing monitoring skills.</w:t>
      </w:r>
    </w:p>
    <w:p w14:paraId="00000036">
      <w:pPr>
        <w:spacing w:before="240" w:after="240" w:line="480" w:lineRule="auto"/>
        <w:jc w:val="both"/>
        <w:rPr>
          <w:rFonts w:ascii="Times New Roman" w:hAnsi="Times New Roman" w:cs="Times New Roman"/>
        </w:rPr>
      </w:pPr>
      <w:r>
        <w:rPr>
          <w:rFonts w:ascii="Times New Roman" w:hAnsi="Times New Roman" w:cs="Times New Roman"/>
        </w:rPr>
        <w:t>Technology that helps experts can prevent beginners from developing the same skill.AI is therefore a gift or a loss depending on who uses it and when.</w:t>
      </w:r>
    </w:p>
    <w:p w14:paraId="00000037">
      <w:pPr>
        <w:spacing w:line="480" w:lineRule="auto"/>
        <w:ind w:firstLine="720"/>
        <w:jc w:val="both"/>
        <w:rPr>
          <w:rFonts w:ascii="Times New Roman" w:hAnsi="Times New Roman" w:cs="Times New Roman"/>
        </w:rPr>
      </w:pPr>
    </w:p>
    <w:p w14:paraId="00000038">
      <w:pPr>
        <w:spacing w:line="480" w:lineRule="auto"/>
        <w:jc w:val="both"/>
        <w:rPr>
          <w:rFonts w:ascii="Times New Roman" w:hAnsi="Times New Roman" w:cs="Times New Roman"/>
          <w:b/>
          <w:bCs/>
        </w:rPr>
      </w:pPr>
      <w:r>
        <w:rPr>
          <w:rFonts w:ascii="Times New Roman" w:hAnsi="Times New Roman" w:cs="Times New Roman"/>
          <w:b/>
          <w:bCs/>
        </w:rPr>
        <w:t>Informing a Solution: Commit-Before-Consult</w:t>
      </w:r>
    </w:p>
    <w:p w14:paraId="00000039">
      <w:pPr>
        <w:spacing w:line="480" w:lineRule="auto"/>
        <w:jc w:val="both"/>
        <w:rPr>
          <w:rFonts w:ascii="Times New Roman" w:hAnsi="Times New Roman" w:cs="Times New Roman"/>
        </w:rPr>
      </w:pPr>
      <w:r>
        <w:rPr>
          <w:rFonts w:ascii="Times New Roman" w:hAnsi="Times New Roman" w:cs="Times New Roman"/>
        </w:rPr>
        <w:t>If the monitor breaks down, it must be repaired because it cannot recalibrate itself. Commit-Before-Consult (CBC) is a calibration procedure, not a prohibition. Students, before using AI, complete the exercise and rate their confidence; later compare their work using AI, they recalibrate their confidence.</w:t>
      </w:r>
    </w:p>
    <w:p w14:paraId="0000003A">
      <w:pPr>
        <w:spacing w:line="480" w:lineRule="auto"/>
        <w:jc w:val="both"/>
        <w:rPr>
          <w:rFonts w:ascii="Times New Roman" w:hAnsi="Times New Roman" w:cs="Times New Roman"/>
        </w:rPr>
      </w:pPr>
    </w:p>
    <w:p w14:paraId="0000003B">
      <w:pPr>
        <w:spacing w:line="480" w:lineRule="auto"/>
        <w:jc w:val="both"/>
        <w:rPr>
          <w:rFonts w:ascii="Times New Roman" w:hAnsi="Times New Roman" w:cs="Times New Roman"/>
        </w:rPr>
      </w:pPr>
      <w:r>
        <w:rPr>
          <w:rFonts w:ascii="Times New Roman" w:hAnsi="Times New Roman" w:cs="Times New Roman"/>
        </w:rPr>
        <w:t>This approach is grounded in experimental evidence. Bastani et al.</w:t>
      </w:r>
      <w:r>
        <w:rPr>
          <w:rFonts w:hint="eastAsia" w:ascii="Times New Roman" w:hAnsi="Times New Roman" w:cs="Times New Roman"/>
        </w:rPr>
        <w:t xml:space="preserve"> (</w:t>
      </w:r>
      <w:r>
        <w:rPr>
          <w:rFonts w:ascii="Times New Roman" w:hAnsi="Times New Roman" w:cs="Times New Roman"/>
        </w:rPr>
        <w:t>2025</w:t>
      </w:r>
      <w:r>
        <w:rPr>
          <w:rFonts w:hint="eastAsia" w:ascii="Times New Roman" w:hAnsi="Times New Roman" w:cs="Times New Roman"/>
        </w:rPr>
        <w:t>)</w:t>
      </w:r>
      <w:r>
        <w:rPr>
          <w:rFonts w:ascii="Times New Roman" w:hAnsi="Times New Roman" w:cs="Times New Roman"/>
        </w:rPr>
        <w:t xml:space="preserve"> demonstrated that a guarded tutor maintained performance gains without affecting learning, suggesting the problem lies in the design, not AI.</w:t>
      </w:r>
    </w:p>
    <w:p w14:paraId="0000003C">
      <w:pPr>
        <w:spacing w:line="480" w:lineRule="auto"/>
        <w:jc w:val="both"/>
        <w:rPr>
          <w:rFonts w:ascii="Times New Roman" w:hAnsi="Times New Roman" w:cs="Times New Roman"/>
        </w:rPr>
      </w:pPr>
    </w:p>
    <w:p w14:paraId="0000003D">
      <w:pPr>
        <w:spacing w:line="480" w:lineRule="auto"/>
        <w:jc w:val="both"/>
        <w:rPr>
          <w:rFonts w:ascii="Times New Roman" w:hAnsi="Times New Roman" w:cs="Times New Roman"/>
        </w:rPr>
      </w:pPr>
      <w:r>
        <w:rPr>
          <w:rFonts w:ascii="Times New Roman" w:hAnsi="Times New Roman" w:cs="Times New Roman"/>
        </w:rPr>
        <w:t>Fan et al. (2025) discovered that checking a few items kept students’ reflective learning better than just relying on ChatGPT, suggesting the intervention depends on structure.</w:t>
      </w:r>
    </w:p>
    <w:p w14:paraId="0000003E">
      <w:pPr>
        <w:spacing w:line="480" w:lineRule="auto"/>
        <w:jc w:val="both"/>
        <w:rPr>
          <w:rFonts w:ascii="Times New Roman" w:hAnsi="Times New Roman" w:cs="Times New Roman"/>
        </w:rPr>
      </w:pPr>
    </w:p>
    <w:p w14:paraId="0000003F">
      <w:pPr>
        <w:spacing w:line="480" w:lineRule="auto"/>
        <w:jc w:val="both"/>
        <w:rPr>
          <w:rFonts w:ascii="Times New Roman" w:hAnsi="Times New Roman" w:cs="Times New Roman"/>
        </w:rPr>
      </w:pPr>
      <w:r>
        <w:rPr>
          <w:rFonts w:ascii="Times New Roman" w:hAnsi="Times New Roman" w:cs="Times New Roman"/>
        </w:rPr>
        <w:t>Xu et al. (2025) studied 68 students over four weeks and similarly reported that explicit metacognitive aid didn’t improve achievement but substantially increased self-regulated learning, especially self-evaluation via CBC.</w:t>
      </w:r>
    </w:p>
    <w:p w14:paraId="00000040">
      <w:pPr>
        <w:spacing w:line="480" w:lineRule="auto"/>
        <w:jc w:val="both"/>
        <w:rPr>
          <w:rFonts w:ascii="Times New Roman" w:hAnsi="Times New Roman" w:cs="Times New Roman"/>
        </w:rPr>
      </w:pPr>
    </w:p>
    <w:p w14:paraId="00000041">
      <w:pPr>
        <w:spacing w:line="480" w:lineRule="auto"/>
        <w:jc w:val="both"/>
        <w:rPr>
          <w:rFonts w:ascii="Times New Roman" w:hAnsi="Times New Roman" w:cs="Times New Roman"/>
        </w:rPr>
      </w:pPr>
      <w:r>
        <w:rPr>
          <w:rFonts w:ascii="Times New Roman" w:hAnsi="Times New Roman" w:cs="Times New Roman"/>
        </w:rPr>
        <w:t>Had the Turkish students used this routine, the test wouldn’t have surprised them. Their written calibration showed the difference between their independent work and what AI supplied.</w:t>
      </w:r>
    </w:p>
    <w:p w14:paraId="00000042">
      <w:pPr>
        <w:spacing w:line="480" w:lineRule="auto"/>
        <w:jc w:val="both"/>
        <w:rPr>
          <w:rFonts w:ascii="Times New Roman" w:hAnsi="Times New Roman" w:cs="Times New Roman"/>
        </w:rPr>
      </w:pPr>
    </w:p>
    <w:p w14:paraId="00000043">
      <w:pPr>
        <w:spacing w:line="480" w:lineRule="auto"/>
        <w:jc w:val="both"/>
        <w:rPr>
          <w:rFonts w:ascii="Times New Roman" w:hAnsi="Times New Roman" w:cs="Times New Roman"/>
        </w:rPr>
      </w:pPr>
      <w:r>
        <w:rPr>
          <w:rFonts w:ascii="Times New Roman" w:hAnsi="Times New Roman" w:cs="Times New Roman"/>
        </w:rPr>
        <w:t>The essence of CBC must remain non-threatening. Confidence and reflection should remain private, unassessed self-assessments so that grading depends on the final submission. This calibration step leaves the curriculum unchanged. The prime expense is professional: teachers must learn to assess calibration, not correctness. There are two caveats, however: CBC eats into class time and is hardest for unprepared students. Formative rather than summative grading can reduce those costs.</w:t>
      </w:r>
    </w:p>
    <w:p w14:paraId="00000044">
      <w:pPr>
        <w:spacing w:line="480" w:lineRule="auto"/>
        <w:jc w:val="both"/>
        <w:rPr>
          <w:rFonts w:ascii="Times New Roman" w:hAnsi="Times New Roman" w:cs="Times New Roman"/>
          <w:b/>
          <w:bCs/>
        </w:rPr>
      </w:pPr>
    </w:p>
    <w:p w14:paraId="00000045">
      <w:pPr>
        <w:spacing w:line="480" w:lineRule="auto"/>
        <w:jc w:val="both"/>
        <w:rPr>
          <w:rFonts w:ascii="Times New Roman" w:hAnsi="Times New Roman" w:cs="Times New Roman"/>
          <w:b/>
          <w:bCs/>
        </w:rPr>
      </w:pPr>
      <w:r>
        <w:rPr>
          <w:rFonts w:ascii="Times New Roman" w:hAnsi="Times New Roman" w:cs="Times New Roman"/>
          <w:b/>
          <w:bCs/>
        </w:rPr>
        <w:t>Conclusion</w:t>
      </w:r>
    </w:p>
    <w:p w14:paraId="00000046">
      <w:pPr>
        <w:spacing w:before="240" w:after="240" w:line="480" w:lineRule="auto"/>
        <w:jc w:val="both"/>
        <w:rPr>
          <w:rFonts w:ascii="Times New Roman" w:hAnsi="Times New Roman" w:cs="Times New Roman"/>
        </w:rPr>
      </w:pPr>
      <w:r>
        <w:rPr>
          <w:rFonts w:ascii="Times New Roman" w:hAnsi="Times New Roman" w:cs="Times New Roman"/>
        </w:rPr>
        <w:t>Students delegate to AI in the end more than just their thinking. They entrust AI with the ability to assess thinking and a mind that lacks this ability forever cannot detect the lack of it. Therefore, AI delegation is neither cognitive offloading alone nor entirely new. It expands offloading beyond the condition that made it safe: keeping the monitor. What gets lost isn't the act of thinking but the self-aware cognition that regulates it. Whether this is beneficial depends not on the technology but on the user.</w:t>
      </w:r>
    </w:p>
    <w:p w14:paraId="00000047">
      <w:pPr>
        <w:spacing w:before="240" w:after="240" w:line="480" w:lineRule="auto"/>
        <w:jc w:val="both"/>
        <w:rPr>
          <w:rFonts w:ascii="Times New Roman" w:hAnsi="Times New Roman" w:cs="Times New Roman"/>
        </w:rPr>
      </w:pPr>
      <w:r>
        <w:rPr>
          <w:rFonts w:ascii="Times New Roman" w:hAnsi="Times New Roman" w:cs="Times New Roman"/>
        </w:rPr>
        <w:t>The same tool that empowers experts can close the learner’s horizon. The Turkish students didn’t fail because of AI, nor did AI fail them. They encountered AI before their monitor had fully matured.</w:t>
      </w:r>
    </w:p>
    <w:p w14:paraId="00000048">
      <w:pPr>
        <w:spacing w:before="240" w:after="240" w:line="480" w:lineRule="auto"/>
        <w:jc w:val="both"/>
        <w:rPr>
          <w:rFonts w:ascii="Times New Roman" w:hAnsi="Times New Roman" w:cs="Times New Roman"/>
        </w:rPr>
      </w:pPr>
      <w:r>
        <w:rPr>
          <w:rFonts w:ascii="Times New Roman" w:hAnsi="Times New Roman" w:cs="Times New Roman"/>
        </w:rPr>
        <w:t>Two implications arise. Firstly, the current evidence is short-term, whilst the developmental perspective is long-term. Therefore, only longitudinal studies can determine if the closed monitor remains impaired or recovers when support is withdrawn. Secondly, if the outcome depends on design and timing, this becomes an issue of educational policy rather than personal responsibility.</w:t>
      </w:r>
    </w:p>
    <w:p w14:paraId="00000049">
      <w:pPr>
        <w:spacing w:before="240" w:after="240" w:line="480" w:lineRule="auto"/>
        <w:jc w:val="both"/>
        <w:rPr>
          <w:rFonts w:ascii="Times New Roman" w:hAnsi="Times New Roman" w:cs="Times New Roman"/>
        </w:rPr>
      </w:pPr>
      <w:r>
        <w:rPr>
          <w:rFonts w:ascii="Times New Roman" w:hAnsi="Times New Roman" w:cs="Times New Roman"/>
        </w:rPr>
        <w:t>Curricula, assessment, and classroom AI should keep the learner’s monitor close until it functions independently. The issue isn’t whether students perform well with AI but whether they are capable of performing AI-based tasks independently regardless of the student's character.</w:t>
      </w:r>
    </w:p>
    <w:p w14:paraId="0000004A">
      <w:pPr>
        <w:spacing w:before="240" w:after="240" w:line="480" w:lineRule="auto"/>
        <w:jc w:val="both"/>
        <w:rPr>
          <w:rFonts w:ascii="Times New Roman" w:hAnsi="Times New Roman" w:cs="Times New Roman"/>
        </w:rPr>
      </w:pPr>
      <w:r>
        <w:rPr>
          <w:rFonts w:ascii="Times New Roman" w:hAnsi="Times New Roman" w:cs="Times New Roman"/>
        </w:rPr>
        <w:t>What matters is when and how students are introduced to AI, and the design of the system itself.</w:t>
      </w:r>
    </w:p>
    <w:p w14:paraId="0000004B">
      <w:pPr>
        <w:spacing w:line="480" w:lineRule="auto"/>
        <w:ind w:firstLine="720"/>
        <w:jc w:val="both"/>
        <w:rPr>
          <w:rFonts w:ascii="Times New Roman" w:hAnsi="Times New Roman" w:cs="Times New Roman"/>
        </w:rPr>
      </w:pPr>
    </w:p>
    <w:p w14:paraId="0000004C">
      <w:pPr>
        <w:spacing w:line="480" w:lineRule="auto"/>
        <w:jc w:val="both"/>
        <w:rPr>
          <w:rFonts w:ascii="Times New Roman" w:hAnsi="Times New Roman" w:cs="Times New Roman"/>
        </w:rPr>
      </w:pPr>
    </w:p>
    <w:p w14:paraId="0000004D">
      <w:pPr>
        <w:spacing w:line="480" w:lineRule="auto"/>
        <w:jc w:val="both"/>
        <w:rPr>
          <w:rFonts w:ascii="Times New Roman" w:hAnsi="Times New Roman" w:cs="Times New Roman"/>
        </w:rPr>
      </w:pPr>
    </w:p>
    <w:p w14:paraId="0000004E">
      <w:pPr>
        <w:spacing w:line="480" w:lineRule="auto"/>
        <w:jc w:val="both"/>
        <w:rPr>
          <w:rFonts w:ascii="Times New Roman" w:hAnsi="Times New Roman" w:cs="Times New Roman"/>
        </w:rPr>
      </w:pPr>
    </w:p>
    <w:p w14:paraId="0000004F">
      <w:pPr>
        <w:spacing w:line="480" w:lineRule="auto"/>
        <w:jc w:val="both"/>
        <w:rPr>
          <w:rFonts w:ascii="Times New Roman" w:hAnsi="Times New Roman" w:cs="Times New Roman"/>
        </w:rPr>
      </w:pPr>
    </w:p>
    <w:p w14:paraId="00000050">
      <w:pPr>
        <w:spacing w:line="480" w:lineRule="auto"/>
        <w:jc w:val="both"/>
        <w:rPr>
          <w:rFonts w:ascii="Times New Roman" w:hAnsi="Times New Roman" w:cs="Times New Roman"/>
        </w:rPr>
      </w:pPr>
    </w:p>
    <w:p w14:paraId="00000051">
      <w:pPr>
        <w:spacing w:line="480" w:lineRule="auto"/>
        <w:jc w:val="both"/>
        <w:rPr>
          <w:rFonts w:ascii="Times New Roman" w:hAnsi="Times New Roman" w:cs="Times New Roman"/>
        </w:rPr>
      </w:pPr>
    </w:p>
    <w:p w14:paraId="00000052">
      <w:pPr>
        <w:spacing w:line="480" w:lineRule="auto"/>
        <w:jc w:val="both"/>
        <w:rPr>
          <w:rFonts w:ascii="Times New Roman" w:hAnsi="Times New Roman" w:cs="Times New Roman"/>
        </w:rPr>
      </w:pPr>
    </w:p>
    <w:p w14:paraId="00000053">
      <w:pPr>
        <w:spacing w:line="480" w:lineRule="auto"/>
        <w:jc w:val="both"/>
        <w:rPr>
          <w:rFonts w:ascii="Times New Roman" w:hAnsi="Times New Roman" w:cs="Times New Roman"/>
        </w:rPr>
      </w:pPr>
    </w:p>
    <w:p w14:paraId="00000054">
      <w:pPr>
        <w:spacing w:line="480" w:lineRule="auto"/>
        <w:jc w:val="both"/>
        <w:rPr>
          <w:rFonts w:ascii="Times New Roman" w:hAnsi="Times New Roman" w:cs="Times New Roman"/>
        </w:rPr>
      </w:pPr>
    </w:p>
    <w:p w14:paraId="00000055">
      <w:pPr>
        <w:spacing w:line="480" w:lineRule="auto"/>
        <w:jc w:val="both"/>
        <w:rPr>
          <w:rFonts w:ascii="Times New Roman" w:hAnsi="Times New Roman" w:cs="Times New Roman"/>
        </w:rPr>
      </w:pPr>
    </w:p>
    <w:p w14:paraId="00000056">
      <w:pPr>
        <w:spacing w:line="480" w:lineRule="auto"/>
        <w:jc w:val="both"/>
        <w:rPr>
          <w:rFonts w:ascii="Times New Roman" w:hAnsi="Times New Roman" w:cs="Times New Roman"/>
        </w:rPr>
      </w:pPr>
    </w:p>
    <w:p w14:paraId="00000057">
      <w:pPr>
        <w:spacing w:line="480" w:lineRule="auto"/>
        <w:jc w:val="both"/>
        <w:rPr>
          <w:rFonts w:ascii="Times New Roman" w:hAnsi="Times New Roman" w:cs="Times New Roman"/>
        </w:rPr>
      </w:pPr>
    </w:p>
    <w:p w14:paraId="00000058">
      <w:pPr>
        <w:spacing w:line="480" w:lineRule="auto"/>
        <w:jc w:val="both"/>
        <w:rPr>
          <w:rFonts w:ascii="Times New Roman" w:hAnsi="Times New Roman" w:cs="Times New Roman"/>
        </w:rPr>
      </w:pPr>
    </w:p>
    <w:p w14:paraId="00000059">
      <w:pPr>
        <w:spacing w:line="480" w:lineRule="auto"/>
        <w:jc w:val="both"/>
        <w:rPr>
          <w:rFonts w:ascii="Times New Roman" w:hAnsi="Times New Roman" w:cs="Times New Roman"/>
        </w:rPr>
      </w:pPr>
    </w:p>
    <w:p w14:paraId="0000005A">
      <w:pPr>
        <w:spacing w:line="480" w:lineRule="auto"/>
        <w:jc w:val="both"/>
        <w:rPr>
          <w:rFonts w:ascii="Times New Roman" w:hAnsi="Times New Roman" w:cs="Times New Roman"/>
        </w:rPr>
      </w:pPr>
    </w:p>
    <w:p w14:paraId="0000005B">
      <w:pPr>
        <w:spacing w:line="480" w:lineRule="auto"/>
        <w:jc w:val="both"/>
        <w:rPr>
          <w:rFonts w:ascii="Times New Roman" w:hAnsi="Times New Roman" w:cs="Times New Roman"/>
        </w:rPr>
      </w:pPr>
    </w:p>
    <w:p w14:paraId="0000005C">
      <w:pPr>
        <w:spacing w:line="480" w:lineRule="auto"/>
        <w:jc w:val="both"/>
        <w:rPr>
          <w:rFonts w:ascii="Times New Roman" w:hAnsi="Times New Roman" w:cs="Times New Roman"/>
        </w:rPr>
      </w:pPr>
    </w:p>
    <w:p w14:paraId="0000005D">
      <w:pPr>
        <w:spacing w:line="480" w:lineRule="auto"/>
        <w:jc w:val="both"/>
        <w:rPr>
          <w:rFonts w:ascii="Times New Roman" w:hAnsi="Times New Roman" w:cs="Times New Roman"/>
        </w:rPr>
      </w:pPr>
    </w:p>
    <w:p w14:paraId="0000005F">
      <w:pPr>
        <w:spacing w:line="480" w:lineRule="auto"/>
        <w:jc w:val="center"/>
        <w:rPr>
          <w:rFonts w:ascii="Times New Roman" w:hAnsi="Times New Roman" w:cs="Times New Roman"/>
          <w:b/>
          <w:bCs/>
        </w:rPr>
      </w:pPr>
      <w:r>
        <w:rPr>
          <w:rFonts w:ascii="Times New Roman" w:hAnsi="Times New Roman" w:cs="Times New Roman"/>
          <w:b/>
          <w:bCs/>
        </w:rPr>
        <w:t>References</w:t>
      </w:r>
    </w:p>
    <w:p w14:paraId="2ECC8AC8">
      <w:pPr>
        <w:spacing w:line="480" w:lineRule="auto"/>
        <w:ind w:left="720" w:hanging="720"/>
        <w:jc w:val="both"/>
        <w:rPr>
          <w:rFonts w:ascii="Times New Roman" w:hAnsi="Times New Roman" w:cs="Times New Roman"/>
        </w:rPr>
      </w:pPr>
      <w:r>
        <w:rPr>
          <w:rFonts w:ascii="Times New Roman" w:hAnsi="Times New Roman" w:cs="Times New Roman"/>
        </w:rPr>
        <w:t xml:space="preserve">Bastani, H., Bastani, O., Sungu, A., Ge, H., Kabakcı, Ö., &amp; Mariman, R. (2025). Generative AI without guardrails can harm learning: Evidence from high school mathematics. </w:t>
      </w:r>
      <w:r>
        <w:rPr>
          <w:rFonts w:ascii="Times New Roman" w:hAnsi="Times New Roman" w:cs="Times New Roman"/>
          <w:i/>
          <w:iCs/>
        </w:rPr>
        <w:t>Proceedings of the National Academy of Sciences, 122</w:t>
      </w:r>
      <w:r>
        <w:rPr>
          <w:rFonts w:ascii="Times New Roman" w:hAnsi="Times New Roman" w:cs="Times New Roman"/>
        </w:rPr>
        <w:t xml:space="preserve">(26), e2422633122. </w:t>
      </w:r>
      <w:r>
        <w:fldChar w:fldCharType="begin"/>
      </w:r>
      <w:r>
        <w:instrText xml:space="preserve"> HYPERLINK "https://doi.org/10.1073/pnas.2422633122" \h </w:instrText>
      </w:r>
      <w:r>
        <w:fldChar w:fldCharType="separate"/>
      </w:r>
      <w:r>
        <w:rPr>
          <w:rFonts w:ascii="Times New Roman" w:hAnsi="Times New Roman" w:cs="Times New Roman"/>
          <w:color w:val="1155CC"/>
          <w:u w:val="single"/>
        </w:rPr>
        <w:t>https://doi.org/10.1073/pnas.2422633122</w:t>
      </w:r>
      <w:r>
        <w:rPr>
          <w:rFonts w:ascii="Times New Roman" w:hAnsi="Times New Roman" w:cs="Times New Roman"/>
          <w:color w:val="1155CC"/>
          <w:u w:val="single"/>
        </w:rPr>
        <w:fldChar w:fldCharType="end"/>
      </w:r>
    </w:p>
    <w:p w14:paraId="77F4DC8D">
      <w:pPr>
        <w:spacing w:line="480" w:lineRule="auto"/>
        <w:ind w:left="720" w:hanging="720"/>
        <w:jc w:val="both"/>
        <w:rPr>
          <w:rFonts w:ascii="Times New Roman" w:hAnsi="Times New Roman" w:cs="Times New Roman"/>
        </w:rPr>
      </w:pPr>
      <w:r>
        <w:rPr>
          <w:rFonts w:ascii="Times New Roman" w:hAnsi="Times New Roman" w:cs="Times New Roman"/>
        </w:rPr>
        <w:t xml:space="preserve">Dahmani, L., &amp; Bohbot, V. D. (2020). Habitual use of GPS negatively impacts spatial memory during self-guided navigation. </w:t>
      </w:r>
      <w:r>
        <w:rPr>
          <w:rFonts w:ascii="Times New Roman" w:hAnsi="Times New Roman" w:cs="Times New Roman"/>
          <w:i/>
          <w:iCs/>
        </w:rPr>
        <w:t>Scientific Reports, 10</w:t>
      </w:r>
      <w:r>
        <w:rPr>
          <w:rFonts w:ascii="Times New Roman" w:hAnsi="Times New Roman" w:cs="Times New Roman"/>
        </w:rPr>
        <w:t xml:space="preserve">, 6310. </w:t>
      </w:r>
      <w:r>
        <w:fldChar w:fldCharType="begin"/>
      </w:r>
      <w:r>
        <w:instrText xml:space="preserve"> HYPERLINK "https://doi.org/10.1038/s41598-020-62877-0" \h </w:instrText>
      </w:r>
      <w:r>
        <w:fldChar w:fldCharType="separate"/>
      </w:r>
      <w:r>
        <w:rPr>
          <w:rFonts w:ascii="Times New Roman" w:hAnsi="Times New Roman" w:cs="Times New Roman"/>
          <w:color w:val="1155CC"/>
          <w:u w:val="single"/>
        </w:rPr>
        <w:t>https://doi.org/10.1038/s41598-020-62877-0</w:t>
      </w:r>
      <w:r>
        <w:rPr>
          <w:rFonts w:ascii="Times New Roman" w:hAnsi="Times New Roman" w:cs="Times New Roman"/>
          <w:color w:val="1155CC"/>
          <w:u w:val="single"/>
        </w:rPr>
        <w:fldChar w:fldCharType="end"/>
      </w:r>
    </w:p>
    <w:p w14:paraId="07BE1722">
      <w:pPr>
        <w:spacing w:line="480" w:lineRule="auto"/>
        <w:ind w:left="720" w:hanging="720"/>
        <w:jc w:val="both"/>
        <w:rPr>
          <w:rFonts w:ascii="Times New Roman" w:hAnsi="Times New Roman" w:cs="Times New Roman"/>
        </w:rPr>
      </w:pPr>
      <w:r>
        <w:rPr>
          <w:rFonts w:ascii="Times New Roman" w:hAnsi="Times New Roman" w:cs="Times New Roman"/>
        </w:rPr>
        <w:t xml:space="preserve">Fan, Y., Tang, L., Le, H., Shen, K., Tan, S., Zhao, Y., Shen, Y., Li, X., &amp; Gašević, D. (2025). Beware of metacognitive laziness: Effects of generative artificial intelligence on learning motivation, processes, and performance. </w:t>
      </w:r>
      <w:r>
        <w:rPr>
          <w:rFonts w:ascii="Times New Roman" w:hAnsi="Times New Roman" w:cs="Times New Roman"/>
          <w:i/>
          <w:iCs/>
        </w:rPr>
        <w:t>British Journal of Educational Technology, 56</w:t>
      </w:r>
      <w:r>
        <w:rPr>
          <w:rFonts w:ascii="Times New Roman" w:hAnsi="Times New Roman" w:cs="Times New Roman"/>
        </w:rPr>
        <w:t xml:space="preserve">(2), 489–530. </w:t>
      </w:r>
      <w:r>
        <w:fldChar w:fldCharType="begin"/>
      </w:r>
      <w:r>
        <w:instrText xml:space="preserve"> HYPERLINK "https://doi.org/10.1111/bjet.13544" \h </w:instrText>
      </w:r>
      <w:r>
        <w:fldChar w:fldCharType="separate"/>
      </w:r>
      <w:r>
        <w:rPr>
          <w:rFonts w:ascii="Times New Roman" w:hAnsi="Times New Roman" w:cs="Times New Roman"/>
          <w:color w:val="1155CC"/>
          <w:u w:val="single"/>
        </w:rPr>
        <w:t>https://doi.org/10.1111/bjet.13544</w:t>
      </w:r>
      <w:r>
        <w:rPr>
          <w:rFonts w:ascii="Times New Roman" w:hAnsi="Times New Roman" w:cs="Times New Roman"/>
          <w:color w:val="1155CC"/>
          <w:u w:val="single"/>
        </w:rPr>
        <w:fldChar w:fldCharType="end"/>
      </w:r>
    </w:p>
    <w:p w14:paraId="228A1FA3">
      <w:pPr>
        <w:spacing w:line="480" w:lineRule="auto"/>
        <w:ind w:left="720" w:hanging="720"/>
        <w:jc w:val="both"/>
        <w:rPr>
          <w:rFonts w:ascii="Times New Roman" w:hAnsi="Times New Roman" w:cs="Times New Roman"/>
        </w:rPr>
      </w:pPr>
      <w:r>
        <w:rPr>
          <w:rFonts w:ascii="Times New Roman" w:hAnsi="Times New Roman" w:cs="Times New Roman"/>
        </w:rPr>
        <w:t xml:space="preserve">Fernandes, D., Villa, S., Nicholls, S., Haavisto, O., Buschek, D., Schmidt, A., Kosch, T., Shen, C., &amp; Welsch, R. (2026). AI makes you smarter but none the wiser: The disconnect between performance and metacognition. </w:t>
      </w:r>
      <w:r>
        <w:rPr>
          <w:rFonts w:ascii="Times New Roman" w:hAnsi="Times New Roman" w:cs="Times New Roman"/>
          <w:i/>
          <w:iCs/>
        </w:rPr>
        <w:t>Computers in Human Behavior, 175</w:t>
      </w:r>
      <w:r>
        <w:rPr>
          <w:rFonts w:ascii="Times New Roman" w:hAnsi="Times New Roman" w:cs="Times New Roman"/>
        </w:rPr>
        <w:t xml:space="preserve">, 108779. </w:t>
      </w:r>
      <w:r>
        <w:fldChar w:fldCharType="begin"/>
      </w:r>
      <w:r>
        <w:instrText xml:space="preserve"> HYPERLINK "https://doi.org/10.1016/j.chb.2025.108779" \h </w:instrText>
      </w:r>
      <w:r>
        <w:fldChar w:fldCharType="separate"/>
      </w:r>
      <w:r>
        <w:rPr>
          <w:rFonts w:ascii="Times New Roman" w:hAnsi="Times New Roman" w:cs="Times New Roman"/>
          <w:color w:val="1155CC"/>
          <w:u w:val="single"/>
        </w:rPr>
        <w:t>https://doi.org/10.1016/j.chb.2025.108779</w:t>
      </w:r>
      <w:r>
        <w:rPr>
          <w:rFonts w:ascii="Times New Roman" w:hAnsi="Times New Roman" w:cs="Times New Roman"/>
          <w:color w:val="1155CC"/>
          <w:u w:val="single"/>
        </w:rPr>
        <w:fldChar w:fldCharType="end"/>
      </w:r>
    </w:p>
    <w:p w14:paraId="27EC711B">
      <w:pPr>
        <w:spacing w:line="480" w:lineRule="auto"/>
        <w:ind w:left="720" w:hanging="720"/>
        <w:jc w:val="both"/>
        <w:rPr>
          <w:rFonts w:ascii="Times New Roman" w:hAnsi="Times New Roman" w:cs="Times New Roman"/>
        </w:rPr>
      </w:pPr>
      <w:r>
        <w:rPr>
          <w:rFonts w:ascii="Times New Roman" w:hAnsi="Times New Roman" w:cs="Times New Roman"/>
        </w:rPr>
        <w:t xml:space="preserve">Fleming, S. M. (2024). Metacognition and confidence: A review and synthesis. </w:t>
      </w:r>
      <w:r>
        <w:rPr>
          <w:rFonts w:ascii="Times New Roman" w:hAnsi="Times New Roman" w:cs="Times New Roman"/>
          <w:i/>
          <w:iCs/>
        </w:rPr>
        <w:t>Annual Review of Psychology, 75</w:t>
      </w:r>
      <w:r>
        <w:rPr>
          <w:rFonts w:ascii="Times New Roman" w:hAnsi="Times New Roman" w:cs="Times New Roman"/>
        </w:rPr>
        <w:t>, 241–268.</w:t>
      </w:r>
      <w:r>
        <w:fldChar w:fldCharType="begin"/>
      </w:r>
      <w:r>
        <w:instrText xml:space="preserve"> HYPERLINK "https://doi.org/10.1146/annurev-psych-022423-032425" \h </w:instrText>
      </w:r>
      <w:r>
        <w:fldChar w:fldCharType="separate"/>
      </w:r>
      <w:r>
        <w:rPr>
          <w:rFonts w:ascii="Times New Roman" w:hAnsi="Times New Roman" w:cs="Times New Roman"/>
        </w:rPr>
        <w:t xml:space="preserve"> </w:t>
      </w:r>
      <w:r>
        <w:rPr>
          <w:rFonts w:ascii="Times New Roman" w:hAnsi="Times New Roman" w:cs="Times New Roman"/>
        </w:rPr>
        <w:fldChar w:fldCharType="end"/>
      </w:r>
      <w:r>
        <w:fldChar w:fldCharType="begin"/>
      </w:r>
      <w:r>
        <w:instrText xml:space="preserve"> HYPERLINK "https://doi.org/10.1146/annurev-psych-022423-032425" \h </w:instrText>
      </w:r>
      <w:r>
        <w:fldChar w:fldCharType="separate"/>
      </w:r>
      <w:r>
        <w:rPr>
          <w:rFonts w:ascii="Times New Roman" w:hAnsi="Times New Roman" w:cs="Times New Roman"/>
          <w:color w:val="1155CC"/>
          <w:u w:val="single"/>
        </w:rPr>
        <w:t>https://doi.org/10.1146/annurev-psych-022423-032425</w:t>
      </w:r>
      <w:r>
        <w:rPr>
          <w:rFonts w:ascii="Times New Roman" w:hAnsi="Times New Roman" w:cs="Times New Roman"/>
          <w:color w:val="1155CC"/>
          <w:u w:val="single"/>
        </w:rPr>
        <w:fldChar w:fldCharType="end"/>
      </w:r>
      <w:r>
        <w:rPr>
          <w:rFonts w:ascii="Times New Roman" w:hAnsi="Times New Roman" w:cs="Times New Roman"/>
        </w:rPr>
        <w:t xml:space="preserve"> </w:t>
      </w:r>
    </w:p>
    <w:p w14:paraId="34BBD7D3">
      <w:pPr>
        <w:spacing w:line="480" w:lineRule="auto"/>
        <w:ind w:left="720" w:hanging="720"/>
        <w:jc w:val="both"/>
        <w:rPr>
          <w:rFonts w:ascii="Times New Roman" w:hAnsi="Times New Roman" w:cs="Times New Roman"/>
        </w:rPr>
      </w:pPr>
      <w:r>
        <w:rPr>
          <w:rFonts w:ascii="Times New Roman" w:hAnsi="Times New Roman" w:cs="Times New Roman"/>
        </w:rPr>
        <w:t xml:space="preserve">Gerlich, M. (2025). AI tools in society: Impacts on cognitive offloading and the future of critical thinking. </w:t>
      </w:r>
      <w:r>
        <w:rPr>
          <w:rFonts w:ascii="Times New Roman" w:hAnsi="Times New Roman" w:cs="Times New Roman"/>
          <w:i/>
          <w:iCs/>
        </w:rPr>
        <w:t>Societies, 15</w:t>
      </w:r>
      <w:r>
        <w:rPr>
          <w:rFonts w:ascii="Times New Roman" w:hAnsi="Times New Roman" w:cs="Times New Roman"/>
        </w:rPr>
        <w:t xml:space="preserve">(1), 6. </w:t>
      </w:r>
      <w:r>
        <w:fldChar w:fldCharType="begin"/>
      </w:r>
      <w:r>
        <w:instrText xml:space="preserve"> HYPERLINK "https://doi.org/10.3390/soc15010006" \h </w:instrText>
      </w:r>
      <w:r>
        <w:fldChar w:fldCharType="separate"/>
      </w:r>
      <w:r>
        <w:rPr>
          <w:rFonts w:ascii="Times New Roman" w:hAnsi="Times New Roman" w:cs="Times New Roman"/>
          <w:color w:val="1155CC"/>
          <w:u w:val="single"/>
        </w:rPr>
        <w:t>https://doi.org/10.3390/soc15010006</w:t>
      </w:r>
      <w:r>
        <w:rPr>
          <w:rFonts w:ascii="Times New Roman" w:hAnsi="Times New Roman" w:cs="Times New Roman"/>
          <w:color w:val="1155CC"/>
          <w:u w:val="single"/>
        </w:rPr>
        <w:fldChar w:fldCharType="end"/>
      </w:r>
    </w:p>
    <w:p w14:paraId="25538A47">
      <w:pPr>
        <w:spacing w:line="480" w:lineRule="auto"/>
        <w:ind w:left="720" w:hanging="720"/>
        <w:jc w:val="both"/>
        <w:rPr>
          <w:rFonts w:ascii="Times New Roman" w:hAnsi="Times New Roman" w:cs="Times New Roman"/>
        </w:rPr>
      </w:pPr>
      <w:r>
        <w:rPr>
          <w:rFonts w:ascii="Times New Roman" w:hAnsi="Times New Roman" w:cs="Times New Roman"/>
        </w:rPr>
        <w:t xml:space="preserve">Lee, H.-P., Sarkar, A., Tankelevitch, L., Drosos, I., Rintel, S., Banks, R., &amp; Wilson, N. (2025). The impact of generative AI on critical thinking: Self-reported reductions in cognitive effort and confidence effects from a survey of knowledge workers. In </w:t>
      </w:r>
      <w:r>
        <w:rPr>
          <w:rFonts w:ascii="Times New Roman" w:hAnsi="Times New Roman" w:cs="Times New Roman"/>
          <w:i/>
          <w:iCs/>
        </w:rPr>
        <w:t>Proceedings of the 2025 CHI Conference on Human Factors in Computing Systems</w:t>
      </w:r>
      <w:r>
        <w:rPr>
          <w:rFonts w:ascii="Times New Roman" w:hAnsi="Times New Roman" w:cs="Times New Roman"/>
        </w:rPr>
        <w:t xml:space="preserve"> (Article 1121, pp. 1–22). Association for Computing Machinery. </w:t>
      </w:r>
      <w:r>
        <w:fldChar w:fldCharType="begin"/>
      </w:r>
      <w:r>
        <w:instrText xml:space="preserve"> HYPERLINK "https://doi.org/10.1145/3706598.3713778" \h </w:instrText>
      </w:r>
      <w:r>
        <w:fldChar w:fldCharType="separate"/>
      </w:r>
      <w:r>
        <w:rPr>
          <w:rFonts w:ascii="Times New Roman" w:hAnsi="Times New Roman" w:cs="Times New Roman"/>
          <w:color w:val="1155CC"/>
          <w:u w:val="single"/>
        </w:rPr>
        <w:t>https://doi.org/10.1145/3706598.3713778</w:t>
      </w:r>
      <w:r>
        <w:rPr>
          <w:rFonts w:ascii="Times New Roman" w:hAnsi="Times New Roman" w:cs="Times New Roman"/>
          <w:color w:val="1155CC"/>
          <w:u w:val="single"/>
        </w:rPr>
        <w:fldChar w:fldCharType="end"/>
      </w:r>
    </w:p>
    <w:p w14:paraId="10EC8A5B">
      <w:pPr>
        <w:spacing w:line="480" w:lineRule="auto"/>
        <w:ind w:left="720" w:hanging="720"/>
        <w:jc w:val="both"/>
        <w:rPr>
          <w:rFonts w:ascii="Times New Roman" w:hAnsi="Times New Roman" w:cs="Times New Roman"/>
        </w:rPr>
      </w:pPr>
      <w:r>
        <w:rPr>
          <w:rFonts w:ascii="Times New Roman" w:hAnsi="Times New Roman" w:cs="Times New Roman"/>
        </w:rPr>
        <w:t xml:space="preserve">Risko, E. F., &amp; Gilbert, S. J. (2016). Cognitive offloading. </w:t>
      </w:r>
      <w:r>
        <w:rPr>
          <w:rFonts w:ascii="Times New Roman" w:hAnsi="Times New Roman" w:cs="Times New Roman"/>
          <w:i/>
          <w:iCs/>
        </w:rPr>
        <w:t>Trends in Cognitive Sciences, 20</w:t>
      </w:r>
      <w:r>
        <w:rPr>
          <w:rFonts w:ascii="Times New Roman" w:hAnsi="Times New Roman" w:cs="Times New Roman"/>
        </w:rPr>
        <w:t xml:space="preserve">(9), 676–688. </w:t>
      </w:r>
      <w:r>
        <w:fldChar w:fldCharType="begin"/>
      </w:r>
      <w:r>
        <w:instrText xml:space="preserve"> HYPERLINK "https://doi.org/10.1016/j.tics.2016.07.002" \h </w:instrText>
      </w:r>
      <w:r>
        <w:fldChar w:fldCharType="separate"/>
      </w:r>
      <w:r>
        <w:rPr>
          <w:rFonts w:ascii="Times New Roman" w:hAnsi="Times New Roman" w:cs="Times New Roman"/>
          <w:color w:val="1155CC"/>
          <w:u w:val="single"/>
        </w:rPr>
        <w:t>https://doi.org/10.1016/j.tics.2016.07.002</w:t>
      </w:r>
      <w:r>
        <w:rPr>
          <w:rFonts w:ascii="Times New Roman" w:hAnsi="Times New Roman" w:cs="Times New Roman"/>
          <w:color w:val="1155CC"/>
          <w:u w:val="single"/>
        </w:rPr>
        <w:fldChar w:fldCharType="end"/>
      </w:r>
    </w:p>
    <w:p w14:paraId="5D848040">
      <w:pPr>
        <w:spacing w:line="480" w:lineRule="auto"/>
        <w:ind w:left="720" w:hanging="720"/>
        <w:jc w:val="both"/>
        <w:rPr>
          <w:rFonts w:ascii="Times New Roman" w:hAnsi="Times New Roman" w:cs="Times New Roman"/>
        </w:rPr>
      </w:pPr>
      <w:r>
        <w:rPr>
          <w:rFonts w:ascii="Times New Roman" w:hAnsi="Times New Roman" w:cs="Times New Roman"/>
        </w:rPr>
        <w:t xml:space="preserve">Stephenson, R., &amp; Armstrong, C. (2026). </w:t>
      </w:r>
      <w:r>
        <w:rPr>
          <w:rFonts w:ascii="Times New Roman" w:hAnsi="Times New Roman" w:cs="Times New Roman"/>
          <w:i/>
          <w:iCs/>
        </w:rPr>
        <w:t>Student generative AI survey 2026</w:t>
      </w:r>
      <w:r>
        <w:rPr>
          <w:rFonts w:ascii="Times New Roman" w:hAnsi="Times New Roman" w:cs="Times New Roman"/>
        </w:rPr>
        <w:t xml:space="preserve"> (HEPI Report </w:t>
      </w:r>
      <w:r>
        <w:rPr>
          <w:rFonts w:hint="eastAsia" w:ascii="Times New Roman" w:hAnsi="Times New Roman" w:cs="Times New Roman"/>
        </w:rPr>
        <w:t xml:space="preserve">No. </w:t>
      </w:r>
      <w:r>
        <w:rPr>
          <w:rFonts w:ascii="Times New Roman" w:hAnsi="Times New Roman" w:cs="Times New Roman"/>
        </w:rPr>
        <w:t xml:space="preserve">199). Higher Education Policy Institute. </w:t>
      </w:r>
      <w:r>
        <w:fldChar w:fldCharType="begin"/>
      </w:r>
      <w:r>
        <w:instrText xml:space="preserve"> HYPERLINK "https://www.hepi.ac.uk/reports/student-generative-ai-survey-2026/" \h </w:instrText>
      </w:r>
      <w:r>
        <w:fldChar w:fldCharType="separate"/>
      </w:r>
      <w:r>
        <w:rPr>
          <w:rFonts w:ascii="Times New Roman" w:hAnsi="Times New Roman" w:cs="Times New Roman"/>
          <w:color w:val="1155CC"/>
          <w:u w:val="single"/>
        </w:rPr>
        <w:t>https://www.hepi.ac.uk/reports/student-generative-ai-survey-2026/</w:t>
      </w:r>
      <w:r>
        <w:rPr>
          <w:rFonts w:ascii="Times New Roman" w:hAnsi="Times New Roman" w:cs="Times New Roman"/>
          <w:color w:val="1155CC"/>
          <w:u w:val="single"/>
        </w:rPr>
        <w:fldChar w:fldCharType="end"/>
      </w:r>
    </w:p>
    <w:p w14:paraId="3F39041F">
      <w:pPr>
        <w:spacing w:line="480" w:lineRule="auto"/>
        <w:ind w:left="720" w:hanging="720"/>
        <w:jc w:val="both"/>
        <w:rPr>
          <w:rFonts w:ascii="Times New Roman" w:hAnsi="Times New Roman" w:cs="Times New Roman"/>
        </w:rPr>
      </w:pPr>
      <w:r>
        <w:rPr>
          <w:rFonts w:ascii="Times New Roman" w:hAnsi="Times New Roman" w:cs="Times New Roman"/>
        </w:rPr>
        <w:t xml:space="preserve">Ward, A. F. (2021). People mistake the internet’s knowledge for their own. </w:t>
      </w:r>
      <w:r>
        <w:rPr>
          <w:rFonts w:ascii="Times New Roman" w:hAnsi="Times New Roman" w:cs="Times New Roman"/>
          <w:i/>
          <w:iCs/>
        </w:rPr>
        <w:t>Proceedings of the National Academy of Sciences, 118</w:t>
      </w:r>
      <w:r>
        <w:rPr>
          <w:rFonts w:ascii="Times New Roman" w:hAnsi="Times New Roman" w:cs="Times New Roman"/>
        </w:rPr>
        <w:t xml:space="preserve">(43), e2105061118. </w:t>
      </w:r>
      <w:r>
        <w:fldChar w:fldCharType="begin"/>
      </w:r>
      <w:r>
        <w:instrText xml:space="preserve"> HYPERLINK "https://doi.org/10.1073/pnas.2105061118" \h </w:instrText>
      </w:r>
      <w:r>
        <w:fldChar w:fldCharType="separate"/>
      </w:r>
      <w:r>
        <w:rPr>
          <w:rFonts w:ascii="Times New Roman" w:hAnsi="Times New Roman" w:cs="Times New Roman"/>
          <w:color w:val="1155CC"/>
          <w:u w:val="single"/>
        </w:rPr>
        <w:t>https://doi.org/10.1073/pnas.2105061118</w:t>
      </w:r>
      <w:r>
        <w:rPr>
          <w:rFonts w:ascii="Times New Roman" w:hAnsi="Times New Roman" w:cs="Times New Roman"/>
          <w:color w:val="1155CC"/>
          <w:u w:val="single"/>
        </w:rPr>
        <w:fldChar w:fldCharType="end"/>
      </w:r>
    </w:p>
    <w:p w14:paraId="095FF02F">
      <w:pPr>
        <w:spacing w:line="480" w:lineRule="auto"/>
        <w:ind w:left="720" w:hanging="720"/>
        <w:jc w:val="both"/>
        <w:rPr>
          <w:rFonts w:ascii="Times New Roman" w:hAnsi="Times New Roman" w:cs="Times New Roman"/>
        </w:rPr>
      </w:pPr>
      <w:r>
        <w:rPr>
          <w:rFonts w:ascii="Times New Roman" w:hAnsi="Times New Roman" w:cs="Times New Roman"/>
        </w:rPr>
        <w:t xml:space="preserve">Xu, X., Qiao, L., Cheng, N., Liu, H., &amp; Zhao, W. (2025). Enhancing self-regulated learning and learning experience in generative AI environments: The critical role of metacognitive support. </w:t>
      </w:r>
      <w:r>
        <w:rPr>
          <w:rFonts w:ascii="Times New Roman" w:hAnsi="Times New Roman" w:cs="Times New Roman"/>
          <w:i/>
          <w:iCs/>
        </w:rPr>
        <w:t>British Journal of Educational Technology, 56</w:t>
      </w:r>
      <w:r>
        <w:rPr>
          <w:rFonts w:ascii="Times New Roman" w:hAnsi="Times New Roman" w:cs="Times New Roman"/>
        </w:rPr>
        <w:t xml:space="preserve">(5), 1842–1863. </w:t>
      </w:r>
      <w:r>
        <w:fldChar w:fldCharType="begin"/>
      </w:r>
      <w:r>
        <w:instrText xml:space="preserve"> HYPERLINK "https://doi.org/10.1111/bjet.13599" \h </w:instrText>
      </w:r>
      <w:r>
        <w:fldChar w:fldCharType="separate"/>
      </w:r>
      <w:r>
        <w:rPr>
          <w:rFonts w:ascii="Times New Roman" w:hAnsi="Times New Roman" w:cs="Times New Roman"/>
          <w:color w:val="1155CC"/>
          <w:u w:val="single"/>
        </w:rPr>
        <w:t>https://doi.org/10.1111/bjet.13599</w:t>
      </w:r>
      <w:r>
        <w:rPr>
          <w:rFonts w:ascii="Times New Roman" w:hAnsi="Times New Roman" w:cs="Times New Roman"/>
          <w:color w:val="1155CC"/>
          <w:u w:val="single"/>
        </w:rPr>
        <w:fldChar w:fldCharType="end"/>
      </w:r>
    </w:p>
    <w:sectPr>
      <w:headerReference r:id="rId3" w:type="default"/>
      <w:pgSz w:w="12240" w:h="15840"/>
      <w:pgMar w:top="1440" w:right="1440" w:bottom="1440" w:left="1440" w:header="708" w:footer="708"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3D87126D-FE61-7499-9B7A-956A1AD38AF1}"/>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panose1 w:val="02040503050406030204"/>
    <w:charset w:val="00"/>
    <w:family w:val="roman"/>
    <w:pitch w:val="default"/>
    <w:sig w:usb0="E00006FF" w:usb1="420024FF" w:usb2="02000000" w:usb3="00000000" w:csb0="2000019F" w:csb1="00000000"/>
    <w:embedRegular r:id="rId2" w:fontKey="{6E5BDD16-7AD1-7DED-9B7A-956A0440EE25}"/>
  </w:font>
  <w:font w:name="Georgia">
    <w:panose1 w:val="02040502050405090303"/>
    <w:charset w:val="00"/>
    <w:family w:val="roman"/>
    <w:pitch w:val="default"/>
    <w:sig w:usb0="00000287" w:usb1="00000000" w:usb2="00000000" w:usb3="00000000" w:csb0="200000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77">
    <w:pPr>
      <w:jc w:val="right"/>
    </w:pPr>
    <w:r>
      <w:rPr>
        <w:rFonts w:ascii="Times New Roman" w:hAnsi="Times New Roman" w:eastAsia="Times New Roman" w:cs="Times New Roman"/>
      </w:rPr>
      <w:fldChar w:fldCharType="begin"/>
    </w:r>
    <w:r>
      <w:rPr>
        <w:rFonts w:ascii="Times New Roman" w:hAnsi="Times New Roman" w:eastAsia="Times New Roman" w:cs="Times New Roman"/>
      </w:rPr>
      <w:instrText xml:space="preserve">PAGE</w:instrText>
    </w:r>
    <w:r>
      <w:rPr>
        <w:rFonts w:ascii="Times New Roman" w:hAnsi="Times New Roman" w:eastAsia="Times New Roman" w:cs="Times New Roman"/>
      </w:rPr>
      <w:fldChar w:fldCharType="separate"/>
    </w:r>
    <w:r>
      <w:rPr>
        <w:rFonts w:ascii="Times New Roman" w:hAnsi="Times New Roman" w:eastAsia="Times New Roman" w:cs="Times New Roman"/>
      </w:rPr>
      <w:t>1</w:t>
    </w:r>
    <w:r>
      <w:rPr>
        <w:rFonts w:ascii="Times New Roman" w:hAnsi="Times New Roman" w:eastAsia="Times New Roman" w:cs="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7F7"/>
    <w:rsid w:val="00354282"/>
    <w:rsid w:val="007D6558"/>
    <w:rsid w:val="00895E05"/>
    <w:rsid w:val="008D77F7"/>
    <w:rsid w:val="00BD39D4"/>
    <w:rsid w:val="00CB1190"/>
    <w:rsid w:val="00E45C7D"/>
    <w:rsid w:val="00ED57AA"/>
    <w:rsid w:val="2DD17171"/>
    <w:rsid w:val="2DDC3B3C"/>
    <w:rsid w:val="4C404189"/>
    <w:rsid w:val="5D8B5480"/>
    <w:rsid w:val="65FB4CAD"/>
    <w:rsid w:val="7379604F"/>
    <w:rsid w:val="D8FED7E0"/>
    <w:rsid w:val="E7F70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zh-CN" w:bidi="ar-SA"/>
    </w:rPr>
  </w:style>
  <w:style w:type="paragraph" w:styleId="2">
    <w:name w:val="heading 1"/>
    <w:basedOn w:val="1"/>
    <w:next w:val="1"/>
    <w:uiPriority w:val="0"/>
    <w:pPr>
      <w:outlineLvl w:val="0"/>
    </w:pPr>
    <w:rPr>
      <w:rFonts w:ascii="Times New Roman" w:hAnsi="Times New Roman" w:eastAsia="Times New Roman" w:cs="Times New Roman"/>
      <w:color w:val="2E74B5"/>
      <w:sz w:val="32"/>
      <w:szCs w:val="32"/>
    </w:rPr>
  </w:style>
  <w:style w:type="paragraph" w:styleId="3">
    <w:name w:val="heading 2"/>
    <w:basedOn w:val="1"/>
    <w:next w:val="1"/>
    <w:qFormat/>
    <w:uiPriority w:val="0"/>
    <w:pPr>
      <w:outlineLvl w:val="1"/>
    </w:pPr>
    <w:rPr>
      <w:rFonts w:ascii="Times New Roman" w:hAnsi="Times New Roman" w:eastAsia="Times New Roman" w:cs="Times New Roman"/>
      <w:color w:val="2E74B5"/>
      <w:sz w:val="26"/>
      <w:szCs w:val="26"/>
    </w:rPr>
  </w:style>
  <w:style w:type="paragraph" w:styleId="4">
    <w:name w:val="heading 3"/>
    <w:basedOn w:val="1"/>
    <w:next w:val="1"/>
    <w:uiPriority w:val="0"/>
    <w:pPr>
      <w:outlineLvl w:val="2"/>
    </w:pPr>
    <w:rPr>
      <w:rFonts w:ascii="Times New Roman" w:hAnsi="Times New Roman" w:eastAsia="Times New Roman" w:cs="Times New Roman"/>
      <w:color w:val="1F4D78"/>
    </w:rPr>
  </w:style>
  <w:style w:type="paragraph" w:styleId="5">
    <w:name w:val="heading 4"/>
    <w:basedOn w:val="1"/>
    <w:next w:val="1"/>
    <w:qFormat/>
    <w:uiPriority w:val="0"/>
    <w:pPr>
      <w:outlineLvl w:val="3"/>
    </w:pPr>
    <w:rPr>
      <w:rFonts w:ascii="Times New Roman" w:hAnsi="Times New Roman" w:eastAsia="Times New Roman" w:cs="Times New Roman"/>
      <w:i/>
      <w:iCs/>
      <w:color w:val="2E74B5"/>
    </w:rPr>
  </w:style>
  <w:style w:type="paragraph" w:styleId="6">
    <w:name w:val="heading 5"/>
    <w:basedOn w:val="1"/>
    <w:next w:val="1"/>
    <w:qFormat/>
    <w:uiPriority w:val="0"/>
    <w:pPr>
      <w:outlineLvl w:val="4"/>
    </w:pPr>
    <w:rPr>
      <w:rFonts w:ascii="Times New Roman" w:hAnsi="Times New Roman" w:eastAsia="Times New Roman" w:cs="Times New Roman"/>
      <w:color w:val="2E74B5"/>
    </w:rPr>
  </w:style>
  <w:style w:type="paragraph" w:styleId="7">
    <w:name w:val="heading 6"/>
    <w:basedOn w:val="1"/>
    <w:next w:val="1"/>
    <w:qFormat/>
    <w:uiPriority w:val="0"/>
    <w:pPr>
      <w:outlineLvl w:val="5"/>
    </w:pPr>
    <w:rPr>
      <w:rFonts w:ascii="Times New Roman" w:hAnsi="Times New Roman" w:eastAsia="Times New Roman" w:cs="Times New Roman"/>
      <w:color w:val="1F4D78"/>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8">
    <w:name w:val="Subtitle"/>
    <w:basedOn w:val="1"/>
    <w:next w:val="1"/>
    <w:uiPriority w:val="0"/>
    <w:pPr>
      <w:keepNext/>
      <w:keepLines/>
      <w:spacing w:before="360" w:after="80"/>
    </w:pPr>
    <w:rPr>
      <w:rFonts w:ascii="Georgia" w:hAnsi="Georgia" w:eastAsia="Georgia" w:cs="Georgia"/>
      <w:i/>
      <w:iCs/>
      <w:color w:val="666666"/>
      <w:sz w:val="48"/>
      <w:szCs w:val="48"/>
    </w:rPr>
  </w:style>
  <w:style w:type="paragraph" w:styleId="9">
    <w:name w:val="Title"/>
    <w:basedOn w:val="1"/>
    <w:next w:val="1"/>
    <w:qFormat/>
    <w:uiPriority w:val="0"/>
    <w:rPr>
      <w:rFonts w:ascii="Times New Roman" w:hAnsi="Times New Roman" w:eastAsia="Times New Roman" w:cs="Times New Roman"/>
      <w:color w:val="000000"/>
      <w:sz w:val="56"/>
      <w:szCs w:val="56"/>
    </w:rPr>
  </w:style>
  <w:style w:type="table" w:customStyle="1" w:styleId="12">
    <w:name w:val="TableNormal"/>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11</Pages>
  <Words>2220</Words>
  <Characters>12859</Characters>
  <Lines>247</Lines>
  <Paragraphs>64</Paragraphs>
  <TotalTime>91</TotalTime>
  <ScaleCrop>false</ScaleCrop>
  <LinksUpToDate>false</LinksUpToDate>
  <CharactersWithSpaces>15015</CharactersWithSpaces>
  <Application>WPS Office_7.2.1.8947_F1E327BC-269C-435d-A152-05C5408002CA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2026-07-31T22:15:00Z</dcterms:created>
  <dc:creator>Data</dc:creator>
  <cp:lastModifiedBy>Ella</cp:lastModifiedBy>
  <dcterms:modified xsi:type="dcterms:W3CDTF">2026-08-31T20:59:07Z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2052-7.2.1.8947</vt:lpwstr>
  </property>
  <property fmtid="{D5CDD505-2E9C-101B-9397-08002B2CF9AE}" pid="3" name="ICV">
    <vt:lpwstr>A33A2BC211F4883CFA79956A2F225238_43</vt:lpwstr>
  </property>
  <property fmtid="{D5CDD505-2E9C-101B-9397-08002B2CF9AE}" pid="4" name="KSOTemplateDocerSaveRecord">
    <vt:lpwstr>eyJoZGlkIjoiYWY0ZWM4MGFmODgxZWIxNGM3ODM3MzFkN2I4ODBhZjYiLCJ1c2VySWQiOiI4ODkyOTIyMDEifQ==</vt:lpwstr>
  </property>
  <property fmtid="{D5CDD505-2E9C-101B-9397-08002B2CF9AE}" pid="5" name="GrammarlyDocumentId">
    <vt:lpwstr>1ca487ba-5d51-41f5-aa39-2f399cf9488e</vt:lpwstr>
  </property>
</Properties>
</file>