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56D7" w:rsidRDefault="0000000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sz w:val="28"/>
          <w:szCs w:val="28"/>
          <w:lang w:val="en-US"/>
        </w:rPr>
      </w:pPr>
      <w:r>
        <w:rPr>
          <w:rStyle w:val="Strong"/>
          <w:rFonts w:ascii="Times New Roman Regular" w:eastAsiaTheme="majorEastAsia" w:hAnsi="Times New Roman Regular" w:cs="Times New Roman Regular"/>
          <w:sz w:val="28"/>
          <w:szCs w:val="28"/>
          <w:lang w:val="en-US"/>
        </w:rPr>
        <w:t>What is gained and lost when students delegate cognitive labor to AI? Is this simply cognitive offloading, or something fundamentally different?</w:t>
      </w:r>
    </w:p>
    <w:p w:rsidR="00D656D7" w:rsidRDefault="00D656D7">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D23B6B" w:rsidRDefault="0000000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roofErr w:type="gramStart"/>
      <w:r>
        <w:rPr>
          <w:rStyle w:val="Strong"/>
          <w:rFonts w:ascii="Times New Roman Regular" w:eastAsiaTheme="majorEastAsia" w:hAnsi="Times New Roman Regular" w:cs="Times New Roman Regular"/>
          <w:lang w:val="en-US"/>
        </w:rPr>
        <w:t>CHUYI,  ZHANG</w:t>
      </w:r>
      <w:proofErr w:type="gramEnd"/>
      <w:r w:rsidR="007F0991">
        <w:rPr>
          <w:rStyle w:val="Strong"/>
          <w:rFonts w:ascii="Times New Roman Regular" w:eastAsiaTheme="majorEastAsia" w:hAnsi="Times New Roman Regular" w:cs="Times New Roman Regular"/>
          <w:lang w:val="en-US"/>
        </w:rPr>
        <w:t>,</w:t>
      </w:r>
    </w:p>
    <w:p w:rsidR="00D656D7" w:rsidRDefault="007F0991">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r w:rsidRPr="007F0991">
        <w:rPr>
          <w:rStyle w:val="Strong"/>
          <w:rFonts w:ascii="Times New Roman Regular" w:eastAsiaTheme="majorEastAsia" w:hAnsi="Times New Roman Regular" w:cs="Times New Roman Regular"/>
          <w:lang w:val="en-US"/>
        </w:rPr>
        <w:t>Minhang Crosspoint Academy</w:t>
      </w:r>
    </w:p>
    <w:p w:rsidR="00D656D7" w:rsidRDefault="00D656D7">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rsidP="00AE347A">
      <w:pPr>
        <w:pStyle w:val="NormalWeb"/>
        <w:spacing w:before="0" w:beforeAutospacing="0" w:after="0" w:afterAutospacing="0" w:line="480" w:lineRule="auto"/>
        <w:rPr>
          <w:rStyle w:val="Strong"/>
          <w:rFonts w:ascii="Times New Roman Regular" w:eastAsiaTheme="majorEastAsia" w:hAnsi="Times New Roman Regular" w:cs="Times New Roman Regular"/>
          <w:lang w:val="en-US"/>
        </w:rPr>
      </w:pPr>
    </w:p>
    <w:p w:rsidR="00AE347A" w:rsidRDefault="00AE347A" w:rsidP="00AE347A">
      <w:pPr>
        <w:pStyle w:val="NormalWeb"/>
        <w:spacing w:before="0" w:beforeAutospacing="0" w:after="0" w:afterAutospacing="0" w:line="480" w:lineRule="auto"/>
        <w:rPr>
          <w:rStyle w:val="Strong"/>
          <w:rFonts w:ascii="Times New Roman Regular" w:eastAsiaTheme="majorEastAsia" w:hAnsi="Times New Roman Regular" w:cs="Times New Roman Regular" w:hint="eastAsia"/>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280730" w:rsidRDefault="0028073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p>
    <w:p w:rsidR="00D656D7" w:rsidRDefault="00000000">
      <w:pPr>
        <w:pStyle w:val="NormalWeb"/>
        <w:spacing w:before="0" w:beforeAutospacing="0" w:after="0" w:afterAutospacing="0" w:line="480" w:lineRule="auto"/>
        <w:jc w:val="center"/>
        <w:rPr>
          <w:rStyle w:val="Strong"/>
          <w:rFonts w:ascii="Times New Roman Regular" w:eastAsiaTheme="majorEastAsia" w:hAnsi="Times New Roman Regular" w:cs="Times New Roman Regular"/>
          <w:lang w:val="en-US"/>
        </w:rPr>
      </w:pPr>
      <w:r>
        <w:rPr>
          <w:rStyle w:val="Strong"/>
          <w:rFonts w:ascii="Times New Roman Regular" w:eastAsiaTheme="majorEastAsia" w:hAnsi="Times New Roman Regular" w:cs="Times New Roman Regular"/>
          <w:lang w:val="en-US"/>
        </w:rPr>
        <w:lastRenderedPageBreak/>
        <w:t>Abstract</w:t>
      </w:r>
    </w:p>
    <w:p w:rsidR="00D656D7" w:rsidRDefault="00000000">
      <w:pPr>
        <w:spacing w:after="0"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 xml:space="preserve">With the trend of students’ use of AI to offload their cognitive labor, the question of whether delegation is worthwhile or simply flawed becomes increasingly important. The use of AI is not simply cognitive offloading, but a transformative change in learning. In this essay, the losses and gains are discussed when students displace their cognitive labor to AI. Not only </w:t>
      </w:r>
      <w:r>
        <w:rPr>
          <w:rFonts w:ascii="Times New Roman Regular" w:hAnsi="Times New Roman Regular" w:cs="Times New Roman Regular" w:hint="eastAsia"/>
          <w:lang w:val="en-US"/>
        </w:rPr>
        <w:t>is ther</w:t>
      </w:r>
      <w:r>
        <w:rPr>
          <w:rFonts w:ascii="Times New Roman Regular" w:hAnsi="Times New Roman Regular" w:cs="Times New Roman Regular"/>
          <w:lang w:val="en-US"/>
        </w:rPr>
        <w:t xml:space="preserve">e potential harm to memory, considering the immaturity of their brains and critical thinking abilities, students are also vulnerable to incorrect or misleading information provided by AI due to algorithmic bias. However, with appropriate use, AI can work as a powerful tool to provide  </w:t>
      </w:r>
    </w:p>
    <w:p w:rsidR="00D656D7" w:rsidRDefault="00000000">
      <w:pPr>
        <w:spacing w:after="0" w:line="480" w:lineRule="auto"/>
        <w:rPr>
          <w:rFonts w:ascii="Times New Roman Regular" w:hAnsi="Times New Roman Regular" w:cs="Times New Roman Regular"/>
          <w:lang w:val="en-US"/>
        </w:rPr>
      </w:pPr>
      <w:r>
        <w:rPr>
          <w:rFonts w:ascii="Times New Roman Regular" w:hAnsi="Times New Roman Regular" w:cs="Times New Roman Regular"/>
          <w:lang w:val="en-US"/>
        </w:rPr>
        <w:t>robust assistance for students to increase efficiency and academic performance. Moreover,</w:t>
      </w:r>
      <w:r>
        <w:rPr>
          <w:rFonts w:ascii="Times New Roman Regular" w:hAnsi="Times New Roman Regular" w:cs="Times New Roman Regular" w:hint="eastAsia"/>
          <w:lang w:val="en-US"/>
        </w:rPr>
        <w:t xml:space="preserve"> </w:t>
      </w:r>
      <w:r>
        <w:rPr>
          <w:rFonts w:ascii="Times New Roman Regular" w:hAnsi="Times New Roman Regular" w:cs="Times New Roman Regular"/>
          <w:lang w:val="en-US"/>
        </w:rPr>
        <w:t>AI can also facili</w:t>
      </w:r>
      <w:r>
        <w:rPr>
          <w:rFonts w:ascii="Times New Roman Regular" w:hAnsi="Times New Roman Regular" w:cs="Times New Roman Regular" w:hint="eastAsia"/>
          <w:lang w:val="en-US"/>
        </w:rPr>
        <w:t>t</w:t>
      </w:r>
      <w:r>
        <w:rPr>
          <w:rFonts w:ascii="Times New Roman Regular" w:hAnsi="Times New Roman Regular" w:cs="Times New Roman Regular"/>
          <w:lang w:val="en-US"/>
        </w:rPr>
        <w:t xml:space="preserve">ate students to learn new skills, especially in learning </w:t>
      </w:r>
      <w:r>
        <w:rPr>
          <w:rFonts w:ascii="Times New Roman Regular" w:hAnsi="Times New Roman Regular" w:cs="Times New Roman Regular" w:hint="eastAsia"/>
          <w:lang w:val="en-US"/>
        </w:rPr>
        <w:t xml:space="preserve">a </w:t>
      </w:r>
      <w:r>
        <w:rPr>
          <w:rFonts w:ascii="Times New Roman Regular" w:hAnsi="Times New Roman Regular" w:cs="Times New Roman Regular"/>
          <w:lang w:val="en-US"/>
        </w:rPr>
        <w:t>language in a</w:t>
      </w:r>
      <w:r>
        <w:rPr>
          <w:rFonts w:ascii="Times New Roman Regular" w:hAnsi="Times New Roman Regular" w:cs="Times New Roman Regular" w:hint="eastAsia"/>
          <w:lang w:val="en-US"/>
        </w:rPr>
        <w:t>n</w:t>
      </w:r>
      <w:r>
        <w:rPr>
          <w:rFonts w:ascii="Times New Roman Regular" w:hAnsi="Times New Roman Regular" w:cs="Times New Roman Regular"/>
          <w:lang w:val="en-US"/>
        </w:rPr>
        <w:t xml:space="preserve"> interactive and effective way. Therefore, AI should not be generalized as inherently negative for students to use. Instead, we would be better off focusing on how students can use AI appropriately to balance the trade-off between its potential cognitive harm and benefits.</w:t>
      </w:r>
    </w:p>
    <w:p w:rsidR="00D656D7" w:rsidRPr="007F0991" w:rsidRDefault="00000000">
      <w:pPr>
        <w:spacing w:after="0" w:line="480" w:lineRule="auto"/>
        <w:rPr>
          <w:b/>
          <w:bCs/>
          <w:lang w:val="en-US"/>
        </w:rPr>
      </w:pPr>
      <w:r w:rsidRPr="007F0991">
        <w:rPr>
          <w:b/>
          <w:bCs/>
          <w:lang w:val="en-US"/>
        </w:rPr>
        <w:br w:type="page"/>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lastRenderedPageBreak/>
        <w:t xml:space="preserve">On November 30, 2022, OpenAI launched ChatGPT, a brand-new trend that triggered a global wave of artificial intelligence, also known as AI. It can replace a wide range of human cognitive tasks, from decisions on daily tasks and time management to text generation. Gradually, AI has replaced partial human cognitive labor, “the labor involves the effortful engagement of executive control” (Kool &amp; </w:t>
      </w:r>
      <w:proofErr w:type="spellStart"/>
      <w:r>
        <w:rPr>
          <w:rFonts w:ascii="Times New Roman Regular" w:hAnsi="Times New Roman Regular" w:cs="Times New Roman Regular"/>
          <w:lang w:val="en-US"/>
        </w:rPr>
        <w:t>Botvinick</w:t>
      </w:r>
      <w:proofErr w:type="spellEnd"/>
      <w:r>
        <w:rPr>
          <w:rFonts w:ascii="Times New Roman Regular" w:hAnsi="Times New Roman Regular" w:cs="Times New Roman Regular"/>
          <w:lang w:val="en-US"/>
        </w:rPr>
        <w:t xml:space="preserve">, 2014). While widely delegating cognitive tasks to AI, it leads many researchers and the general public to reflect on whether such wide usage of AI is truly beneficial for students. In this essay, I will discuss and analyze the losses and gains when students delegate their cognitive labor to AI. From my perspective, I believe the use of AI is not simply cognitive offloading, but it has fundamentally changed how students learn; thus, it is important to utilize AI strategically.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 xml:space="preserve">Students have adopted AI as a tool widely after it was published. A survey by the Digital Education Council in 2024 among 3839 students across 16 countries found that 86% were already using AI in their studies (Digital Education Council, 2024). There are various approaches to utilizing AI, including using it to finish assignments or exams. A survey by BestCollege among 1000 college students shows that 50% of students used AI to finish some parts of their assignments and 30% used it for the majority of assignments (Welding, 2023). Such a phenomenon raises the question about the impact of delegating cognitive labor to AI on students’ learning and cognitive development.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As AI assists students in offloading cognitive labor, students face the risks of declining memory of learned information. In recent years, AI, as an external tool, has become widely adopted by students (Amoah et al., 2025). In the spite of students’ different usage of AI, it can be conceptualized and summarized as cognitive offloading, which refers to the delegation of cognitive tasks to external resources to reduce mental demand (</w:t>
      </w:r>
      <w:proofErr w:type="spellStart"/>
      <w:r>
        <w:rPr>
          <w:rFonts w:ascii="Times New Roman Regular" w:hAnsi="Times New Roman Regular" w:cs="Times New Roman Regular"/>
          <w:lang w:val="en-US"/>
        </w:rPr>
        <w:t>Chirayath</w:t>
      </w:r>
      <w:proofErr w:type="spellEnd"/>
      <w:r>
        <w:rPr>
          <w:rFonts w:ascii="Times New Roman Regular" w:hAnsi="Times New Roman Regular" w:cs="Times New Roman Regular"/>
          <w:lang w:val="en-US"/>
        </w:rPr>
        <w:t xml:space="preserve"> et al., 2025). While the </w:t>
      </w:r>
      <w:r>
        <w:rPr>
          <w:rFonts w:ascii="Times New Roman Regular" w:hAnsi="Times New Roman Regular" w:cs="Times New Roman Regular"/>
          <w:lang w:val="en-US"/>
        </w:rPr>
        <w:lastRenderedPageBreak/>
        <w:t xml:space="preserve">human demand for cognitive offloading is instinctive, according to Social Baseline Theory, human brains are naturally oriented toward relying on available external resources to reduce cognitive demands (Beckes &amp; Coan, 2011). However, the delegation may further lead to excessive reliance on technologies rather than their own cognitive abilities. For instance, the Google effect, proposed by Sparrow et al. (2011), argues that individual place great reliance on the internet as a source of knowledge rather than remembering by themselves. Transferring the cognitive labor of remembering to external tools can free up students’ own cognitive resources. Nevertheless, it also increases their possibilities to forget the information. According to Ebbinghaus (1913), without intentional recall, human memory of information will progressively lose it, especially in the initial period. </w:t>
      </w:r>
      <w:bookmarkStart w:id="0" w:name="OLE_LINK1"/>
      <w:r>
        <w:rPr>
          <w:rFonts w:ascii="Times New Roman Regular" w:hAnsi="Times New Roman Regular" w:cs="Times New Roman Regular"/>
          <w:lang w:val="en-US"/>
        </w:rPr>
        <w:t xml:space="preserve">Therefore, with AI, a convenient and easily accessible technology, students may be unconsciously inclined to offload more cognitive loads: not only memory, but also explanation, interpretation, and even text generation. </w:t>
      </w:r>
      <w:bookmarkEnd w:id="0"/>
      <w:r>
        <w:rPr>
          <w:rFonts w:ascii="Times New Roman Regular" w:hAnsi="Times New Roman Regular" w:cs="Times New Roman Regular"/>
          <w:lang w:val="en-US"/>
        </w:rPr>
        <w:t xml:space="preserve">In general, easy accessibility of information online may induce students’ cognitive offloading frequency instead of their own cognitive capacity.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 xml:space="preserve">Moreover, unlike traditional external tools, such as notebooks or search engines, AI can not only provide information but also help to process it, such as interpret data, evaluate risks, plan actions, and so on (Abbass, 2019). These forms of processing can be categorized as metacognitive tasks. Metacognition, defined by Weinert and Rainer Kluwe (1987), is “an understanding of knowledge, an understanding that can be reflected in either effective use or overt description of the knowledge in question.” The process of reasoning, explaining, or evaluating can be considered a manifestation of learned knowledge. When students delegate these metacognitive tasks to the external tool—AI—they have fewer opportunities to engage in deep analysis and thinking. At the same time, metacognition is strongly related to critical </w:t>
      </w:r>
      <w:r>
        <w:rPr>
          <w:rFonts w:ascii="Times New Roman Regular" w:hAnsi="Times New Roman Regular" w:cs="Times New Roman Regular"/>
          <w:lang w:val="en-US"/>
        </w:rPr>
        <w:lastRenderedPageBreak/>
        <w:t>thinking ability (Magno, 2010). As a result, the suboptimal performance of metacognition may influence students’ critical thinking, especially when they judge and distinguish the authenticity of information provided by AI. Unfortunately, research found that among younger participants (17–25), there was a strong negative correlation between AI tool usage and cognitive offloading and critical thinking variables (r=-.494) (Gerlich, 2025). Moreover, AI exhibits algorithmic bias, a form of discrimination that happens in machine systems due to biased data (</w:t>
      </w:r>
      <w:proofErr w:type="spellStart"/>
      <w:r>
        <w:rPr>
          <w:rFonts w:ascii="Times New Roman Regular" w:hAnsi="Times New Roman Regular" w:cs="Times New Roman Regular"/>
          <w:lang w:val="en-US"/>
        </w:rPr>
        <w:t>Mbalaka</w:t>
      </w:r>
      <w:proofErr w:type="spellEnd"/>
      <w:r>
        <w:rPr>
          <w:rFonts w:ascii="Times New Roman Regular" w:hAnsi="Times New Roman Regular" w:cs="Times New Roman Regular"/>
          <w:lang w:val="en-US"/>
        </w:rPr>
        <w:t xml:space="preserve">, 2023). The discrimination may unfairly regard with certain groups of people, such as racism and sexism. As a younger generation, students play an important and potential role in shaping future social norms and values. Without robust critical thinking ability, they may be vulnerable to these biased messages generated or reinforced by AI, potentially escalating social inequality.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 xml:space="preserve">Besides observable behavior, the immaturity of minor brain structures, particularly the prefrontal cortex, also increases the possibility for students to over-rely on AI tools, replacing their own thinking process. As one of the crucial components of the brain’s areas, the prefrontal cortex partially manages cognitive control, including integration of multiple tasks and relevant information (Miller &amp; Cohen, 2001). However, the fMRI results suggest that the prefrontal cortex in adolescent brains is still immature, which may contribute to incomplete development of executive functions (Blakemore &amp; Choudhury, 2006). Without mature judgment, students may fall into misleading information. </w:t>
      </w:r>
    </w:p>
    <w:p w:rsidR="00D656D7" w:rsidRDefault="00000000">
      <w:pPr>
        <w:spacing w:line="480" w:lineRule="auto"/>
        <w:ind w:firstLine="720"/>
        <w:rPr>
          <w:rFonts w:ascii="Times New Roman Regular" w:hAnsi="Times New Roman Regular" w:cs="Times New Roman Regular"/>
          <w:lang w:val="en-US"/>
        </w:rPr>
      </w:pPr>
      <w:bookmarkStart w:id="1" w:name="OLE_LINK28"/>
      <w:r>
        <w:rPr>
          <w:rFonts w:ascii="Times New Roman Regular" w:hAnsi="Times New Roman Regular" w:cs="Times New Roman Regular"/>
          <w:lang w:val="en-US"/>
        </w:rPr>
        <w:t xml:space="preserve">Despite the potential negative consequences brought by AI, it can still serve as an effective, adaptive, and interactive tool for students. In the sociocultural theory, Vygotsky (1978) proposed the zone of proximal development as the distance between the actual ability to solve a problem independently and the potential development under adult guidance or in collaboration with more capable peers (Vygotsky, 1978).  In this sense, Wood et al. (1976) proposed the </w:t>
      </w:r>
      <w:r>
        <w:rPr>
          <w:rFonts w:ascii="Times New Roman Regular" w:hAnsi="Times New Roman Regular" w:cs="Times New Roman Regular"/>
          <w:lang w:val="en-US"/>
        </w:rPr>
        <w:lastRenderedPageBreak/>
        <w:t>scaffolding effect, suggesting that children can complete tasks beyond their capacity with adult control over the elements of the tasks</w:t>
      </w:r>
      <w:bookmarkStart w:id="2" w:name="OLE_LINK29"/>
      <w:r>
        <w:rPr>
          <w:rFonts w:ascii="Times New Roman Regular" w:hAnsi="Times New Roman Regular" w:cs="Times New Roman Regular"/>
          <w:lang w:val="en-US"/>
        </w:rPr>
        <w:t xml:space="preserve">. The external assistance can be perceived as the “scaffold” to help students to perform tasks within their ZPD.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 xml:space="preserve">Nowadays, AI can assume this role even with better performance because of its high flexibility, strong interaction, and rich knowledge base. AI can serve as a personalized teacher with an unlimited time span for each student. The high accessibility of online AI provides students with plentiful opportunities to ask questions and receive feedback at any time. Since access to AI chatbots is simple and convenient, it lowers the barriers to seeking help. According to Wilson et al. (2007), the help-seeking barriers are negatively related to students’ action of looking for help. Under this condition, immediate feedback and correction can improve learning with a markedly higher weighted mean (Azevedo &amp; Bernard, 1995). </w:t>
      </w:r>
    </w:p>
    <w:p w:rsidR="00D656D7" w:rsidRDefault="00000000">
      <w:pPr>
        <w:pStyle w:val="p1"/>
        <w:spacing w:line="480" w:lineRule="auto"/>
        <w:ind w:firstLine="720"/>
        <w:rPr>
          <w:rFonts w:ascii="Times New Roman Regular" w:eastAsiaTheme="minorEastAsia" w:hAnsi="Times New Roman Regular" w:cs="Times New Roman Regular"/>
          <w:color w:val="auto"/>
          <w:kern w:val="2"/>
          <w:sz w:val="24"/>
          <w:szCs w:val="24"/>
          <w:lang w:val="en-US"/>
          <w14:ligatures w14:val="standardContextual"/>
        </w:rPr>
      </w:pPr>
      <w:r>
        <w:rPr>
          <w:rFonts w:ascii="Times New Roman Regular" w:eastAsiaTheme="minorEastAsia" w:hAnsi="Times New Roman Regular" w:cs="Times New Roman Regular"/>
          <w:color w:val="auto"/>
          <w:kern w:val="2"/>
          <w:sz w:val="24"/>
          <w:szCs w:val="24"/>
          <w:lang w:val="en-US"/>
          <w14:ligatures w14:val="standardContextual"/>
        </w:rPr>
        <w:t xml:space="preserve">Not only for learning new knowledge, due to AI’s wide knowledge and various language adaptations, it naturally becomes as a helpful tool for students to learn other languages. In several key factors of learning new knowledge: input processing, intake, interlanguage development, output processing, and monitoring (Ellis, 2005), AI can provide comprehensive and sophisticated help, especially in input processing, output processing, and monitoring. For instance, AI can evaluate the levels of new language learners and arrange appropriate resources for them. Furthermore, the powerful AI voice mode can imitate human voices and instantly interact with users, which can be regarded as an effective and economical approach to process output and receive feedback. </w:t>
      </w:r>
      <w:bookmarkEnd w:id="2"/>
    </w:p>
    <w:p w:rsidR="00D656D7" w:rsidRDefault="00000000">
      <w:pPr>
        <w:pStyle w:val="p1"/>
        <w:spacing w:line="480" w:lineRule="auto"/>
        <w:ind w:firstLine="720"/>
        <w:rPr>
          <w:rFonts w:ascii="Times New Roman Regular" w:hAnsi="Times New Roman Regular" w:cs="Times New Roman Regular"/>
          <w:lang w:val="en-US"/>
        </w:rPr>
      </w:pPr>
      <w:r>
        <w:rPr>
          <w:rFonts w:ascii="Times New Roman Regular" w:eastAsiaTheme="minorEastAsia" w:hAnsi="Times New Roman Regular" w:cs="Times New Roman Regular"/>
          <w:color w:val="auto"/>
          <w:kern w:val="2"/>
          <w:sz w:val="24"/>
          <w:szCs w:val="24"/>
          <w:lang w:val="en-US"/>
          <w14:ligatures w14:val="standardContextual"/>
        </w:rPr>
        <w:t xml:space="preserve">With such powerful tools, students should neither totally reject it nor blindly use it.  Since offloading cognitive labor is not inherently harmful, current students should learn when to rely on AI properly and when to think independently. Students could transfer their routine and </w:t>
      </w:r>
      <w:r>
        <w:rPr>
          <w:rFonts w:ascii="Times New Roman Regular" w:eastAsiaTheme="minorEastAsia" w:hAnsi="Times New Roman Regular" w:cs="Times New Roman Regular"/>
          <w:color w:val="auto"/>
          <w:kern w:val="2"/>
          <w:sz w:val="24"/>
          <w:szCs w:val="24"/>
          <w:lang w:val="en-US"/>
          <w14:ligatures w14:val="standardContextual"/>
        </w:rPr>
        <w:lastRenderedPageBreak/>
        <w:t xml:space="preserve">repetitive cognitive tasks to AI, such as building schedules, organizing information, and searching for information or explanations. The active interaction with AI, including providing sufficient context, clear prompts, and feedback, can enhance its accuracy and performance in fulfilling requirements or providing answers (Lin, 2023). </w:t>
      </w:r>
      <w:bookmarkEnd w:id="1"/>
      <w:r>
        <w:rPr>
          <w:rFonts w:ascii="Times New Roman Regular" w:eastAsiaTheme="minorEastAsia" w:hAnsi="Times New Roman Regular" w:cs="Times New Roman Regular"/>
          <w:color w:val="auto"/>
          <w:kern w:val="2"/>
          <w:sz w:val="24"/>
          <w:szCs w:val="24"/>
          <w:lang w:val="en-US"/>
          <w14:ligatures w14:val="standardContextual"/>
        </w:rPr>
        <w:t xml:space="preserve"> While browsing the information provided by AI, they should be aware of the possibility of misleading information, preserving caution and checking manually. On the other hand, tasks such as essay writing and finishing assignments that require human creativity or aim at reinforcing learned knowledge are better completed independently by students. Since their brains have a high degree of plasticity, constant practice can shape neural systems (</w:t>
      </w:r>
      <w:proofErr w:type="spellStart"/>
      <w:r>
        <w:rPr>
          <w:rFonts w:ascii="Times New Roman Regular" w:eastAsiaTheme="minorEastAsia" w:hAnsi="Times New Roman Regular" w:cs="Times New Roman Regular"/>
          <w:color w:val="auto"/>
          <w:kern w:val="2"/>
          <w:sz w:val="24"/>
          <w:szCs w:val="24"/>
          <w:lang w:val="en-US"/>
          <w14:ligatures w14:val="standardContextual"/>
        </w:rPr>
        <w:t>Tymofiyeva</w:t>
      </w:r>
      <w:proofErr w:type="spellEnd"/>
      <w:r>
        <w:rPr>
          <w:rFonts w:ascii="Times New Roman Regular" w:eastAsiaTheme="minorEastAsia" w:hAnsi="Times New Roman Regular" w:cs="Times New Roman Regular"/>
          <w:color w:val="auto"/>
          <w:kern w:val="2"/>
          <w:sz w:val="24"/>
          <w:szCs w:val="24"/>
          <w:lang w:val="en-US"/>
          <w14:ligatures w14:val="standardContextual"/>
        </w:rPr>
        <w:t xml:space="preserve"> &amp; Gaschler, 2021). By processing cognitive tasks by themselves, their memories of learned knowledge would be strengthened, and executive functions can be developed. </w:t>
      </w:r>
    </w:p>
    <w:p w:rsidR="00D656D7" w:rsidRDefault="00000000">
      <w:pPr>
        <w:spacing w:line="480" w:lineRule="auto"/>
        <w:ind w:firstLine="720"/>
        <w:rPr>
          <w:rFonts w:ascii="Times New Roman Regular" w:hAnsi="Times New Roman Regular" w:cs="Times New Roman Regular"/>
          <w:lang w:val="en-US"/>
        </w:rPr>
      </w:pPr>
      <w:r>
        <w:rPr>
          <w:rFonts w:ascii="Times New Roman Regular" w:hAnsi="Times New Roman Regular" w:cs="Times New Roman Regular"/>
          <w:lang w:val="en-US"/>
        </w:rPr>
        <w:t>In conclusion, the integration of AI into students’ study can be perceived as a trade-off between cognitive resources and cognitive engagement. Using AI may replace individual cognitive labor to some extent, which can either eliminate students’ brains’ capacities for memory and critical thinking, or improve learning performance and efficiency. It represents a fundamental change in study for current students. The key is to cope with this new learning situation wisely: using AI properly rather than simply delegating their cognitive labor to it.</w:t>
      </w:r>
      <w:r>
        <w:rPr>
          <w:rFonts w:ascii="Times New Roman Regular" w:hAnsi="Times New Roman Regular" w:cs="Times New Roman Regular"/>
          <w:lang w:val="en-US"/>
        </w:rPr>
        <w:br w:type="page"/>
      </w:r>
    </w:p>
    <w:p w:rsidR="00D656D7" w:rsidRDefault="00000000">
      <w:pPr>
        <w:spacing w:line="480" w:lineRule="auto"/>
        <w:jc w:val="center"/>
        <w:rPr>
          <w:rFonts w:ascii="Times New Roman Regular" w:hAnsi="Times New Roman Regular" w:cs="Times New Roman Regular"/>
          <w:lang w:val="en-US"/>
        </w:rPr>
      </w:pPr>
      <w:r>
        <w:rPr>
          <w:rFonts w:ascii="Times New Roman Regular" w:hAnsi="Times New Roman Regular" w:cs="Times New Roman Regular"/>
          <w:lang w:val="en-US"/>
        </w:rPr>
        <w:lastRenderedPageBreak/>
        <w:t>Bibliography</w:t>
      </w:r>
    </w:p>
    <w:p w:rsidR="00D656D7" w:rsidRDefault="00000000">
      <w:pPr>
        <w:pStyle w:val="NormalWeb"/>
        <w:spacing w:before="0" w:beforeAutospacing="0" w:after="0" w:afterAutospacing="0" w:line="480" w:lineRule="auto"/>
        <w:ind w:left="720" w:hanging="720"/>
        <w:rPr>
          <w:lang w:val="en-US"/>
        </w:rPr>
      </w:pPr>
      <w:r>
        <w:rPr>
          <w:lang w:val="en-US"/>
        </w:rPr>
        <w:t xml:space="preserve">Abbass, H. A. (2019). Social integration of artificial intelligence: Functions, automation allocation logic and human-autonomy trust. </w:t>
      </w:r>
      <w:r>
        <w:rPr>
          <w:i/>
          <w:iCs/>
          <w:lang w:val="en-US"/>
        </w:rPr>
        <w:t>Cognitive Computation</w:t>
      </w:r>
      <w:r>
        <w:rPr>
          <w:lang w:val="en-US"/>
        </w:rPr>
        <w:t xml:space="preserve">, </w:t>
      </w:r>
      <w:r>
        <w:rPr>
          <w:i/>
          <w:iCs/>
          <w:lang w:val="en-US"/>
        </w:rPr>
        <w:t>11</w:t>
      </w:r>
      <w:r>
        <w:rPr>
          <w:lang w:val="en-US"/>
        </w:rPr>
        <w:t>(2), 159–171. https://doi.org/10.1007/s12559-018-9619-0</w:t>
      </w:r>
    </w:p>
    <w:p w:rsidR="00D656D7" w:rsidRDefault="00000000">
      <w:pPr>
        <w:pStyle w:val="NormalWeb"/>
        <w:spacing w:before="0" w:beforeAutospacing="0" w:after="0" w:afterAutospacing="0" w:line="480" w:lineRule="auto"/>
        <w:ind w:left="720" w:hanging="720"/>
        <w:rPr>
          <w:lang w:val="en-US"/>
        </w:rPr>
      </w:pPr>
      <w:r>
        <w:rPr>
          <w:lang w:val="en-US"/>
        </w:rPr>
        <w:t xml:space="preserve">Amoah, A., Rexford Kweku Asiama, &amp; </w:t>
      </w:r>
      <w:proofErr w:type="spellStart"/>
      <w:r>
        <w:rPr>
          <w:lang w:val="en-US"/>
        </w:rPr>
        <w:t>Kwablah</w:t>
      </w:r>
      <w:proofErr w:type="spellEnd"/>
      <w:r>
        <w:rPr>
          <w:lang w:val="en-US"/>
        </w:rPr>
        <w:t xml:space="preserve">, E. (2025). ChatGPT early usage among students: </w:t>
      </w:r>
      <w:proofErr w:type="gramStart"/>
      <w:r>
        <w:rPr>
          <w:lang w:val="en-US"/>
        </w:rPr>
        <w:t>A global evidence</w:t>
      </w:r>
      <w:proofErr w:type="gramEnd"/>
      <w:r>
        <w:rPr>
          <w:lang w:val="en-US"/>
        </w:rPr>
        <w:t xml:space="preserve"> of determinants. </w:t>
      </w:r>
      <w:r>
        <w:rPr>
          <w:i/>
          <w:iCs/>
          <w:lang w:val="en-US"/>
        </w:rPr>
        <w:t>Development and Sustainability in Economics and Finance.</w:t>
      </w:r>
      <w:r>
        <w:rPr>
          <w:lang w:val="en-US"/>
        </w:rPr>
        <w:t>, 100065–100065. https://doi.org/10.1016/j.dsef.2025.100065</w:t>
      </w:r>
    </w:p>
    <w:p w:rsidR="00D656D7" w:rsidRDefault="00000000">
      <w:pPr>
        <w:pStyle w:val="NormalWeb"/>
        <w:spacing w:before="0" w:beforeAutospacing="0" w:after="0" w:afterAutospacing="0" w:line="480" w:lineRule="auto"/>
        <w:ind w:left="720" w:hanging="720"/>
        <w:rPr>
          <w:lang w:val="en-US"/>
        </w:rPr>
      </w:pPr>
      <w:r>
        <w:rPr>
          <w:lang w:val="en-US"/>
        </w:rPr>
        <w:t xml:space="preserve">Azevedo, R., &amp; Bernard, R. M. (1995). A meta-analysis of the effects of feedback in computer-based instruction. </w:t>
      </w:r>
      <w:r>
        <w:rPr>
          <w:i/>
          <w:iCs/>
          <w:lang w:val="en-US"/>
        </w:rPr>
        <w:t>Journal of Educational Computing Research</w:t>
      </w:r>
      <w:r>
        <w:rPr>
          <w:lang w:val="en-US"/>
        </w:rPr>
        <w:t xml:space="preserve">, </w:t>
      </w:r>
      <w:r>
        <w:rPr>
          <w:i/>
          <w:iCs/>
          <w:lang w:val="en-US"/>
        </w:rPr>
        <w:t>13</w:t>
      </w:r>
      <w:r>
        <w:rPr>
          <w:lang w:val="en-US"/>
        </w:rPr>
        <w:t>(2), 111–127. https://doi.org/10.2190/9lmd-3u28-3a0g-ftqt</w:t>
      </w:r>
    </w:p>
    <w:p w:rsidR="00D656D7" w:rsidRDefault="00000000">
      <w:pPr>
        <w:pStyle w:val="NormalWeb"/>
        <w:spacing w:before="0" w:beforeAutospacing="0" w:after="0" w:afterAutospacing="0" w:line="480" w:lineRule="auto"/>
        <w:ind w:left="720" w:hanging="720"/>
        <w:rPr>
          <w:lang w:val="en-US"/>
        </w:rPr>
      </w:pPr>
      <w:r>
        <w:rPr>
          <w:lang w:val="en-US"/>
        </w:rPr>
        <w:t xml:space="preserve">Beckes, L., &amp; Coan, J. A. (2011). Social baseline theory: The role of social proximity in emotion and economy of action. </w:t>
      </w:r>
      <w:r>
        <w:rPr>
          <w:i/>
          <w:iCs/>
          <w:lang w:val="en-US"/>
        </w:rPr>
        <w:t>Social and Personality Psychology Compass</w:t>
      </w:r>
      <w:r>
        <w:rPr>
          <w:lang w:val="en-US"/>
        </w:rPr>
        <w:t xml:space="preserve">, </w:t>
      </w:r>
      <w:r>
        <w:rPr>
          <w:i/>
          <w:iCs/>
          <w:lang w:val="en-US"/>
        </w:rPr>
        <w:t>5</w:t>
      </w:r>
      <w:r>
        <w:rPr>
          <w:lang w:val="en-US"/>
        </w:rPr>
        <w:t>(12), 976–988. https://doi.org/10.1111/j.1751-9004.2011.00400.x</w:t>
      </w:r>
    </w:p>
    <w:p w:rsidR="00D656D7" w:rsidRDefault="00000000">
      <w:pPr>
        <w:pStyle w:val="NormalWeb"/>
        <w:spacing w:before="0" w:beforeAutospacing="0" w:after="0" w:afterAutospacing="0" w:line="480" w:lineRule="auto"/>
        <w:ind w:left="720" w:hanging="720"/>
        <w:rPr>
          <w:lang w:val="en-US"/>
        </w:rPr>
      </w:pPr>
      <w:r>
        <w:rPr>
          <w:lang w:val="en-US"/>
        </w:rPr>
        <w:t xml:space="preserve">Blakemore, S.-J., &amp; Choudhury, S. (2006). Development of the adolescent brain: Implications for executive function and social cognition. </w:t>
      </w:r>
      <w:r>
        <w:rPr>
          <w:i/>
          <w:iCs/>
          <w:lang w:val="en-US"/>
        </w:rPr>
        <w:t>Journal of Child Psychology and Psychiatry</w:t>
      </w:r>
      <w:r>
        <w:rPr>
          <w:lang w:val="en-US"/>
        </w:rPr>
        <w:t xml:space="preserve">, </w:t>
      </w:r>
      <w:r>
        <w:rPr>
          <w:i/>
          <w:iCs/>
          <w:lang w:val="en-US"/>
        </w:rPr>
        <w:t>47</w:t>
      </w:r>
      <w:r>
        <w:rPr>
          <w:lang w:val="en-US"/>
        </w:rPr>
        <w:t>(3–4), 296–312. https://doi.org/10.1111/j.1469-7610.2006.01611.x</w:t>
      </w:r>
    </w:p>
    <w:p w:rsidR="00D656D7" w:rsidRDefault="00000000">
      <w:pPr>
        <w:pStyle w:val="NormalWeb"/>
        <w:spacing w:before="0" w:beforeAutospacing="0" w:after="0" w:afterAutospacing="0" w:line="480" w:lineRule="auto"/>
        <w:ind w:left="720" w:hanging="720"/>
        <w:rPr>
          <w:lang w:val="en-US"/>
        </w:rPr>
      </w:pPr>
      <w:proofErr w:type="spellStart"/>
      <w:r>
        <w:rPr>
          <w:lang w:val="en-US"/>
        </w:rPr>
        <w:t>Mbalaka</w:t>
      </w:r>
      <w:proofErr w:type="spellEnd"/>
      <w:r>
        <w:rPr>
          <w:lang w:val="en-US"/>
        </w:rPr>
        <w:t xml:space="preserve"> B (2023), "Epistemically violent biases in artificial intelligence design: the case of DALLE-E 2 and Starry AI". </w:t>
      </w:r>
      <w:r>
        <w:rPr>
          <w:i/>
          <w:iCs/>
          <w:lang w:val="en-US"/>
        </w:rPr>
        <w:t>Digital Transformation and Society</w:t>
      </w:r>
      <w:r>
        <w:rPr>
          <w:lang w:val="en-US"/>
        </w:rPr>
        <w:t xml:space="preserve">, Vol. 2 No. 4 pp. 376–402, </w:t>
      </w:r>
      <w:proofErr w:type="spellStart"/>
      <w:r>
        <w:rPr>
          <w:lang w:val="en-US"/>
        </w:rPr>
        <w:t>doi</w:t>
      </w:r>
      <w:proofErr w:type="spellEnd"/>
      <w:r>
        <w:rPr>
          <w:lang w:val="en-US"/>
        </w:rPr>
        <w:t>: </w:t>
      </w:r>
      <w:hyperlink r:id="rId6" w:tgtFrame="_blank" w:history="1">
        <w:r w:rsidR="00D656D7">
          <w:rPr>
            <w:lang w:val="en-US"/>
          </w:rPr>
          <w:t>https://doi.org/10.1108/DTS-01-2023-000</w:t>
        </w:r>
      </w:hyperlink>
      <w:r>
        <w:rPr>
          <w:lang w:val="en-US"/>
        </w:rPr>
        <w:t xml:space="preserve"> </w:t>
      </w:r>
    </w:p>
    <w:p w:rsidR="00D656D7" w:rsidRDefault="00000000">
      <w:pPr>
        <w:pStyle w:val="NormalWeb"/>
        <w:spacing w:before="0" w:beforeAutospacing="0" w:after="0" w:afterAutospacing="0" w:line="480" w:lineRule="auto"/>
        <w:ind w:left="720" w:hanging="720"/>
        <w:rPr>
          <w:lang w:val="en-US"/>
        </w:rPr>
      </w:pPr>
      <w:proofErr w:type="spellStart"/>
      <w:r>
        <w:rPr>
          <w:lang w:val="en-US"/>
        </w:rPr>
        <w:t>Chirayath</w:t>
      </w:r>
      <w:proofErr w:type="spellEnd"/>
      <w:r>
        <w:rPr>
          <w:lang w:val="en-US"/>
        </w:rPr>
        <w:t xml:space="preserve">, G., </w:t>
      </w:r>
      <w:proofErr w:type="spellStart"/>
      <w:r>
        <w:rPr>
          <w:lang w:val="en-US"/>
        </w:rPr>
        <w:t>Premamalini</w:t>
      </w:r>
      <w:proofErr w:type="spellEnd"/>
      <w:r>
        <w:rPr>
          <w:lang w:val="en-US"/>
        </w:rPr>
        <w:t xml:space="preserve">, K., &amp; Joseph, J. (2025). Cognitive offloading or cognitive overload? How AI alters the mental architecture of coping. </w:t>
      </w:r>
      <w:r>
        <w:rPr>
          <w:i/>
          <w:iCs/>
          <w:lang w:val="en-US"/>
        </w:rPr>
        <w:t>Frontiers in Psychology</w:t>
      </w:r>
      <w:r>
        <w:rPr>
          <w:lang w:val="en-US"/>
        </w:rPr>
        <w:t xml:space="preserve">, </w:t>
      </w:r>
      <w:r>
        <w:rPr>
          <w:i/>
          <w:iCs/>
          <w:lang w:val="en-US"/>
        </w:rPr>
        <w:t>16</w:t>
      </w:r>
      <w:r>
        <w:rPr>
          <w:lang w:val="en-US"/>
        </w:rPr>
        <w:t>. https://doi.org/10.3389/fpsyg.2025.1699320</w:t>
      </w:r>
    </w:p>
    <w:p w:rsidR="00D656D7" w:rsidRDefault="00000000">
      <w:pPr>
        <w:pStyle w:val="NormalWeb"/>
        <w:spacing w:before="0" w:beforeAutospacing="0" w:after="0" w:afterAutospacing="0" w:line="480" w:lineRule="auto"/>
        <w:ind w:left="720" w:hanging="720"/>
        <w:rPr>
          <w:lang w:val="en-US"/>
        </w:rPr>
      </w:pPr>
      <w:r>
        <w:rPr>
          <w:lang w:val="en-US"/>
        </w:rPr>
        <w:lastRenderedPageBreak/>
        <w:t>Digital Education Council. (2024). Digitaleducationcouncil.Com. https://www.digitaleducationcouncil.com/resource-library-items/digital-education-council-global-ai-student-survey-2024</w:t>
      </w:r>
    </w:p>
    <w:p w:rsidR="00D656D7" w:rsidRPr="007F0991" w:rsidRDefault="00000000">
      <w:pPr>
        <w:pStyle w:val="NormalWeb"/>
        <w:spacing w:before="0" w:beforeAutospacing="0" w:after="0" w:afterAutospacing="0" w:line="480" w:lineRule="auto"/>
        <w:ind w:left="720" w:hanging="720"/>
        <w:rPr>
          <w:lang w:val="en-US"/>
        </w:rPr>
      </w:pPr>
      <w:r>
        <w:rPr>
          <w:lang w:val="en-US"/>
        </w:rPr>
        <w:t xml:space="preserve">Ebbinghaus, H. (1913). </w:t>
      </w:r>
      <w:r>
        <w:rPr>
          <w:i/>
          <w:iCs/>
          <w:lang w:val="en-US"/>
        </w:rPr>
        <w:t>Memory a contribution to experimental psychology</w:t>
      </w:r>
      <w:r>
        <w:rPr>
          <w:lang w:val="en-US"/>
        </w:rPr>
        <w:t xml:space="preserve">. </w:t>
      </w:r>
      <w:r w:rsidRPr="007F0991">
        <w:rPr>
          <w:lang w:val="en-US"/>
        </w:rPr>
        <w:t>Bristol Thoemmes Press Tokyo Maruzen.</w:t>
      </w:r>
    </w:p>
    <w:p w:rsidR="00D656D7" w:rsidRDefault="00000000">
      <w:pPr>
        <w:pStyle w:val="NormalWeb"/>
        <w:spacing w:before="0" w:beforeAutospacing="0" w:after="0" w:afterAutospacing="0" w:line="480" w:lineRule="auto"/>
        <w:ind w:left="720" w:hanging="720"/>
        <w:rPr>
          <w:lang w:val="en-US"/>
        </w:rPr>
      </w:pPr>
      <w:r>
        <w:rPr>
          <w:lang w:val="en-US"/>
        </w:rPr>
        <w:t xml:space="preserve">Ellis, R. (2005). </w:t>
      </w:r>
      <w:r>
        <w:rPr>
          <w:i/>
          <w:iCs/>
          <w:lang w:val="en-US"/>
        </w:rPr>
        <w:t xml:space="preserve">Instructed second language </w:t>
      </w:r>
      <w:proofErr w:type="gramStart"/>
      <w:r>
        <w:rPr>
          <w:i/>
          <w:iCs/>
          <w:lang w:val="en-US"/>
        </w:rPr>
        <w:t>acquisition :</w:t>
      </w:r>
      <w:proofErr w:type="gramEnd"/>
      <w:r>
        <w:rPr>
          <w:i/>
          <w:iCs/>
          <w:lang w:val="en-US"/>
        </w:rPr>
        <w:t xml:space="preserve"> A literature review</w:t>
      </w:r>
      <w:r>
        <w:rPr>
          <w:lang w:val="en-US"/>
        </w:rPr>
        <w:t xml:space="preserve">. Research Division, Ministry </w:t>
      </w:r>
      <w:proofErr w:type="gramStart"/>
      <w:r>
        <w:rPr>
          <w:lang w:val="en-US"/>
        </w:rPr>
        <w:t>Of</w:t>
      </w:r>
      <w:proofErr w:type="gramEnd"/>
      <w:r>
        <w:rPr>
          <w:lang w:val="en-US"/>
        </w:rPr>
        <w:t xml:space="preserve"> Education.</w:t>
      </w:r>
    </w:p>
    <w:p w:rsidR="00D656D7" w:rsidRDefault="00000000">
      <w:pPr>
        <w:pStyle w:val="NormalWeb"/>
        <w:spacing w:before="0" w:beforeAutospacing="0" w:after="0" w:afterAutospacing="0" w:line="480" w:lineRule="auto"/>
        <w:ind w:left="720" w:hanging="720"/>
        <w:rPr>
          <w:lang w:val="en-US"/>
        </w:rPr>
      </w:pPr>
      <w:r>
        <w:rPr>
          <w:lang w:val="en-US"/>
        </w:rPr>
        <w:t xml:space="preserve">Gerlich, M. (2025). AI tools in society: Impacts on cognitive offloading and the future of critical thinking. </w:t>
      </w:r>
      <w:r>
        <w:rPr>
          <w:i/>
          <w:iCs/>
          <w:lang w:val="en-US"/>
        </w:rPr>
        <w:t>SSRN Electronic Journal</w:t>
      </w:r>
      <w:r>
        <w:rPr>
          <w:lang w:val="en-US"/>
        </w:rPr>
        <w:t xml:space="preserve">, </w:t>
      </w:r>
      <w:r>
        <w:rPr>
          <w:i/>
          <w:iCs/>
          <w:lang w:val="en-US"/>
        </w:rPr>
        <w:t>15</w:t>
      </w:r>
      <w:r>
        <w:rPr>
          <w:lang w:val="en-US"/>
        </w:rPr>
        <w:t xml:space="preserve">(1). </w:t>
      </w:r>
      <w:bookmarkStart w:id="3" w:name="OLE_LINK75"/>
      <w:r>
        <w:rPr>
          <w:lang w:val="en-US"/>
        </w:rPr>
        <w:t>https://doi.org/10.2139/ssrn.5082524</w:t>
      </w:r>
    </w:p>
    <w:bookmarkEnd w:id="3"/>
    <w:p w:rsidR="00D656D7" w:rsidRDefault="00000000">
      <w:pPr>
        <w:pStyle w:val="NormalWeb"/>
        <w:spacing w:before="0" w:beforeAutospacing="0" w:after="0" w:afterAutospacing="0" w:line="480" w:lineRule="auto"/>
        <w:ind w:left="720" w:hanging="720"/>
        <w:rPr>
          <w:lang w:val="en-US"/>
        </w:rPr>
      </w:pPr>
      <w:r>
        <w:rPr>
          <w:lang w:val="en-US"/>
        </w:rPr>
        <w:t xml:space="preserve">Kool, W., &amp; </w:t>
      </w:r>
      <w:proofErr w:type="spellStart"/>
      <w:r>
        <w:rPr>
          <w:lang w:val="en-US"/>
        </w:rPr>
        <w:t>Botvinick</w:t>
      </w:r>
      <w:proofErr w:type="spellEnd"/>
      <w:r>
        <w:rPr>
          <w:lang w:val="en-US"/>
        </w:rPr>
        <w:t xml:space="preserve">, M. (2014). A Labor/Leisure Tradeoff in Cognitive Control. </w:t>
      </w:r>
      <w:r>
        <w:rPr>
          <w:i/>
          <w:iCs/>
          <w:lang w:val="en-US"/>
        </w:rPr>
        <w:t>Motivation Science</w:t>
      </w:r>
      <w:r>
        <w:rPr>
          <w:lang w:val="en-US"/>
        </w:rPr>
        <w:t xml:space="preserve">, </w:t>
      </w:r>
      <w:r>
        <w:rPr>
          <w:i/>
          <w:iCs/>
          <w:lang w:val="en-US"/>
        </w:rPr>
        <w:t>1</w:t>
      </w:r>
      <w:r>
        <w:rPr>
          <w:lang w:val="en-US"/>
        </w:rPr>
        <w:t>(S), 3–18. https://doi.org/10.1037/2333-8113.1.s.3</w:t>
      </w:r>
    </w:p>
    <w:p w:rsidR="00D656D7" w:rsidRDefault="00000000">
      <w:pPr>
        <w:pStyle w:val="NormalWeb"/>
        <w:spacing w:before="0" w:beforeAutospacing="0" w:after="0" w:afterAutospacing="0" w:line="480" w:lineRule="auto"/>
        <w:ind w:left="720" w:hanging="720"/>
        <w:rPr>
          <w:lang w:val="en-US"/>
        </w:rPr>
      </w:pPr>
      <w:r>
        <w:rPr>
          <w:lang w:val="en-US"/>
        </w:rPr>
        <w:t xml:space="preserve">Lin, Z. (2023). Why and how to embrace AI such as ChatGPT in your academic life. </w:t>
      </w:r>
      <w:r>
        <w:rPr>
          <w:i/>
          <w:iCs/>
          <w:lang w:val="en-US"/>
        </w:rPr>
        <w:t>Royal Society Open Science</w:t>
      </w:r>
      <w:r>
        <w:rPr>
          <w:lang w:val="en-US"/>
        </w:rPr>
        <w:t xml:space="preserve">, </w:t>
      </w:r>
      <w:r>
        <w:rPr>
          <w:i/>
          <w:iCs/>
          <w:lang w:val="en-US"/>
        </w:rPr>
        <w:t>10</w:t>
      </w:r>
      <w:r>
        <w:rPr>
          <w:lang w:val="en-US"/>
        </w:rPr>
        <w:t>(8), 230658. https://doi.org/10.1098/rsos.230658</w:t>
      </w:r>
    </w:p>
    <w:p w:rsidR="00D656D7" w:rsidRDefault="00000000">
      <w:pPr>
        <w:pStyle w:val="NormalWeb"/>
        <w:spacing w:before="0" w:beforeAutospacing="0" w:after="0" w:afterAutospacing="0" w:line="480" w:lineRule="auto"/>
        <w:ind w:left="720" w:hanging="720"/>
        <w:rPr>
          <w:lang w:val="en-US"/>
        </w:rPr>
      </w:pPr>
      <w:r>
        <w:rPr>
          <w:lang w:val="en-US"/>
        </w:rPr>
        <w:t xml:space="preserve">Magno, C. (2010). The role of metacognitive skills in developing critical thinking. </w:t>
      </w:r>
      <w:r>
        <w:rPr>
          <w:i/>
          <w:iCs/>
          <w:lang w:val="en-US"/>
        </w:rPr>
        <w:t>Metacognition and Learning</w:t>
      </w:r>
      <w:r>
        <w:rPr>
          <w:lang w:val="en-US"/>
        </w:rPr>
        <w:t xml:space="preserve">, </w:t>
      </w:r>
      <w:r>
        <w:rPr>
          <w:i/>
          <w:iCs/>
          <w:lang w:val="en-US"/>
        </w:rPr>
        <w:t>5</w:t>
      </w:r>
      <w:r>
        <w:rPr>
          <w:lang w:val="en-US"/>
        </w:rPr>
        <w:t>(2), 137–156. https://doi.org/10.1007/s11409-010-9054-4</w:t>
      </w:r>
    </w:p>
    <w:p w:rsidR="00D656D7" w:rsidRDefault="00000000">
      <w:pPr>
        <w:pStyle w:val="NormalWeb"/>
        <w:spacing w:before="0" w:beforeAutospacing="0" w:after="0" w:afterAutospacing="0" w:line="480" w:lineRule="auto"/>
        <w:ind w:left="720" w:hanging="720"/>
        <w:rPr>
          <w:lang w:val="en-US"/>
        </w:rPr>
      </w:pPr>
      <w:r>
        <w:rPr>
          <w:lang w:val="en-US"/>
        </w:rPr>
        <w:t xml:space="preserve">Marrone, R., Cropley, D., &amp; Medeiros, K. (2024). How does narrow AI impact human creativity? </w:t>
      </w:r>
      <w:r>
        <w:rPr>
          <w:i/>
          <w:iCs/>
          <w:lang w:val="en-US"/>
        </w:rPr>
        <w:t>Creativity Research Journal</w:t>
      </w:r>
      <w:r>
        <w:rPr>
          <w:lang w:val="en-US"/>
        </w:rPr>
        <w:t>, 1–11. https://doi.org/10.1080/10400419.2024.2378264</w:t>
      </w:r>
    </w:p>
    <w:p w:rsidR="00D656D7" w:rsidRDefault="00000000">
      <w:pPr>
        <w:pStyle w:val="NormalWeb"/>
        <w:spacing w:before="0" w:beforeAutospacing="0" w:after="0" w:afterAutospacing="0" w:line="480" w:lineRule="auto"/>
        <w:ind w:left="720" w:hanging="720"/>
        <w:rPr>
          <w:lang w:val="en-US"/>
        </w:rPr>
      </w:pPr>
      <w:r>
        <w:rPr>
          <w:lang w:val="en-US"/>
        </w:rPr>
        <w:t xml:space="preserve">Miller, E. K., &amp; Cohen, J. D. (2001). An integrative theory of prefrontal cortex function. </w:t>
      </w:r>
      <w:r>
        <w:rPr>
          <w:i/>
          <w:iCs/>
          <w:lang w:val="en-US"/>
        </w:rPr>
        <w:t>Annual Review of Neuroscience</w:t>
      </w:r>
      <w:r>
        <w:rPr>
          <w:lang w:val="en-US"/>
        </w:rPr>
        <w:t xml:space="preserve">, </w:t>
      </w:r>
      <w:r>
        <w:rPr>
          <w:i/>
          <w:iCs/>
          <w:lang w:val="en-US"/>
        </w:rPr>
        <w:t>24</w:t>
      </w:r>
      <w:r>
        <w:rPr>
          <w:lang w:val="en-US"/>
        </w:rPr>
        <w:t>(1), 167–202. https://www.annualreviews.org/content/journals/10.1146/annurev.neuro.24.1.167</w:t>
      </w:r>
    </w:p>
    <w:p w:rsidR="00D656D7" w:rsidRDefault="00000000">
      <w:pPr>
        <w:pStyle w:val="NormalWeb"/>
        <w:spacing w:before="0" w:beforeAutospacing="0" w:after="0" w:afterAutospacing="0" w:line="480" w:lineRule="auto"/>
        <w:ind w:left="720" w:hanging="720"/>
        <w:rPr>
          <w:lang w:val="en-US"/>
        </w:rPr>
      </w:pPr>
      <w:r>
        <w:rPr>
          <w:lang w:val="en-US"/>
        </w:rPr>
        <w:lastRenderedPageBreak/>
        <w:t xml:space="preserve">Sparrow, B., Liu, J., &amp; Wegner, D. M. (2011). Google effects on memory: Cognitive consequences of having information at our fingertips. </w:t>
      </w:r>
      <w:r>
        <w:rPr>
          <w:i/>
          <w:iCs/>
          <w:lang w:val="en-US"/>
        </w:rPr>
        <w:t>Science</w:t>
      </w:r>
      <w:r>
        <w:rPr>
          <w:lang w:val="en-US"/>
        </w:rPr>
        <w:t xml:space="preserve">, </w:t>
      </w:r>
      <w:r>
        <w:rPr>
          <w:i/>
          <w:iCs/>
          <w:lang w:val="en-US"/>
        </w:rPr>
        <w:t>333</w:t>
      </w:r>
      <w:r>
        <w:rPr>
          <w:lang w:val="en-US"/>
        </w:rPr>
        <w:t>(6043), 776–778. https://doi.org/10.1126/science.1207745</w:t>
      </w:r>
    </w:p>
    <w:p w:rsidR="00D656D7" w:rsidRDefault="00000000">
      <w:pPr>
        <w:pStyle w:val="NormalWeb"/>
        <w:spacing w:before="0" w:beforeAutospacing="0" w:after="0" w:afterAutospacing="0" w:line="480" w:lineRule="auto"/>
        <w:ind w:left="720" w:hanging="720"/>
        <w:rPr>
          <w:lang w:val="en-US"/>
        </w:rPr>
      </w:pPr>
      <w:proofErr w:type="spellStart"/>
      <w:r>
        <w:rPr>
          <w:lang w:val="en-US"/>
        </w:rPr>
        <w:t>Tymofiyeva</w:t>
      </w:r>
      <w:proofErr w:type="spellEnd"/>
      <w:r>
        <w:rPr>
          <w:lang w:val="en-US"/>
        </w:rPr>
        <w:t xml:space="preserve">, O., &amp; Gaschler, R. (2021). Training-induced neural plasticity in youth: A systematic review of structural and functional MRI studies. </w:t>
      </w:r>
      <w:r>
        <w:rPr>
          <w:i/>
          <w:iCs/>
          <w:lang w:val="en-US"/>
        </w:rPr>
        <w:t>Frontiers in Human Neuroscience</w:t>
      </w:r>
      <w:r>
        <w:rPr>
          <w:lang w:val="en-US"/>
        </w:rPr>
        <w:t xml:space="preserve">, </w:t>
      </w:r>
      <w:r>
        <w:rPr>
          <w:i/>
          <w:iCs/>
          <w:lang w:val="en-US"/>
        </w:rPr>
        <w:t>14</w:t>
      </w:r>
      <w:r>
        <w:rPr>
          <w:lang w:val="en-US"/>
        </w:rPr>
        <w:t>. https://doi.org/10.3389/fnhum.2020.497245</w:t>
      </w:r>
    </w:p>
    <w:p w:rsidR="00D656D7" w:rsidRDefault="00000000">
      <w:pPr>
        <w:pStyle w:val="NormalWeb"/>
        <w:spacing w:before="0" w:beforeAutospacing="0" w:after="0" w:afterAutospacing="0" w:line="480" w:lineRule="auto"/>
        <w:ind w:left="720" w:hanging="720"/>
        <w:rPr>
          <w:lang w:val="en-US"/>
        </w:rPr>
      </w:pPr>
      <w:r>
        <w:rPr>
          <w:lang w:val="en-US"/>
        </w:rPr>
        <w:t xml:space="preserve">Vygotsky, L. S. (1978). </w:t>
      </w:r>
      <w:r>
        <w:rPr>
          <w:i/>
          <w:iCs/>
          <w:lang w:val="en-US"/>
        </w:rPr>
        <w:t>Mind in society: The development of higher psychological processes</w:t>
      </w:r>
      <w:r>
        <w:rPr>
          <w:lang w:val="en-US"/>
        </w:rPr>
        <w:t>. Harvard University Press. https://w.pauldowling.me/rtf/2021.1/readings/LSVygotsky_1978_MindinSocietyDevelopmentofHigherPsycholo.pdf</w:t>
      </w:r>
    </w:p>
    <w:p w:rsidR="00D656D7" w:rsidRDefault="00000000">
      <w:pPr>
        <w:pStyle w:val="NormalWeb"/>
        <w:spacing w:before="0" w:beforeAutospacing="0" w:after="0" w:afterAutospacing="0" w:line="480" w:lineRule="auto"/>
        <w:ind w:left="720" w:hanging="720"/>
        <w:rPr>
          <w:lang w:val="en-US"/>
        </w:rPr>
      </w:pPr>
      <w:r>
        <w:rPr>
          <w:lang w:val="en-US"/>
        </w:rPr>
        <w:t xml:space="preserve">Weinert, F. E., &amp; Rainer Kluwe. (1987). </w:t>
      </w:r>
      <w:r>
        <w:rPr>
          <w:i/>
          <w:iCs/>
          <w:lang w:val="en-US"/>
        </w:rPr>
        <w:t>Metacognition, motivation, and understanding</w:t>
      </w:r>
      <w:r>
        <w:rPr>
          <w:lang w:val="en-US"/>
        </w:rPr>
        <w:t>. L. Erlbaum Associates.</w:t>
      </w:r>
    </w:p>
    <w:p w:rsidR="00D656D7" w:rsidRDefault="00000000">
      <w:pPr>
        <w:pStyle w:val="NormalWeb"/>
        <w:spacing w:before="0" w:beforeAutospacing="0" w:after="0" w:afterAutospacing="0" w:line="480" w:lineRule="auto"/>
        <w:ind w:left="720" w:hanging="720"/>
        <w:rPr>
          <w:lang w:val="en-US"/>
        </w:rPr>
      </w:pPr>
      <w:r>
        <w:rPr>
          <w:lang w:val="en-US"/>
        </w:rPr>
        <w:t xml:space="preserve">Welding, L. (2023, March 27). </w:t>
      </w:r>
      <w:r>
        <w:rPr>
          <w:i/>
          <w:iCs/>
          <w:lang w:val="en-US"/>
        </w:rPr>
        <w:t>Half of college students say using AI is cheating</w:t>
      </w:r>
      <w:r>
        <w:rPr>
          <w:lang w:val="en-US"/>
        </w:rPr>
        <w:t>. Www.Bestcolleges.Com. https://www.bestcolleges.com/research/college-students-ai-tools-survey/</w:t>
      </w:r>
    </w:p>
    <w:p w:rsidR="00D656D7" w:rsidRDefault="00000000">
      <w:pPr>
        <w:pStyle w:val="NormalWeb"/>
        <w:spacing w:before="0" w:beforeAutospacing="0" w:after="0" w:afterAutospacing="0" w:line="480" w:lineRule="auto"/>
        <w:ind w:left="720" w:hanging="720"/>
        <w:rPr>
          <w:lang w:val="en-US"/>
        </w:rPr>
      </w:pPr>
      <w:r>
        <w:rPr>
          <w:lang w:val="en-US"/>
        </w:rPr>
        <w:t xml:space="preserve">Wilson, C. J., Deane, F. P., Marshall, K. L., &amp; Dalley, A. (2007). Reducing </w:t>
      </w:r>
      <w:proofErr w:type="gramStart"/>
      <w:r>
        <w:rPr>
          <w:lang w:val="en-US"/>
        </w:rPr>
        <w:t>adolescents’</w:t>
      </w:r>
      <w:proofErr w:type="gramEnd"/>
      <w:r>
        <w:rPr>
          <w:lang w:val="en-US"/>
        </w:rPr>
        <w:t xml:space="preserve"> perceived barriers to treatment and increasing help-seeking intentions: Effects of classroom presentations by general practitioners. </w:t>
      </w:r>
      <w:r>
        <w:rPr>
          <w:i/>
          <w:iCs/>
          <w:lang w:val="en-US"/>
        </w:rPr>
        <w:t>Journal of Youth and Adolescence</w:t>
      </w:r>
      <w:r>
        <w:rPr>
          <w:lang w:val="en-US"/>
        </w:rPr>
        <w:t xml:space="preserve">, </w:t>
      </w:r>
      <w:r>
        <w:rPr>
          <w:i/>
          <w:iCs/>
          <w:lang w:val="en-US"/>
        </w:rPr>
        <w:t>37</w:t>
      </w:r>
      <w:r>
        <w:rPr>
          <w:lang w:val="en-US"/>
        </w:rPr>
        <w:t>(10), 1257–1269. https://doi.org/10.1007/s10964-007-9225-z</w:t>
      </w:r>
    </w:p>
    <w:p w:rsidR="00D656D7" w:rsidRDefault="00000000">
      <w:pPr>
        <w:pStyle w:val="NormalWeb"/>
        <w:spacing w:before="0" w:beforeAutospacing="0" w:after="0" w:afterAutospacing="0" w:line="480" w:lineRule="auto"/>
        <w:ind w:left="720" w:hanging="720"/>
        <w:rPr>
          <w:lang w:val="en-US"/>
        </w:rPr>
      </w:pPr>
      <w:r>
        <w:rPr>
          <w:lang w:val="en-US"/>
        </w:rPr>
        <w:t xml:space="preserve">Wood, D., Bruner, J. S., &amp; Ross, G. (1976). The role of tutoring in problem solving. </w:t>
      </w:r>
      <w:r>
        <w:rPr>
          <w:i/>
          <w:iCs/>
          <w:lang w:val="en-US"/>
        </w:rPr>
        <w:t>Journal of Child Psychology and Psychiatry</w:t>
      </w:r>
      <w:r>
        <w:rPr>
          <w:lang w:val="en-US"/>
        </w:rPr>
        <w:t xml:space="preserve">, </w:t>
      </w:r>
      <w:r>
        <w:rPr>
          <w:i/>
          <w:iCs/>
          <w:lang w:val="en-US"/>
        </w:rPr>
        <w:t>17</w:t>
      </w:r>
      <w:r>
        <w:rPr>
          <w:lang w:val="en-US"/>
        </w:rPr>
        <w:t>(2), 89–100. https://doi.org/10.1111/j.1469-7610.1976.tb00381.x</w:t>
      </w:r>
    </w:p>
    <w:p w:rsidR="00D656D7" w:rsidRDefault="00D656D7">
      <w:pPr>
        <w:pStyle w:val="NormalWeb"/>
        <w:spacing w:before="0" w:beforeAutospacing="0" w:after="0" w:afterAutospacing="0" w:line="480" w:lineRule="auto"/>
        <w:ind w:left="480" w:hangingChars="200" w:hanging="480"/>
        <w:rPr>
          <w:rFonts w:ascii="Times New Roman Regular" w:hAnsi="Times New Roman Regular" w:cs="Times New Roman Regular"/>
          <w:lang w:val="en-US"/>
        </w:rPr>
      </w:pPr>
    </w:p>
    <w:sectPr w:rsidR="00D656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5248" w:rsidRDefault="002C5248">
      <w:pPr>
        <w:spacing w:line="240" w:lineRule="auto"/>
      </w:pPr>
      <w:r>
        <w:separator/>
      </w:r>
    </w:p>
  </w:endnote>
  <w:endnote w:type="continuationSeparator" w:id="0">
    <w:p w:rsidR="002C5248" w:rsidRDefault="002C5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Times New Roman Regular">
    <w:altName w:val="Times New Roman"/>
    <w:panose1 w:val="020B0604020202020204"/>
    <w:charset w:val="00"/>
    <w:family w:val="auto"/>
    <w:pitch w:val="default"/>
    <w:sig w:usb0="E0000AFF" w:usb1="00007843" w:usb2="00000001" w:usb3="00000000" w:csb0="400001BF" w:csb1="DFF7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5248" w:rsidRDefault="002C5248">
      <w:pPr>
        <w:spacing w:after="0"/>
      </w:pPr>
      <w:r>
        <w:separator/>
      </w:r>
    </w:p>
  </w:footnote>
  <w:footnote w:type="continuationSeparator" w:id="0">
    <w:p w:rsidR="002C5248" w:rsidRDefault="002C524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79D"/>
    <w:rsid w:val="BBD7A4D1"/>
    <w:rsid w:val="C5D6B216"/>
    <w:rsid w:val="DFDF8787"/>
    <w:rsid w:val="EFFB74EA"/>
    <w:rsid w:val="FEAD113D"/>
    <w:rsid w:val="00027729"/>
    <w:rsid w:val="000573BB"/>
    <w:rsid w:val="000D3BE0"/>
    <w:rsid w:val="0013020A"/>
    <w:rsid w:val="001756C1"/>
    <w:rsid w:val="001A1133"/>
    <w:rsid w:val="001C3B3F"/>
    <w:rsid w:val="001E0D54"/>
    <w:rsid w:val="001F7438"/>
    <w:rsid w:val="0020180B"/>
    <w:rsid w:val="002151DF"/>
    <w:rsid w:val="002251B1"/>
    <w:rsid w:val="002359EC"/>
    <w:rsid w:val="00280730"/>
    <w:rsid w:val="00286B9D"/>
    <w:rsid w:val="002A4315"/>
    <w:rsid w:val="002C20BB"/>
    <w:rsid w:val="002C5248"/>
    <w:rsid w:val="002D2376"/>
    <w:rsid w:val="002F217A"/>
    <w:rsid w:val="002F2C75"/>
    <w:rsid w:val="003119A4"/>
    <w:rsid w:val="00322A13"/>
    <w:rsid w:val="0034207C"/>
    <w:rsid w:val="003521AC"/>
    <w:rsid w:val="00372213"/>
    <w:rsid w:val="003B1C2D"/>
    <w:rsid w:val="00407C52"/>
    <w:rsid w:val="00422681"/>
    <w:rsid w:val="0044236A"/>
    <w:rsid w:val="00450C1A"/>
    <w:rsid w:val="004915EB"/>
    <w:rsid w:val="00492746"/>
    <w:rsid w:val="004D2221"/>
    <w:rsid w:val="004E7137"/>
    <w:rsid w:val="0052696E"/>
    <w:rsid w:val="005638E7"/>
    <w:rsid w:val="005648E1"/>
    <w:rsid w:val="00566554"/>
    <w:rsid w:val="00571EE4"/>
    <w:rsid w:val="005A1DF0"/>
    <w:rsid w:val="0061307B"/>
    <w:rsid w:val="0065364D"/>
    <w:rsid w:val="00672E32"/>
    <w:rsid w:val="00675516"/>
    <w:rsid w:val="006E1E95"/>
    <w:rsid w:val="00703B94"/>
    <w:rsid w:val="00764DD2"/>
    <w:rsid w:val="0079238F"/>
    <w:rsid w:val="007D33E0"/>
    <w:rsid w:val="007F0991"/>
    <w:rsid w:val="00807026"/>
    <w:rsid w:val="00850975"/>
    <w:rsid w:val="008524B8"/>
    <w:rsid w:val="00872659"/>
    <w:rsid w:val="008937E5"/>
    <w:rsid w:val="008C47A0"/>
    <w:rsid w:val="00931E82"/>
    <w:rsid w:val="00953333"/>
    <w:rsid w:val="009B590B"/>
    <w:rsid w:val="009D7203"/>
    <w:rsid w:val="009E16A9"/>
    <w:rsid w:val="00A018A6"/>
    <w:rsid w:val="00A34C6F"/>
    <w:rsid w:val="00A422F8"/>
    <w:rsid w:val="00A64C4C"/>
    <w:rsid w:val="00A96F16"/>
    <w:rsid w:val="00AE347A"/>
    <w:rsid w:val="00B139D6"/>
    <w:rsid w:val="00B14F16"/>
    <w:rsid w:val="00B46CB8"/>
    <w:rsid w:val="00B65320"/>
    <w:rsid w:val="00B66976"/>
    <w:rsid w:val="00B71574"/>
    <w:rsid w:val="00B9556C"/>
    <w:rsid w:val="00BB29F1"/>
    <w:rsid w:val="00BD6819"/>
    <w:rsid w:val="00C17768"/>
    <w:rsid w:val="00C53A98"/>
    <w:rsid w:val="00C9435C"/>
    <w:rsid w:val="00D23B6B"/>
    <w:rsid w:val="00D35D6B"/>
    <w:rsid w:val="00D4391D"/>
    <w:rsid w:val="00D46D03"/>
    <w:rsid w:val="00D656D7"/>
    <w:rsid w:val="00D703CD"/>
    <w:rsid w:val="00DC2CF5"/>
    <w:rsid w:val="00DC4534"/>
    <w:rsid w:val="00DE131C"/>
    <w:rsid w:val="00E10B22"/>
    <w:rsid w:val="00E432BD"/>
    <w:rsid w:val="00E648F5"/>
    <w:rsid w:val="00E81954"/>
    <w:rsid w:val="00EB163C"/>
    <w:rsid w:val="00ED370F"/>
    <w:rsid w:val="00F06C4B"/>
    <w:rsid w:val="00F1579D"/>
    <w:rsid w:val="00F87E54"/>
    <w:rsid w:val="00FB0141"/>
    <w:rsid w:val="0DCF62A4"/>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FA8CED"/>
  <w15:docId w15:val="{B6DC5A72-A305-1541-B346-4D5605F7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EastAsia" w:hAnsiTheme="minorHAnsi" w:cstheme="minorBidi"/>
      <w:kern w:val="2"/>
      <w:sz w:val="24"/>
      <w:szCs w:val="24"/>
      <w:lang w:val="zh-CN"/>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p1">
    <w:name w:val="p1"/>
    <w:basedOn w:val="Normal"/>
    <w:pPr>
      <w:spacing w:after="0" w:line="240" w:lineRule="auto"/>
    </w:pPr>
    <w:rPr>
      <w:rFonts w:ascii="Helvetica" w:eastAsia="Times New Roman" w:hAnsi="Helvetica" w:cs="Times New Roman"/>
      <w:color w:val="141413"/>
      <w:kern w:val="0"/>
      <w:sz w:val="17"/>
      <w:szCs w:val="17"/>
      <w14:ligatures w14:val="none"/>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s2">
    <w:name w:val="s2"/>
    <w:basedOn w:val="DefaultParagraphFont"/>
  </w:style>
  <w:style w:type="character" w:customStyle="1" w:styleId="apple-converted-space">
    <w:name w:val="apple-converted-space"/>
    <w:basedOn w:val="DefaultParagraphFont"/>
  </w:style>
  <w:style w:type="paragraph" w:customStyle="1" w:styleId="Revision1">
    <w:name w:val="Revision1"/>
    <w:hidden/>
    <w:uiPriority w:val="99"/>
    <w:unhideWhenUsed/>
    <w:rPr>
      <w:rFonts w:asciiTheme="minorHAnsi" w:eastAsiaTheme="minorEastAsia" w:hAnsiTheme="minorHAnsi" w:cstheme="minorBidi"/>
      <w:kern w:val="2"/>
      <w:sz w:val="24"/>
      <w:szCs w:val="24"/>
      <w:lang w:val="zh-CN"/>
      <w14:ligatures w14:val="standardContextual"/>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DTS-01-2023-000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2338</Words>
  <Characters>13328</Characters>
  <Application>Microsoft Office Word</Application>
  <DocSecurity>0</DocSecurity>
  <Lines>111</Lines>
  <Paragraphs>31</Paragraphs>
  <ScaleCrop>false</ScaleCrop>
  <Company/>
  <LinksUpToDate>false</LinksUpToDate>
  <CharactersWithSpaces>15635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a34955</dc:creator>
  <cp:lastModifiedBy>a34955</cp:lastModifiedBy>
  <cp:revision>4</cp:revision>
  <dcterms:created xsi:type="dcterms:W3CDTF">2026-08-28T12:57:00Z</dcterms:created>
  <dcterms:modified xsi:type="dcterms:W3CDTF">2026-08-29T13:03:00Z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A349FF431A637800CE278D6AFA82D629_42</vt:lpwstr>
  </property>
</Properties>
</file>