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4988F">
      <w:pPr>
        <w:spacing w:line="480" w:lineRule="auto"/>
        <w:rPr>
          <w:rFonts w:ascii="Times New Roman" w:hAnsi="Times New Roman" w:cs="Times New Roman"/>
          <w:b/>
          <w:bCs/>
        </w:rPr>
      </w:pPr>
    </w:p>
    <w:p w14:paraId="4935C17B">
      <w:pPr>
        <w:spacing w:line="480" w:lineRule="auto"/>
        <w:rPr>
          <w:rFonts w:ascii="Times New Roman" w:hAnsi="Times New Roman" w:cs="Times New Roman"/>
          <w:b/>
          <w:bCs/>
        </w:rPr>
      </w:pPr>
    </w:p>
    <w:p w14:paraId="5301B7BF">
      <w:pPr>
        <w:spacing w:line="480" w:lineRule="auto"/>
        <w:rPr>
          <w:rFonts w:ascii="Times New Roman" w:hAnsi="Times New Roman" w:cs="Times New Roman"/>
          <w:b/>
          <w:bCs/>
          <w:lang w:eastAsia="zh-CN"/>
        </w:rPr>
      </w:pPr>
    </w:p>
    <w:p w14:paraId="0E83CA1C">
      <w:pPr>
        <w:spacing w:line="480" w:lineRule="auto"/>
        <w:jc w:val="center"/>
        <w:rPr>
          <w:rFonts w:ascii="Times New Roman" w:hAnsi="Times New Roman" w:cs="Times New Roman"/>
          <w:b/>
          <w:bCs/>
          <w:lang w:eastAsia="zh-CN"/>
        </w:rPr>
      </w:pPr>
      <w:bookmarkStart w:id="0" w:name="_GoBack"/>
      <w:r>
        <w:rPr>
          <w:rFonts w:ascii="Times New Roman" w:hAnsi="Times New Roman" w:cs="Times New Roman"/>
          <w:b/>
          <w:bCs/>
          <w:lang w:eastAsia="zh-CN"/>
        </w:rPr>
        <w:t xml:space="preserve">Formative Network Models: </w:t>
      </w:r>
    </w:p>
    <w:p w14:paraId="48D6D62B">
      <w:pPr>
        <w:spacing w:line="480" w:lineRule="auto"/>
        <w:jc w:val="center"/>
        <w:rPr>
          <w:rFonts w:ascii="Times New Roman" w:hAnsi="Times New Roman" w:cs="Times New Roman"/>
          <w:b/>
          <w:bCs/>
          <w:lang w:eastAsia="zh-CN"/>
        </w:rPr>
      </w:pPr>
      <w:r>
        <w:rPr>
          <w:rFonts w:ascii="Times New Roman" w:hAnsi="Times New Roman" w:cs="Times New Roman"/>
          <w:b/>
          <w:bCs/>
          <w:lang w:eastAsia="zh-CN"/>
        </w:rPr>
        <w:t>The Modern Economy and Human Connection in the AI Era</w:t>
      </w:r>
    </w:p>
    <w:bookmarkEnd w:id="0"/>
    <w:p w14:paraId="0089752E">
      <w:pPr>
        <w:spacing w:line="480" w:lineRule="auto"/>
        <w:jc w:val="center"/>
        <w:rPr>
          <w:rFonts w:ascii="Times New Roman" w:hAnsi="Times New Roman" w:cs="Times New Roman"/>
          <w:b/>
          <w:bCs/>
          <w:lang w:eastAsia="zh-CN"/>
        </w:rPr>
      </w:pPr>
    </w:p>
    <w:p w14:paraId="0B49C10A">
      <w:pPr>
        <w:spacing w:line="480" w:lineRule="auto"/>
        <w:jc w:val="center"/>
        <w:rPr>
          <w:rFonts w:ascii="Times New Roman" w:hAnsi="Times New Roman" w:cs="Times New Roman"/>
          <w:b/>
          <w:bCs/>
          <w:lang w:eastAsia="zh-CN"/>
        </w:rPr>
      </w:pPr>
    </w:p>
    <w:p w14:paraId="422AF7C3">
      <w:pPr>
        <w:spacing w:line="480" w:lineRule="auto"/>
        <w:jc w:val="center"/>
      </w:pPr>
      <w:r>
        <w:rPr>
          <w:rFonts w:ascii="Times New Roman" w:hAnsi="Times New Roman" w:cs="Times New Roman"/>
          <w:b/>
          <w:bCs/>
          <w:lang w:eastAsia="zh-CN"/>
        </w:rPr>
        <w:t>ZHI EN JIA</w:t>
      </w:r>
    </w:p>
    <w:p w14:paraId="5670D457">
      <w:pPr>
        <w:spacing w:line="480" w:lineRule="auto"/>
        <w:jc w:val="center"/>
        <w:rPr>
          <w:rFonts w:ascii="Times New Roman" w:hAnsi="Times New Roman" w:cs="Times New Roman"/>
          <w:b/>
          <w:bCs/>
          <w:lang w:eastAsia="zh-CN"/>
        </w:rPr>
      </w:pPr>
      <w:r>
        <w:rPr>
          <w:rFonts w:ascii="Times New Roman" w:hAnsi="Times New Roman" w:cs="Times New Roman"/>
          <w:b/>
          <w:bCs/>
          <w:lang w:eastAsia="zh-CN"/>
        </w:rPr>
        <w:t>The Canadian International School of Hefei</w:t>
      </w:r>
    </w:p>
    <w:p w14:paraId="5B998B5F">
      <w:pPr>
        <w:spacing w:line="480" w:lineRule="auto"/>
        <w:jc w:val="center"/>
        <w:rPr>
          <w:rFonts w:ascii="Times New Roman" w:hAnsi="Times New Roman" w:cs="Times New Roman"/>
          <w:b/>
          <w:bCs/>
          <w:lang w:eastAsia="zh-CN"/>
        </w:rPr>
      </w:pPr>
    </w:p>
    <w:p w14:paraId="2F0E5FCB">
      <w:pPr>
        <w:spacing w:line="480" w:lineRule="auto"/>
        <w:jc w:val="center"/>
        <w:rPr>
          <w:rFonts w:ascii="Times New Roman" w:hAnsi="Times New Roman" w:cs="Times New Roman"/>
          <w:b/>
          <w:bCs/>
          <w:lang w:eastAsia="zh-CN"/>
        </w:rPr>
      </w:pPr>
      <w:r>
        <w:rPr>
          <w:rFonts w:ascii="Times New Roman" w:hAnsi="Times New Roman" w:cs="Times New Roman"/>
          <w:b/>
          <w:bCs/>
          <w:lang w:eastAsia="zh-CN"/>
        </w:rPr>
        <w:t>29 August 2026</w:t>
      </w:r>
    </w:p>
    <w:p w14:paraId="429BC04F">
      <w:pPr>
        <w:spacing w:line="480" w:lineRule="auto"/>
        <w:rPr>
          <w:rFonts w:ascii="Times New Roman" w:hAnsi="Times New Roman" w:cs="Times New Roman"/>
          <w:b/>
          <w:bCs/>
        </w:rPr>
      </w:pPr>
    </w:p>
    <w:p w14:paraId="2B4E95D1">
      <w:pPr>
        <w:spacing w:line="480" w:lineRule="auto"/>
        <w:rPr>
          <w:rFonts w:ascii="Times New Roman" w:hAnsi="Times New Roman" w:cs="Times New Roman"/>
          <w:b/>
          <w:bCs/>
        </w:rPr>
      </w:pPr>
    </w:p>
    <w:p w14:paraId="3834CDE9">
      <w:pPr>
        <w:spacing w:line="480" w:lineRule="auto"/>
        <w:rPr>
          <w:rFonts w:ascii="Times New Roman" w:hAnsi="Times New Roman" w:cs="Times New Roman"/>
          <w:b/>
          <w:bCs/>
        </w:rPr>
      </w:pPr>
    </w:p>
    <w:p w14:paraId="76EF1D84">
      <w:pPr>
        <w:spacing w:line="480" w:lineRule="auto"/>
        <w:rPr>
          <w:rFonts w:ascii="Times New Roman" w:hAnsi="Times New Roman" w:cs="Times New Roman"/>
          <w:b/>
          <w:bCs/>
        </w:rPr>
      </w:pPr>
    </w:p>
    <w:p w14:paraId="3AE9F075">
      <w:pPr>
        <w:spacing w:line="480" w:lineRule="auto"/>
        <w:rPr>
          <w:rFonts w:ascii="Times New Roman" w:hAnsi="Times New Roman" w:cs="Times New Roman"/>
          <w:b/>
          <w:bCs/>
        </w:rPr>
      </w:pPr>
    </w:p>
    <w:p w14:paraId="077ECF64">
      <w:pPr>
        <w:rPr>
          <w:rFonts w:ascii="Times New Roman" w:hAnsi="Times New Roman" w:cs="Times New Roman"/>
          <w:b/>
          <w:bCs/>
        </w:rPr>
      </w:pPr>
      <w:r>
        <w:rPr>
          <w:rFonts w:ascii="Times New Roman" w:hAnsi="Times New Roman" w:cs="Times New Roman"/>
          <w:b/>
          <w:bCs/>
        </w:rPr>
        <w:br w:type="page"/>
      </w:r>
    </w:p>
    <w:p w14:paraId="7EFB428B">
      <w:pPr>
        <w:spacing w:line="480" w:lineRule="auto"/>
        <w:jc w:val="center"/>
        <w:rPr>
          <w:rFonts w:ascii="Times New Roman" w:hAnsi="Times New Roman" w:cs="Times New Roman"/>
          <w:b/>
          <w:bCs/>
        </w:rPr>
      </w:pPr>
      <w:r>
        <w:rPr>
          <w:rFonts w:ascii="Times New Roman" w:hAnsi="Times New Roman" w:cs="Times New Roman"/>
          <w:b/>
          <w:bCs/>
        </w:rPr>
        <w:t>Abstract</w:t>
      </w:r>
    </w:p>
    <w:p w14:paraId="6B77AB61">
      <w:pPr>
        <w:spacing w:line="480" w:lineRule="auto"/>
        <w:rPr>
          <w:rFonts w:ascii="Times New Roman" w:hAnsi="Times New Roman" w:cs="Times New Roman"/>
        </w:rPr>
      </w:pPr>
      <w:r>
        <w:rPr>
          <w:rFonts w:ascii="Times New Roman" w:hAnsi="Times New Roman" w:cs="Times New Roman"/>
        </w:rPr>
        <w:t>This essay examines the extent to which modern economies are increasingly shaped by digital networks and platform-based systems rather than by traditional market mechanisms. It compares one-sided markets with two-sided platforms and analyzes how network effects influence search costs, market access, competition, and platform power. Findings suggest that digital networks substantially reshape how buyers, sellers, and platforms interact, although price, quality, demand, substitution, and competition continue to constrain digital markets. This essay also evaluates how artificial intelligence changes the economic importance of human connection. AI can automate routine and standardize interactions, reducing the value of some forms of interpersonal contact. However, in areas requiring trust, accountability, empathy, creativity, and strategic judgement, human relationships remain difficult to replace and may become relatively more valuable. Therefore, in the AI era, human connections become more economically important.</w:t>
      </w:r>
    </w:p>
    <w:p w14:paraId="58C5B2F0">
      <w:pPr>
        <w:spacing w:line="480" w:lineRule="auto"/>
        <w:rPr>
          <w:rFonts w:ascii="Times New Roman" w:hAnsi="Times New Roman" w:cs="Times New Roman"/>
          <w:b/>
          <w:bCs/>
        </w:rPr>
      </w:pPr>
    </w:p>
    <w:p w14:paraId="332D0DCA">
      <w:pPr>
        <w:spacing w:line="480" w:lineRule="auto"/>
        <w:rPr>
          <w:rFonts w:ascii="Times New Roman" w:hAnsi="Times New Roman" w:cs="Times New Roman"/>
          <w:b/>
          <w:bCs/>
        </w:rPr>
      </w:pPr>
    </w:p>
    <w:p w14:paraId="03A83C03">
      <w:pPr>
        <w:spacing w:line="480" w:lineRule="auto"/>
        <w:rPr>
          <w:rFonts w:ascii="Times New Roman" w:hAnsi="Times New Roman" w:cs="Times New Roman"/>
          <w:b/>
          <w:bCs/>
        </w:rPr>
      </w:pPr>
    </w:p>
    <w:p w14:paraId="3BD080C0">
      <w:pPr>
        <w:spacing w:line="480" w:lineRule="auto"/>
        <w:rPr>
          <w:rFonts w:ascii="Times New Roman" w:hAnsi="Times New Roman" w:cs="Times New Roman"/>
          <w:b/>
          <w:bCs/>
        </w:rPr>
      </w:pPr>
    </w:p>
    <w:p w14:paraId="28B02394">
      <w:pPr>
        <w:spacing w:line="480" w:lineRule="auto"/>
        <w:rPr>
          <w:rFonts w:ascii="Times New Roman" w:hAnsi="Times New Roman" w:cs="Times New Roman"/>
          <w:b/>
          <w:bCs/>
        </w:rPr>
      </w:pPr>
    </w:p>
    <w:p w14:paraId="079693B9">
      <w:pPr>
        <w:rPr>
          <w:rFonts w:ascii="Times New Roman" w:hAnsi="Times New Roman" w:cs="Times New Roman"/>
          <w:b/>
          <w:bCs/>
        </w:rPr>
      </w:pPr>
      <w:r>
        <w:rPr>
          <w:rFonts w:ascii="Times New Roman" w:hAnsi="Times New Roman" w:cs="Times New Roman"/>
          <w:b/>
          <w:bCs/>
        </w:rPr>
        <w:br w:type="page"/>
      </w:r>
    </w:p>
    <w:p w14:paraId="2C078E63">
      <w:pPr>
        <w:spacing w:line="480" w:lineRule="auto"/>
        <w:rPr>
          <w:rFonts w:ascii="Times New Roman" w:hAnsi="Times New Roman" w:cs="Times New Roman"/>
          <w:b/>
          <w:bCs/>
        </w:rPr>
      </w:pPr>
      <w:r>
        <w:rPr>
          <w:rFonts w:ascii="Times New Roman" w:hAnsi="Times New Roman" w:cs="Times New Roman"/>
          <w:b/>
          <w:bCs/>
        </w:rPr>
        <w:t>I. Introduction</w:t>
      </w:r>
    </w:p>
    <w:p w14:paraId="0F92AA9B">
      <w:pPr>
        <w:spacing w:before="240" w:after="240" w:line="480" w:lineRule="auto"/>
        <w:rPr>
          <w:rFonts w:ascii="Times New Roman" w:hAnsi="Times New Roman" w:eastAsia="Arial" w:cs="Times New Roman"/>
        </w:rPr>
      </w:pPr>
      <w:r>
        <w:rPr>
          <w:rFonts w:ascii="Times New Roman" w:hAnsi="Times New Roman" w:eastAsia="Arial" w:cs="Times New Roman"/>
        </w:rPr>
        <w:t>Digital networks and artificial intelligence are no longer marginal features of economic activity. In 2024, e-sales accounted for 19.49% of EU enterprise turnover, while in 2025, 20% of EU enterprises with at least ten employees reported using AI technologies (Eurostat). Simultaneously, other studies suggest that markets remain largely determined by traditional economic mechanisms. This essay argues that modern economies are shaped by digital networks to a large extent because platforms increasingly determine matching, information flows and market access, while price, demand, quality and competition constrain the impact of these networks. It further argues that AI makes routine interpersonal exchanges less important, but increases the economic premium on human trust, empathy, creativity and strategic judgement. Thus, human connections are primed to become more economically important.</w:t>
      </w:r>
    </w:p>
    <w:p w14:paraId="4FA7988A">
      <w:pPr>
        <w:spacing w:before="240" w:after="240" w:line="480" w:lineRule="auto"/>
        <w:rPr>
          <w:rFonts w:ascii="Times New Roman" w:hAnsi="Times New Roman" w:eastAsia="Arial" w:cs="Times New Roman"/>
          <w:b/>
          <w:bCs/>
        </w:rPr>
      </w:pPr>
      <w:r>
        <w:rPr>
          <w:rFonts w:ascii="Times New Roman" w:hAnsi="Times New Roman" w:eastAsia="Arial" w:cs="Times New Roman"/>
          <w:b/>
          <w:bCs/>
        </w:rPr>
        <w:t>II. Networks, Markets, and the Modern Economy</w:t>
      </w:r>
    </w:p>
    <w:p w14:paraId="5E275746">
      <w:pPr>
        <w:spacing w:before="240" w:after="240" w:line="480" w:lineRule="auto"/>
        <w:rPr>
          <w:rFonts w:ascii="Times New Roman" w:hAnsi="Times New Roman" w:cs="Times New Roman"/>
        </w:rPr>
      </w:pPr>
      <w:r>
        <w:rPr>
          <w:rFonts w:ascii="Times New Roman" w:hAnsi="Times New Roman" w:eastAsia="Arial" w:cs="Times New Roman"/>
        </w:rPr>
        <w:t>D</w:t>
      </w:r>
      <w:r>
        <w:rPr>
          <w:rFonts w:ascii="Times New Roman" w:hAnsi="Times New Roman" w:eastAsia="Arial" w:cs="Times New Roman"/>
          <w:lang w:eastAsia="zh-CN"/>
        </w:rPr>
        <w:t xml:space="preserve">riven by technological advancements, traditional single-sided markets and two-sided markets together form the foundation of the modern economy. </w:t>
      </w:r>
      <w:r>
        <w:rPr>
          <w:rFonts w:hint="eastAsia" w:ascii="Times New Roman" w:hAnsi="Times New Roman" w:eastAsia="Arial" w:cs="Times New Roman"/>
          <w:lang w:eastAsia="zh-CN"/>
        </w:rPr>
        <w:t>T</w:t>
      </w:r>
      <w:r>
        <w:rPr>
          <w:rFonts w:ascii="Times New Roman" w:hAnsi="Times New Roman" w:eastAsia="Arial" w:cs="Times New Roman"/>
        </w:rPr>
        <w:t xml:space="preserve">raditional single-sided markets involve relatively direct exchanges between buyers and sellers. By contrast, a two-sided market connects interdependent groups through a platform. A network effect exists when the value of a product or service to a user change as the number of participating users changes (Katz and Shapiro). Credit cards </w:t>
      </w:r>
      <w:r>
        <w:rPr>
          <w:rFonts w:ascii="Times New Roman" w:hAnsi="Times New Roman" w:eastAsia="Arial" w:cs="Times New Roman"/>
          <w:lang w:eastAsia="zh-CN"/>
        </w:rPr>
        <w:t>are a classic example of the platform economy</w:t>
      </w:r>
      <w:r>
        <w:rPr>
          <w:rFonts w:hint="eastAsia" w:ascii="Times New Roman" w:hAnsi="Times New Roman" w:eastAsia="Arial" w:cs="Times New Roman"/>
          <w:lang w:eastAsia="zh-CN"/>
        </w:rPr>
        <w:t>.</w:t>
      </w:r>
      <w:r>
        <w:rPr>
          <w:rFonts w:ascii="Times New Roman" w:hAnsi="Times New Roman" w:eastAsia="Arial" w:cs="Times New Roman"/>
        </w:rPr>
        <w:t xml:space="preserve"> A card becomes more useful to consumers when more merchants accept it, while merchants gain more from accepting it when more consumers use it. This interdependence also affects pricing, because platforms may charge the two sides differently to attract enough participation on both sides (Rochet and Tirole).</w:t>
      </w:r>
    </w:p>
    <w:p w14:paraId="24C9BD07">
      <w:pPr>
        <w:spacing w:line="480" w:lineRule="auto"/>
        <w:rPr>
          <w:rFonts w:ascii="Times New Roman" w:hAnsi="Times New Roman" w:cs="Times New Roman"/>
          <w:lang w:eastAsia="zh-CN"/>
        </w:rPr>
      </w:pPr>
    </w:p>
    <w:p w14:paraId="45A06C74">
      <w:pPr>
        <w:spacing w:before="240" w:after="240" w:line="480" w:lineRule="auto"/>
        <w:rPr>
          <w:rFonts w:ascii="Times New Roman" w:hAnsi="Times New Roman" w:cs="Times New Roman"/>
        </w:rPr>
      </w:pPr>
      <w:r>
        <w:rPr>
          <w:rFonts w:ascii="Times New Roman" w:hAnsi="Times New Roman" w:eastAsia="Arial" w:cs="Times New Roman"/>
        </w:rPr>
        <w:t>C</w:t>
      </w:r>
      <w:r>
        <w:rPr>
          <w:rFonts w:ascii="Times New Roman" w:hAnsi="Times New Roman" w:eastAsia="Arial" w:cs="Times New Roman"/>
          <w:lang w:eastAsia="zh-CN"/>
        </w:rPr>
        <w:t xml:space="preserve">ompared to traditional market factors, networks can have more of an impact in shaping modern economies. This is owing to several reasons. </w:t>
      </w:r>
      <w:r>
        <w:rPr>
          <w:rFonts w:ascii="Times New Roman" w:hAnsi="Times New Roman" w:eastAsia="Arial" w:cs="Times New Roman"/>
        </w:rPr>
        <w:t>F</w:t>
      </w:r>
      <w:r>
        <w:rPr>
          <w:rFonts w:ascii="Times New Roman" w:hAnsi="Times New Roman" w:eastAsia="Arial" w:cs="Times New Roman"/>
          <w:lang w:eastAsia="zh-CN"/>
        </w:rPr>
        <w:t>irstly, networks can significantly change the transaction behavior of buyers by l</w:t>
      </w:r>
      <w:r>
        <w:rPr>
          <w:rFonts w:ascii="Times New Roman" w:hAnsi="Times New Roman" w:eastAsia="Arial" w:cs="Times New Roman"/>
        </w:rPr>
        <w:t xml:space="preserve">owering </w:t>
      </w:r>
      <w:r>
        <w:rPr>
          <w:rFonts w:ascii="Times New Roman" w:hAnsi="Times New Roman" w:eastAsia="Arial" w:cs="Times New Roman"/>
          <w:lang w:eastAsia="zh-CN"/>
        </w:rPr>
        <w:t xml:space="preserve">buyer’s </w:t>
      </w:r>
      <w:r>
        <w:rPr>
          <w:rFonts w:ascii="Times New Roman" w:hAnsi="Times New Roman" w:eastAsia="Arial" w:cs="Times New Roman"/>
        </w:rPr>
        <w:t xml:space="preserve">cost of finding information about sellers’ prices and product offerings. For example, an online buyer can compare many prices, product specifications and reviews in minutes instead of visiting sellers individually. This not only improves the efficiency of their transaction but also </w:t>
      </w:r>
      <w:r>
        <w:rPr>
          <w:rFonts w:ascii="Times New Roman" w:hAnsi="Times New Roman" w:eastAsia="Arial" w:cs="Times New Roman"/>
          <w:lang w:eastAsia="zh-CN"/>
        </w:rPr>
        <w:t xml:space="preserve">reduces the risk of exploitation by sellers or platforms resulting from information asymmetry </w:t>
      </w:r>
      <w:r>
        <w:rPr>
          <w:rFonts w:ascii="Times New Roman" w:hAnsi="Times New Roman" w:eastAsia="Arial" w:cs="Times New Roman"/>
        </w:rPr>
        <w:t>(Bakos). T</w:t>
      </w:r>
      <w:r>
        <w:rPr>
          <w:rFonts w:ascii="Times New Roman" w:hAnsi="Times New Roman" w:eastAsia="Arial" w:cs="Times New Roman"/>
          <w:lang w:eastAsia="zh-CN"/>
        </w:rPr>
        <w:t>herefore,</w:t>
      </w:r>
      <w:r>
        <w:rPr>
          <w:rFonts w:ascii="Times New Roman" w:hAnsi="Times New Roman" w:eastAsia="Arial" w:cs="Times New Roman"/>
        </w:rPr>
        <w:t xml:space="preserve"> networks substantially reshape the buyer side of markets by reducing informational friction, although consumers still face problems such as information overload, misleading reviews, and differences in product quality.</w:t>
      </w:r>
    </w:p>
    <w:p w14:paraId="41A16789">
      <w:pPr>
        <w:spacing w:before="240" w:after="240" w:line="480" w:lineRule="auto"/>
        <w:rPr>
          <w:rFonts w:ascii="微软雅黑" w:hAnsi="微软雅黑" w:eastAsia="微软雅黑" w:cs="微软雅黑"/>
          <w:lang w:eastAsia="zh-CN"/>
        </w:rPr>
      </w:pPr>
      <w:r>
        <w:rPr>
          <w:rFonts w:ascii="Times New Roman" w:hAnsi="Times New Roman" w:eastAsia="Arial" w:cs="Times New Roman"/>
        </w:rPr>
        <w:t xml:space="preserve">In addition, networks also allow firms to reach customers beyond a local area, while </w:t>
      </w:r>
      <w:r>
        <w:rPr>
          <w:rFonts w:ascii="Times New Roman" w:hAnsi="Times New Roman" w:eastAsia="Arial" w:cs="Times New Roman"/>
          <w:lang w:eastAsia="zh-CN"/>
        </w:rPr>
        <w:t>big-data-driven search rankings and recommendation systems can influence which sellers are prioritized for buyers.</w:t>
      </w:r>
      <w:r>
        <w:rPr>
          <w:rFonts w:ascii="Times New Roman" w:hAnsi="Times New Roman" w:eastAsia="Arial" w:cs="Times New Roman"/>
        </w:rPr>
        <w:t xml:space="preserve"> As a result, competition among sellers tends to increasingly rely on their online visibility. </w:t>
      </w:r>
      <w:r>
        <w:rPr>
          <w:rFonts w:ascii="Times New Roman" w:hAnsi="Times New Roman" w:eastAsia="Arial" w:cs="Times New Roman"/>
          <w:lang w:eastAsia="zh-CN"/>
        </w:rPr>
        <w:t>A survey on the U.S. real estate market reveals that 85% of homeowners want to hire agents who can promote their listings to a wider online user base (Zillow) since connecting to a larger network can increase the likelihood of sellers closing a sale. Furthermore, according to Figure 1, in 2023, approximately 42% of enterprises across various industries were already using recommendation engines to conduct personalized advertising strategies and provide customized marketing interactions. Hence, digital networks and algorithmic recommendations that lead to greater network connectivity have become a key factor in reshaping business competition.</w:t>
      </w:r>
    </w:p>
    <w:p w14:paraId="7262C770">
      <w:pPr>
        <w:spacing w:before="240" w:after="240" w:line="480" w:lineRule="auto"/>
        <w:jc w:val="center"/>
        <w:rPr>
          <w:rFonts w:ascii="Times New Roman" w:hAnsi="Times New Roman" w:eastAsia="Arial" w:cs="Times New Roman"/>
        </w:rPr>
      </w:pPr>
      <w:r>
        <w:rPr>
          <w:rFonts w:ascii="Times New Roman" w:hAnsi="Times New Roman" w:eastAsia="Arial" w:cs="Times New Roman"/>
        </w:rPr>
        <w:drawing>
          <wp:inline distT="0" distB="0" distL="0" distR="0">
            <wp:extent cx="3599815" cy="1924050"/>
            <wp:effectExtent l="0" t="0" r="0" b="6350"/>
            <wp:docPr id="18785545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54567"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00000" cy="1924231"/>
                    </a:xfrm>
                    <a:prstGeom prst="rect">
                      <a:avLst/>
                    </a:prstGeom>
                  </pic:spPr>
                </pic:pic>
              </a:graphicData>
            </a:graphic>
          </wp:inline>
        </w:drawing>
      </w:r>
    </w:p>
    <w:p w14:paraId="6D5CE66E">
      <w:pPr>
        <w:spacing w:before="240" w:after="240" w:line="480" w:lineRule="auto"/>
        <w:jc w:val="center"/>
        <w:rPr>
          <w:rFonts w:ascii="Times New Roman" w:hAnsi="Times New Roman" w:eastAsia="Arial" w:cs="Times New Roman"/>
        </w:rPr>
      </w:pPr>
      <w:r>
        <w:rPr>
          <w:rFonts w:ascii="Times New Roman" w:hAnsi="Times New Roman" w:eastAsia="Arial" w:cs="Times New Roman"/>
        </w:rPr>
        <w:t>Figure 1: Recommendation Engine Market</w:t>
      </w:r>
    </w:p>
    <w:p w14:paraId="051D11A8">
      <w:pPr>
        <w:spacing w:before="240" w:after="240" w:line="480" w:lineRule="auto"/>
        <w:jc w:val="center"/>
        <w:rPr>
          <w:rFonts w:ascii="Times New Roman" w:hAnsi="Times New Roman" w:eastAsia="Arial" w:cs="Times New Roman"/>
        </w:rPr>
      </w:pPr>
      <w:r>
        <w:rPr>
          <w:rFonts w:ascii="Times New Roman" w:hAnsi="Times New Roman" w:eastAsia="Arial" w:cs="Times New Roman"/>
        </w:rPr>
        <w:t xml:space="preserve">(Source: </w:t>
      </w:r>
      <w:r>
        <w:fldChar w:fldCharType="begin"/>
      </w:r>
      <w:r>
        <w:instrText xml:space="preserve"> HYPERLINK "https://www.grandviewresearch.com/industry-analysis/recommendation-engine-market-report" </w:instrText>
      </w:r>
      <w:r>
        <w:fldChar w:fldCharType="separate"/>
      </w:r>
      <w:r>
        <w:rPr>
          <w:rStyle w:val="6"/>
          <w:rFonts w:ascii="Times New Roman" w:hAnsi="Times New Roman" w:eastAsia="Arial" w:cs="Times New Roman"/>
        </w:rPr>
        <w:t>https://www.grandviewresearch.com/industry-analysis/recommendation-engine-market-report</w:t>
      </w:r>
      <w:r>
        <w:rPr>
          <w:rStyle w:val="6"/>
          <w:rFonts w:ascii="Times New Roman" w:hAnsi="Times New Roman" w:eastAsia="Arial" w:cs="Times New Roman"/>
        </w:rPr>
        <w:fldChar w:fldCharType="end"/>
      </w:r>
      <w:r>
        <w:rPr>
          <w:rFonts w:ascii="Times New Roman" w:hAnsi="Times New Roman" w:eastAsia="Arial" w:cs="Times New Roman"/>
        </w:rPr>
        <w:t>)</w:t>
      </w:r>
    </w:p>
    <w:p w14:paraId="302F0BC4">
      <w:pPr>
        <w:spacing w:before="240" w:after="240" w:line="480" w:lineRule="auto"/>
        <w:jc w:val="center"/>
        <w:rPr>
          <w:rFonts w:ascii="Times New Roman" w:hAnsi="Times New Roman" w:eastAsia="Arial" w:cs="Times New Roman"/>
        </w:rPr>
      </w:pPr>
    </w:p>
    <w:p w14:paraId="210EAC10">
      <w:pPr>
        <w:spacing w:before="240" w:after="240" w:line="480" w:lineRule="auto"/>
        <w:rPr>
          <w:rFonts w:ascii="Times New Roman" w:hAnsi="Times New Roman" w:eastAsia="Arial" w:cs="Times New Roman"/>
        </w:rPr>
      </w:pPr>
      <w:r>
        <w:rPr>
          <w:rFonts w:ascii="Times New Roman" w:hAnsi="Times New Roman" w:eastAsia="Arial" w:cs="Times New Roman"/>
          <w:lang w:eastAsia="zh-CN"/>
        </w:rPr>
        <w:t xml:space="preserve">Leveraging advantages afforded by both direct and indirect network effects, two-sided markets have driven major transformations in the modern economy regarding transaction models, geographical boundaries, and other dimensions. </w:t>
      </w:r>
      <w:r>
        <w:rPr>
          <w:rFonts w:ascii="Times New Roman" w:hAnsi="Times New Roman" w:eastAsia="Arial" w:cs="Times New Roman"/>
        </w:rPr>
        <w:t>A direct network effect occurs when additional users on the same side make a service more valuable, such as a communication network becoming more useful as more people join. An indirect network effect occurs when growth on one side increases value on another side (OECD). When these feedback loops become sufficiently strong, networks can decide who is visible, who can enter, and how transactions are matched. T</w:t>
      </w:r>
      <w:r>
        <w:rPr>
          <w:rFonts w:ascii="Times New Roman" w:hAnsi="Times New Roman" w:eastAsia="Arial" w:cs="Times New Roman"/>
          <w:lang w:eastAsia="zh-CN"/>
        </w:rPr>
        <w:t xml:space="preserve">his is particularly evident in industries where transactions are facilitated by scalable digital platforms. </w:t>
      </w:r>
    </w:p>
    <w:p w14:paraId="650B7C27">
      <w:pPr>
        <w:spacing w:before="240" w:after="240" w:line="480" w:lineRule="auto"/>
        <w:rPr>
          <w:rFonts w:ascii="Times New Roman" w:hAnsi="Times New Roman" w:cs="Times New Roman"/>
        </w:rPr>
      </w:pPr>
      <w:r>
        <w:rPr>
          <w:rFonts w:ascii="Times New Roman" w:hAnsi="Times New Roman" w:eastAsia="Arial" w:cs="Times New Roman"/>
        </w:rPr>
        <w:t xml:space="preserve">Modern economies nevertheless remain partly driven by traditional market forces because network advantages do not eliminate substitution, quality, price sensitivity, or profitability. Once network effects enable a single platform to </w:t>
      </w:r>
      <w:r>
        <w:rPr>
          <w:rFonts w:ascii="Times New Roman" w:hAnsi="Times New Roman" w:eastAsia="Arial" w:cs="Times New Roman"/>
          <w:lang w:eastAsia="zh-CN"/>
        </w:rPr>
        <w:t xml:space="preserve">possess </w:t>
      </w:r>
      <w:r>
        <w:rPr>
          <w:rFonts w:ascii="Times New Roman" w:hAnsi="Times New Roman" w:eastAsia="Arial" w:cs="Times New Roman"/>
        </w:rPr>
        <w:t xml:space="preserve">immense market power, it can manipulate the market through its pricing strategies. As a result, platform users may forgo transactions based on their price sensitivity (OECD). Multi-homing—the use of multiple networks by either a buyer or a seller—has a similar disciplining effect. Even highly networked markets remain constrained by consumers’ willingness to switch, sellers’ need for sustainable margins, and the availability of substitutes. </w:t>
      </w:r>
      <w:r>
        <w:rPr>
          <w:rFonts w:ascii="Times New Roman" w:hAnsi="Times New Roman" w:eastAsia="Arial" w:cs="Times New Roman"/>
          <w:lang w:eastAsia="zh-CN"/>
        </w:rPr>
        <w:t>In summary, the modern economy is being significantly reshaped by networks, yet market factors continue to exert a constraining influence in specific contexts.</w:t>
      </w:r>
    </w:p>
    <w:p w14:paraId="4AB1FDE3">
      <w:pPr>
        <w:spacing w:before="240" w:after="240" w:line="480" w:lineRule="auto"/>
        <w:rPr>
          <w:rFonts w:ascii="Times New Roman" w:hAnsi="Times New Roman" w:eastAsia="Arial" w:cs="Times New Roman"/>
          <w:b/>
          <w:bCs/>
          <w:lang w:eastAsia="zh-CN"/>
        </w:rPr>
      </w:pPr>
      <w:r>
        <w:rPr>
          <w:rFonts w:ascii="Times New Roman" w:hAnsi="Times New Roman" w:eastAsia="Arial" w:cs="Times New Roman"/>
          <w:b/>
          <w:bCs/>
        </w:rPr>
        <w:t>III. AI and Human Connection</w:t>
      </w:r>
    </w:p>
    <w:p w14:paraId="27088316">
      <w:pPr>
        <w:spacing w:before="240" w:after="240" w:line="480" w:lineRule="auto"/>
        <w:rPr>
          <w:rFonts w:ascii="Times New Roman" w:hAnsi="Times New Roman" w:eastAsia="微软雅黑" w:cs="Times New Roman"/>
          <w:lang w:eastAsia="zh-CN"/>
        </w:rPr>
      </w:pPr>
      <w:r>
        <w:rPr>
          <w:rFonts w:ascii="Times New Roman" w:hAnsi="Times New Roman" w:eastAsia="Arial" w:cs="Times New Roman"/>
        </w:rPr>
        <w:t xml:space="preserve">AI strengthens these network structures by improving how platforms use </w:t>
      </w:r>
      <w:r>
        <w:rPr>
          <w:rFonts w:ascii="Times New Roman" w:hAnsi="Times New Roman" w:eastAsia="Arial" w:cs="Times New Roman"/>
          <w:lang w:eastAsia="zh-CN"/>
        </w:rPr>
        <w:t>i</w:t>
      </w:r>
      <w:r>
        <w:rPr>
          <w:rFonts w:ascii="Times New Roman" w:hAnsi="Times New Roman" w:eastAsia="Arial" w:cs="Times New Roman"/>
        </w:rPr>
        <w:t xml:space="preserve">nformation. </w:t>
      </w:r>
      <w:r>
        <w:rPr>
          <w:rFonts w:ascii="Times New Roman" w:hAnsi="Times New Roman" w:eastAsia="Arial" w:cs="Times New Roman"/>
          <w:lang w:eastAsia="zh-CN"/>
        </w:rPr>
        <w:t xml:space="preserve">In 2025, the proportion of EU enterprises with at least 10 employees adopting artificial intelligence applications nearly doubled to 20% from the 13.5% recorded in 2024. Of these, </w:t>
      </w:r>
      <w:r>
        <w:rPr>
          <w:rFonts w:ascii="Times New Roman" w:hAnsi="Times New Roman" w:eastAsia="Arial" w:cs="Times New Roman"/>
        </w:rPr>
        <w:t>11.8% of EU enterprises used AI to analyze written language, 9.5% used it to generate images, video or audio, and 8.8% used it to generate written or spoken language</w:t>
      </w:r>
      <w:r>
        <w:rPr>
          <w:rFonts w:ascii="Times New Roman" w:hAnsi="Times New Roman" w:eastAsia="Arial" w:cs="Times New Roman"/>
          <w:lang w:eastAsia="zh-CN"/>
        </w:rPr>
        <w:t xml:space="preserve"> (Eurostat).</w:t>
      </w:r>
      <w:r>
        <w:rPr>
          <w:rFonts w:ascii="微软雅黑" w:hAnsi="微软雅黑" w:eastAsia="微软雅黑" w:cs="微软雅黑"/>
          <w:lang w:eastAsia="zh-CN"/>
        </w:rPr>
        <w:t xml:space="preserve"> </w:t>
      </w:r>
      <w:r>
        <w:rPr>
          <w:rFonts w:ascii="Times New Roman" w:hAnsi="Times New Roman" w:eastAsia="Arial" w:cs="Times New Roman"/>
        </w:rPr>
        <w:t>As AI becomes more common, routine and information-based human contact becomes less economically important because the value of these exchanges often lies in transmitting standardized information rather than in the relationship itself. Experimental evidence shows that AI can reduce completion time for professional writing tasks by 40% while increasing output quality by 18% (Noy and Zhang). This broader mechanism is defined as a displacement effect, in which technology takes over tasks previously performed by labor (Acemoglu and Restrepo). Thus, basic customer questions, routine product explanations and standardized promotional messages can increasingly be delivered without another person. Therefore, there is a decline in the economic importance of routine interpersonal contact.</w:t>
      </w:r>
    </w:p>
    <w:p w14:paraId="3FD545A6">
      <w:pPr>
        <w:spacing w:before="240" w:after="240" w:line="480" w:lineRule="auto"/>
        <w:rPr>
          <w:rFonts w:ascii="Times New Roman" w:hAnsi="Times New Roman" w:eastAsia="Arial" w:cs="Times New Roman"/>
        </w:rPr>
      </w:pPr>
      <w:r>
        <w:rPr>
          <w:rFonts w:ascii="Times New Roman" w:hAnsi="Times New Roman" w:eastAsia="Arial" w:cs="Times New Roman"/>
        </w:rPr>
        <w:t>At the same time, AI can make deeper human connection more economically important because high-stakes decisions involve uncertainty, accountability, and trust rather than information processing alone. Huang, Rust and Maksimovic describe a developing “Feeling Economy” in which AI takes on more analytical tasks while human work shifts toward interpersonal and empathetic capabilities. Healthcare provides direct evidence of this distinction. In an experiment involving 1,183 participants, respondents preferred a human doctor most, a human doctor supported by AI second, and an AI system alone least. Trust, information disclosure, treatment adherence, and satisfaction were also highest with the human doctor (Riedl, Hogeterp, and Reuter). When a decision involves serious consequences, people value a responsible person who can interpret context, explain uncertainty, and be held accountable. AI can improve analysis, but human relationships still determine whether advice is trusted and acted upon.</w:t>
      </w:r>
    </w:p>
    <w:p w14:paraId="3E43B4FA">
      <w:pPr>
        <w:spacing w:before="240" w:after="240" w:line="480" w:lineRule="auto"/>
        <w:rPr>
          <w:rFonts w:ascii="Times New Roman" w:hAnsi="Times New Roman" w:eastAsia="Arial" w:cs="Times New Roman"/>
          <w:b/>
          <w:bCs/>
        </w:rPr>
      </w:pPr>
      <w:r>
        <w:rPr>
          <w:rFonts w:ascii="Times New Roman" w:hAnsi="Times New Roman" w:eastAsia="Arial" w:cs="Times New Roman"/>
        </w:rPr>
        <w:t>From an individual perspective, the economic value of human connection may therefore rise even if the number of routine interactions falls. Granovetter’s research on the “strength of weak ties” shows that social relationships can transmit information and create mobility opportunities that people would not obtain through close contacts alone. AI can make information easier to generate, but it does not automatically provide reputation, mutual obligation, or a trusted social connection to the person receiving that information. This distinction becomes more important when AI-generated content is abundant and difficult to evaluate. Individuals may rely more heavily on trusted colleagues, mentors, professionals, and wider social networks to judge which opportunities and recommendations are credible. In summary, in the age of AI, human connection is becoming more economically important not because people need another person for every transaction, but because relationships provide trust, accountability, and access to socially embedded information that AI technologies cannot fully reproduce.</w:t>
      </w:r>
    </w:p>
    <w:p w14:paraId="16CA84C7">
      <w:pPr>
        <w:spacing w:before="240" w:after="240" w:line="480" w:lineRule="auto"/>
        <w:rPr>
          <w:rFonts w:ascii="Times New Roman" w:hAnsi="Times New Roman" w:eastAsia="Arial" w:cs="Times New Roman"/>
          <w:b/>
          <w:bCs/>
        </w:rPr>
      </w:pPr>
      <w:r>
        <w:rPr>
          <w:rFonts w:ascii="Times New Roman" w:hAnsi="Times New Roman" w:eastAsia="Arial" w:cs="Times New Roman"/>
          <w:b/>
          <w:bCs/>
        </w:rPr>
        <w:t>IV. Potential Risks and Solutions</w:t>
      </w:r>
    </w:p>
    <w:p w14:paraId="467FBFCF">
      <w:pPr>
        <w:spacing w:before="240" w:after="240" w:line="480" w:lineRule="auto"/>
        <w:rPr>
          <w:rFonts w:ascii="Times New Roman" w:hAnsi="Times New Roman" w:eastAsia="Arial" w:cs="Times New Roman"/>
          <w:b/>
          <w:bCs/>
        </w:rPr>
      </w:pPr>
      <w:r>
        <w:rPr>
          <w:rFonts w:ascii="Times New Roman" w:hAnsi="Times New Roman" w:eastAsia="Arial" w:cs="Times New Roman"/>
        </w:rPr>
        <w:t>The combination of AI, network power, and reduced routine human contact also creates risks for both institutions and individuals. Businesses may gain efficiency from AI applications but lose trust if customers cannot tell when they are interacting with AI or who is accountable for a decision. Individuals face a related privacy problem because targeted platforms depend heavily on behavioral and personal data. Therefore, a trusted digital economy requires limits on data collection, clear purposes for data use, security safeguards, openness, and accountability (OECD). Firms should therefore disclose when AI is being used, retain human oversight for high-stakes decisions, collect only data needed for a stated purpose, and provide meaningful consent. Furthermore, privacy-enhancing techniques can complement regulation.  For example, NIST identifies differential privacy as a framework for quantifying and limiting the privacy risk created when an individual’s data is analyzed (Near, Darais, and Lefkovitz). These measures preserve the efficiency of AI while protecting the trust on which valuable human connections and digital markets depend.</w:t>
      </w:r>
    </w:p>
    <w:p w14:paraId="26438CC9">
      <w:pPr>
        <w:spacing w:before="240" w:after="240" w:line="480" w:lineRule="auto"/>
        <w:rPr>
          <w:rFonts w:ascii="Times New Roman" w:hAnsi="Times New Roman" w:eastAsia="Arial" w:cs="Times New Roman"/>
          <w:b/>
          <w:bCs/>
        </w:rPr>
      </w:pPr>
      <w:r>
        <w:rPr>
          <w:rFonts w:ascii="Times New Roman" w:hAnsi="Times New Roman" w:eastAsia="Arial" w:cs="Times New Roman"/>
          <w:b/>
          <w:bCs/>
        </w:rPr>
        <w:t>V. Conclusion</w:t>
      </w:r>
    </w:p>
    <w:p w14:paraId="087CCF00">
      <w:pPr>
        <w:spacing w:before="240" w:after="240" w:line="480" w:lineRule="auto"/>
        <w:rPr>
          <w:rFonts w:ascii="Times New Roman" w:hAnsi="Times New Roman" w:cs="Times New Roman"/>
          <w:lang w:eastAsia="zh-CN"/>
        </w:rPr>
      </w:pPr>
      <w:r>
        <w:rPr>
          <w:rFonts w:ascii="Times New Roman" w:hAnsi="Times New Roman" w:eastAsia="Arial" w:cs="Times New Roman"/>
        </w:rPr>
        <w:t xml:space="preserve">In conclusion, modern economies are shaped by networks to a significant but not complete extent. Digital platforms substantially alter search costs, market access, visibility, and the distribution of data, while network effects can amplify platform power. Meanwhile, switching, substitution, price, quality, and profitability continue to discipline these systems. In addition, AI intensifies this transformation by making standardized information and routine interaction cheaper to automate. However, the value of human connections becomes more concentrated in situations involving trust, accountability, empathy, creativity, and judgement. To ensure the smooth functioning of the modern economy, it is essential to require the reasonable disclosure of applications of AI technology by enterprises </w:t>
      </w:r>
      <w:r>
        <w:rPr>
          <w:rFonts w:ascii="Times New Roman" w:hAnsi="Times New Roman" w:eastAsia="Arial" w:cs="Times New Roman"/>
          <w:lang w:eastAsia="zh-CN"/>
        </w:rPr>
        <w:t xml:space="preserve">as well as </w:t>
      </w:r>
      <w:r>
        <w:rPr>
          <w:rFonts w:ascii="Times New Roman" w:hAnsi="Times New Roman" w:eastAsia="Arial" w:cs="Times New Roman"/>
        </w:rPr>
        <w:t>effective and targeted market regulation by the government.</w:t>
      </w:r>
    </w:p>
    <w:p w14:paraId="36BCFA95">
      <w:pPr>
        <w:spacing w:before="240" w:after="240" w:line="480" w:lineRule="auto"/>
        <w:rPr>
          <w:rFonts w:ascii="Times New Roman" w:hAnsi="Times New Roman" w:eastAsia="Arial" w:cs="Times New Roman"/>
          <w:b/>
          <w:bCs/>
        </w:rPr>
      </w:pPr>
    </w:p>
    <w:p w14:paraId="340FA4F9">
      <w:pPr>
        <w:spacing w:before="240" w:after="240" w:line="480" w:lineRule="auto"/>
        <w:rPr>
          <w:rFonts w:ascii="Times New Roman" w:hAnsi="Times New Roman" w:eastAsia="Arial" w:cs="Times New Roman"/>
          <w:b/>
          <w:bCs/>
        </w:rPr>
      </w:pPr>
    </w:p>
    <w:p w14:paraId="4093ADCA">
      <w:pPr>
        <w:spacing w:before="240" w:after="240" w:line="480" w:lineRule="auto"/>
        <w:rPr>
          <w:rFonts w:ascii="Times New Roman" w:hAnsi="Times New Roman" w:eastAsia="Arial" w:cs="Times New Roman"/>
          <w:b/>
          <w:bCs/>
        </w:rPr>
      </w:pPr>
    </w:p>
    <w:p w14:paraId="2D19BEFC">
      <w:pPr>
        <w:spacing w:before="240" w:after="240" w:line="480" w:lineRule="auto"/>
        <w:rPr>
          <w:rFonts w:ascii="Times New Roman" w:hAnsi="Times New Roman" w:eastAsia="Arial" w:cs="Times New Roman"/>
          <w:b/>
          <w:bCs/>
        </w:rPr>
      </w:pPr>
    </w:p>
    <w:p w14:paraId="2B1DEC17">
      <w:pPr>
        <w:spacing w:before="240" w:after="240" w:line="480" w:lineRule="auto"/>
        <w:rPr>
          <w:rFonts w:ascii="Times New Roman" w:hAnsi="Times New Roman" w:eastAsia="Arial" w:cs="Times New Roman"/>
          <w:b/>
          <w:bCs/>
        </w:rPr>
      </w:pPr>
    </w:p>
    <w:p w14:paraId="5C2E2F72">
      <w:pPr>
        <w:spacing w:before="240" w:after="240" w:line="480" w:lineRule="auto"/>
        <w:rPr>
          <w:rFonts w:ascii="Times New Roman" w:hAnsi="Times New Roman" w:eastAsia="Arial" w:cs="Times New Roman"/>
          <w:b/>
          <w:bCs/>
        </w:rPr>
      </w:pPr>
    </w:p>
    <w:p w14:paraId="716EBD62">
      <w:pPr>
        <w:spacing w:before="240" w:after="240" w:line="480" w:lineRule="auto"/>
        <w:rPr>
          <w:rFonts w:ascii="Times New Roman" w:hAnsi="Times New Roman" w:eastAsia="Arial" w:cs="Times New Roman"/>
          <w:b/>
          <w:bCs/>
        </w:rPr>
      </w:pPr>
    </w:p>
    <w:p w14:paraId="654AE199">
      <w:pPr>
        <w:spacing w:before="240" w:after="240" w:line="480" w:lineRule="auto"/>
        <w:rPr>
          <w:rFonts w:ascii="Times New Roman" w:hAnsi="Times New Roman" w:eastAsia="Arial" w:cs="Times New Roman"/>
          <w:b/>
          <w:bCs/>
        </w:rPr>
      </w:pPr>
    </w:p>
    <w:p w14:paraId="3438BED6">
      <w:pPr>
        <w:spacing w:before="240" w:after="240" w:line="480" w:lineRule="auto"/>
        <w:rPr>
          <w:rFonts w:ascii="Times New Roman" w:hAnsi="Times New Roman" w:eastAsia="Arial" w:cs="Times New Roman"/>
          <w:b/>
          <w:bCs/>
        </w:rPr>
      </w:pPr>
    </w:p>
    <w:p w14:paraId="25A08726">
      <w:pPr>
        <w:spacing w:before="240" w:after="240" w:line="480" w:lineRule="auto"/>
        <w:rPr>
          <w:rFonts w:ascii="Times New Roman" w:hAnsi="Times New Roman" w:eastAsia="Arial" w:cs="Times New Roman"/>
          <w:b/>
          <w:bCs/>
        </w:rPr>
      </w:pPr>
    </w:p>
    <w:p w14:paraId="73B7190B">
      <w:pPr>
        <w:spacing w:before="240" w:after="240" w:line="480" w:lineRule="auto"/>
        <w:rPr>
          <w:rFonts w:ascii="Times New Roman" w:hAnsi="Times New Roman" w:eastAsia="Arial" w:cs="Times New Roman"/>
          <w:b/>
          <w:bCs/>
        </w:rPr>
      </w:pPr>
    </w:p>
    <w:p w14:paraId="58D4989C">
      <w:pPr>
        <w:spacing w:before="240" w:after="240" w:line="480" w:lineRule="auto"/>
        <w:rPr>
          <w:rFonts w:ascii="Times New Roman" w:hAnsi="Times New Roman" w:eastAsia="Arial" w:cs="Times New Roman"/>
          <w:b/>
          <w:bCs/>
        </w:rPr>
      </w:pPr>
    </w:p>
    <w:p w14:paraId="4050D866">
      <w:pPr>
        <w:spacing w:before="240" w:after="240" w:line="480" w:lineRule="auto"/>
        <w:rPr>
          <w:rFonts w:ascii="Times New Roman" w:hAnsi="Times New Roman" w:eastAsia="Arial" w:cs="Times New Roman"/>
          <w:b/>
          <w:bCs/>
        </w:rPr>
      </w:pPr>
    </w:p>
    <w:p w14:paraId="0404F4C8">
      <w:pPr>
        <w:rPr>
          <w:rFonts w:ascii="Times New Roman" w:hAnsi="Times New Roman" w:eastAsia="Arial" w:cs="Times New Roman"/>
          <w:b/>
          <w:bCs/>
        </w:rPr>
      </w:pPr>
      <w:r>
        <w:rPr>
          <w:rFonts w:ascii="Times New Roman" w:hAnsi="Times New Roman" w:eastAsia="Arial" w:cs="Times New Roman"/>
          <w:b/>
          <w:bCs/>
        </w:rPr>
        <w:br w:type="page"/>
      </w:r>
    </w:p>
    <w:p w14:paraId="010A16CD">
      <w:pPr>
        <w:spacing w:before="240" w:after="240" w:line="480" w:lineRule="auto"/>
        <w:rPr>
          <w:rFonts w:ascii="Times New Roman" w:hAnsi="Times New Roman" w:eastAsia="Arial" w:cs="Times New Roman"/>
          <w:b/>
          <w:bCs/>
        </w:rPr>
      </w:pPr>
      <w:r>
        <w:rPr>
          <w:rFonts w:ascii="Times New Roman" w:hAnsi="Times New Roman" w:eastAsia="Arial" w:cs="Times New Roman"/>
          <w:b/>
          <w:bCs/>
        </w:rPr>
        <w:t>Works Cited</w:t>
      </w:r>
    </w:p>
    <w:p w14:paraId="7B196DB1">
      <w:pPr>
        <w:spacing w:before="240" w:after="240" w:line="480" w:lineRule="auto"/>
        <w:rPr>
          <w:rFonts w:ascii="Times New Roman" w:hAnsi="Times New Roman" w:eastAsia="Arial" w:cs="Times New Roman"/>
        </w:rPr>
      </w:pPr>
      <w:r>
        <w:rPr>
          <w:rFonts w:ascii="Times New Roman" w:hAnsi="Times New Roman" w:eastAsia="Arial" w:cs="Times New Roman"/>
        </w:rPr>
        <w:t xml:space="preserve">Acemoglu, Daron, and Pascual Restrepo. “Automation and New Tasks: How Technology Displaces and Reinstates Labor.” </w:t>
      </w:r>
      <w:r>
        <w:rPr>
          <w:rFonts w:ascii="Times New Roman" w:hAnsi="Times New Roman" w:eastAsia="Arial" w:cs="Times New Roman"/>
          <w:i/>
          <w:iCs/>
        </w:rPr>
        <w:t>Journal of Economic Perspectives</w:t>
      </w:r>
      <w:r>
        <w:rPr>
          <w:rFonts w:ascii="Times New Roman" w:hAnsi="Times New Roman" w:eastAsia="Arial" w:cs="Times New Roman"/>
        </w:rPr>
        <w:t xml:space="preserve">, vol. 33, no. 2, 2019, pp. 3–30. </w:t>
      </w:r>
      <w:r>
        <w:fldChar w:fldCharType="begin"/>
      </w:r>
      <w:r>
        <w:instrText xml:space="preserve"> HYPERLINK "https://doi.org/10.1257/jep.33.2.3" \h </w:instrText>
      </w:r>
      <w:r>
        <w:fldChar w:fldCharType="separate"/>
      </w:r>
      <w:r>
        <w:rPr>
          <w:rStyle w:val="6"/>
          <w:rFonts w:ascii="Times New Roman" w:hAnsi="Times New Roman" w:cs="Times New Roman"/>
          <w:color w:val="auto"/>
        </w:rPr>
        <w:t>https://doi.org/10.1257/jep.33.2.3</w:t>
      </w:r>
      <w:r>
        <w:rPr>
          <w:rStyle w:val="6"/>
          <w:rFonts w:ascii="Times New Roman" w:hAnsi="Times New Roman" w:cs="Times New Roman"/>
          <w:color w:val="auto"/>
        </w:rPr>
        <w:fldChar w:fldCharType="end"/>
      </w:r>
      <w:r>
        <w:rPr>
          <w:rFonts w:ascii="Times New Roman" w:hAnsi="Times New Roman" w:eastAsia="Arial" w:cs="Times New Roman"/>
        </w:rPr>
        <w:t>.</w:t>
      </w:r>
    </w:p>
    <w:p w14:paraId="19921A7D">
      <w:pPr>
        <w:spacing w:before="240" w:after="240" w:line="480" w:lineRule="auto"/>
        <w:rPr>
          <w:rFonts w:ascii="Times New Roman" w:hAnsi="Times New Roman" w:eastAsia="Arial" w:cs="Times New Roman"/>
        </w:rPr>
      </w:pPr>
      <w:r>
        <w:rPr>
          <w:rFonts w:ascii="Times New Roman" w:hAnsi="Times New Roman" w:eastAsia="Arial" w:cs="Times New Roman"/>
        </w:rPr>
        <w:t xml:space="preserve">Armstrong, Mark. “Competition in Two-Sided Markets.” </w:t>
      </w:r>
      <w:r>
        <w:rPr>
          <w:rFonts w:ascii="Times New Roman" w:hAnsi="Times New Roman" w:eastAsia="Arial" w:cs="Times New Roman"/>
          <w:i/>
          <w:iCs/>
        </w:rPr>
        <w:t>The RAND Journal of Economics</w:t>
      </w:r>
      <w:r>
        <w:rPr>
          <w:rFonts w:ascii="Times New Roman" w:hAnsi="Times New Roman" w:eastAsia="Arial" w:cs="Times New Roman"/>
        </w:rPr>
        <w:t xml:space="preserve">, vol. 37, no. 3, 2006, pp. 668–691. </w:t>
      </w:r>
      <w:r>
        <w:fldChar w:fldCharType="begin"/>
      </w:r>
      <w:r>
        <w:instrText xml:space="preserve"> HYPERLINK "https://doi.org/10.1111/j.1756-2171.2006.tb00037.x" \h </w:instrText>
      </w:r>
      <w:r>
        <w:fldChar w:fldCharType="separate"/>
      </w:r>
      <w:r>
        <w:rPr>
          <w:rStyle w:val="6"/>
          <w:rFonts w:ascii="Times New Roman" w:hAnsi="Times New Roman" w:cs="Times New Roman"/>
          <w:color w:val="auto"/>
        </w:rPr>
        <w:t>https://doi.org/10.1111/j.1756-2171.2006.tb00037.x</w:t>
      </w:r>
      <w:r>
        <w:rPr>
          <w:rStyle w:val="6"/>
          <w:rFonts w:ascii="Times New Roman" w:hAnsi="Times New Roman" w:cs="Times New Roman"/>
          <w:color w:val="auto"/>
        </w:rPr>
        <w:fldChar w:fldCharType="end"/>
      </w:r>
      <w:r>
        <w:rPr>
          <w:rFonts w:ascii="Times New Roman" w:hAnsi="Times New Roman" w:eastAsia="Arial" w:cs="Times New Roman"/>
        </w:rPr>
        <w:t>.</w:t>
      </w:r>
    </w:p>
    <w:p w14:paraId="150EDDBE">
      <w:pPr>
        <w:spacing w:before="240" w:after="240" w:line="480" w:lineRule="auto"/>
        <w:rPr>
          <w:rFonts w:ascii="Times New Roman" w:hAnsi="Times New Roman" w:eastAsia="Arial" w:cs="Times New Roman"/>
        </w:rPr>
      </w:pPr>
      <w:r>
        <w:rPr>
          <w:rFonts w:ascii="Times New Roman" w:hAnsi="Times New Roman" w:eastAsia="Arial" w:cs="Times New Roman"/>
        </w:rPr>
        <w:t xml:space="preserve">Bakos, Yannis. “Reducing Buyer Search Costs: Implications for Electronic Marketplaces.” </w:t>
      </w:r>
      <w:r>
        <w:rPr>
          <w:rFonts w:ascii="Times New Roman" w:hAnsi="Times New Roman" w:eastAsia="Arial" w:cs="Times New Roman"/>
          <w:i/>
          <w:iCs/>
        </w:rPr>
        <w:t>Management Science</w:t>
      </w:r>
      <w:r>
        <w:rPr>
          <w:rFonts w:ascii="Times New Roman" w:hAnsi="Times New Roman" w:eastAsia="Arial" w:cs="Times New Roman"/>
        </w:rPr>
        <w:t xml:space="preserve">, vol. 43, no. 12, 1997, pp. 1676–1692. </w:t>
      </w:r>
      <w:r>
        <w:fldChar w:fldCharType="begin"/>
      </w:r>
      <w:r>
        <w:instrText xml:space="preserve"> HYPERLINK "https://doi.org/10.1287/mnsc.43.12.1676" \h </w:instrText>
      </w:r>
      <w:r>
        <w:fldChar w:fldCharType="separate"/>
      </w:r>
      <w:r>
        <w:rPr>
          <w:rStyle w:val="6"/>
          <w:rFonts w:ascii="Times New Roman" w:hAnsi="Times New Roman" w:cs="Times New Roman"/>
          <w:color w:val="auto"/>
        </w:rPr>
        <w:t>https://doi.org/10.1287/mnsc.43.12.1676</w:t>
      </w:r>
      <w:r>
        <w:rPr>
          <w:rStyle w:val="6"/>
          <w:rFonts w:ascii="Times New Roman" w:hAnsi="Times New Roman" w:cs="Times New Roman"/>
          <w:color w:val="auto"/>
        </w:rPr>
        <w:fldChar w:fldCharType="end"/>
      </w:r>
      <w:r>
        <w:rPr>
          <w:rFonts w:ascii="Times New Roman" w:hAnsi="Times New Roman" w:eastAsia="Arial" w:cs="Times New Roman"/>
        </w:rPr>
        <w:t>.</w:t>
      </w:r>
    </w:p>
    <w:p w14:paraId="765D7B91">
      <w:pPr>
        <w:spacing w:before="240" w:after="240" w:line="480" w:lineRule="auto"/>
        <w:rPr>
          <w:rFonts w:ascii="Times New Roman" w:hAnsi="Times New Roman" w:eastAsia="Arial" w:cs="Times New Roman"/>
        </w:rPr>
      </w:pPr>
      <w:r>
        <w:rPr>
          <w:rFonts w:ascii="Times New Roman" w:hAnsi="Times New Roman" w:eastAsia="Arial" w:cs="Times New Roman"/>
        </w:rPr>
        <w:t xml:space="preserve">Brynjolfsson, Erik, Danielle Li, and Lindsey R. Raymond. “Generative AI at Work.” </w:t>
      </w:r>
      <w:r>
        <w:rPr>
          <w:rFonts w:ascii="Times New Roman" w:hAnsi="Times New Roman" w:eastAsia="Arial" w:cs="Times New Roman"/>
          <w:i/>
          <w:iCs/>
        </w:rPr>
        <w:t>The Quarterly Journal of Economics</w:t>
      </w:r>
      <w:r>
        <w:rPr>
          <w:rFonts w:ascii="Times New Roman" w:hAnsi="Times New Roman" w:eastAsia="Arial" w:cs="Times New Roman"/>
        </w:rPr>
        <w:t xml:space="preserve">, vol. 140, no. 2, 2025, pp. 889–942. </w:t>
      </w:r>
      <w:r>
        <w:fldChar w:fldCharType="begin"/>
      </w:r>
      <w:r>
        <w:instrText xml:space="preserve"> HYPERLINK "https://doi.org/10.1093/qje/qjae044" \h </w:instrText>
      </w:r>
      <w:r>
        <w:fldChar w:fldCharType="separate"/>
      </w:r>
      <w:r>
        <w:rPr>
          <w:rStyle w:val="6"/>
          <w:rFonts w:ascii="Times New Roman" w:hAnsi="Times New Roman" w:cs="Times New Roman"/>
          <w:color w:val="auto"/>
        </w:rPr>
        <w:t>https://doi.org/10.1093/qje/qjae044</w:t>
      </w:r>
      <w:r>
        <w:rPr>
          <w:rStyle w:val="6"/>
          <w:rFonts w:ascii="Times New Roman" w:hAnsi="Times New Roman" w:cs="Times New Roman"/>
          <w:color w:val="auto"/>
        </w:rPr>
        <w:fldChar w:fldCharType="end"/>
      </w:r>
      <w:r>
        <w:rPr>
          <w:rFonts w:ascii="Times New Roman" w:hAnsi="Times New Roman" w:eastAsia="Arial" w:cs="Times New Roman"/>
        </w:rPr>
        <w:t>.</w:t>
      </w:r>
    </w:p>
    <w:p w14:paraId="156A5D35">
      <w:pPr>
        <w:spacing w:before="240" w:after="240" w:line="480" w:lineRule="auto"/>
        <w:rPr>
          <w:rFonts w:ascii="Times New Roman" w:hAnsi="Times New Roman" w:eastAsia="Arial" w:cs="Times New Roman"/>
        </w:rPr>
      </w:pPr>
      <w:r>
        <w:rPr>
          <w:rFonts w:ascii="Times New Roman" w:hAnsi="Times New Roman" w:eastAsia="Arial" w:cs="Times New Roman"/>
        </w:rPr>
        <w:t>Eurostat. “20% Of EU Enterprises Use AI Technologies.” @EU_Eurostat, Eurostat, 11 Dec. 2025, https://ec.europa.eu/eurostat/web/products-eurostat-news/w/ddn-20251211-2. Accessed 27 Aug. 2026.</w:t>
      </w:r>
    </w:p>
    <w:p w14:paraId="53BCCF97">
      <w:pPr>
        <w:spacing w:before="240" w:after="240" w:line="480" w:lineRule="auto"/>
        <w:rPr>
          <w:rFonts w:ascii="Times New Roman" w:hAnsi="Times New Roman" w:eastAsia="Arial" w:cs="Times New Roman"/>
        </w:rPr>
      </w:pPr>
      <w:r>
        <w:rPr>
          <w:rFonts w:ascii="Times New Roman" w:hAnsi="Times New Roman" w:eastAsia="Arial" w:cs="Times New Roman"/>
        </w:rPr>
        <w:t xml:space="preserve">Eurostat. “E-commerce Statistics.” </w:t>
      </w:r>
      <w:r>
        <w:rPr>
          <w:rFonts w:ascii="Times New Roman" w:hAnsi="Times New Roman" w:eastAsia="Arial" w:cs="Times New Roman"/>
          <w:i/>
          <w:iCs/>
        </w:rPr>
        <w:t>Statistics Explained</w:t>
      </w:r>
      <w:r>
        <w:rPr>
          <w:rFonts w:ascii="Times New Roman" w:hAnsi="Times New Roman" w:eastAsia="Arial" w:cs="Times New Roman"/>
        </w:rPr>
        <w:t xml:space="preserve">, 2026. </w:t>
      </w:r>
      <w:r>
        <w:fldChar w:fldCharType="begin"/>
      </w:r>
      <w:r>
        <w:instrText xml:space="preserve"> HYPERLINK "https://ec.europa.eu/eurostat/statistics-explained/index.php?title=E-commerce_statistics" \h </w:instrText>
      </w:r>
      <w:r>
        <w:fldChar w:fldCharType="separate"/>
      </w:r>
      <w:r>
        <w:rPr>
          <w:rStyle w:val="6"/>
          <w:rFonts w:ascii="Times New Roman" w:hAnsi="Times New Roman" w:cs="Times New Roman"/>
          <w:color w:val="auto"/>
        </w:rPr>
        <w:t>https://ec.europa.eu/eurostat/statistics-explained/index.php?title=E-commerce_statistics</w:t>
      </w:r>
      <w:r>
        <w:rPr>
          <w:rStyle w:val="6"/>
          <w:rFonts w:ascii="Times New Roman" w:hAnsi="Times New Roman" w:cs="Times New Roman"/>
          <w:color w:val="auto"/>
        </w:rPr>
        <w:fldChar w:fldCharType="end"/>
      </w:r>
      <w:r>
        <w:rPr>
          <w:rFonts w:ascii="Times New Roman" w:hAnsi="Times New Roman" w:eastAsia="Arial" w:cs="Times New Roman"/>
        </w:rPr>
        <w:t>.</w:t>
      </w:r>
    </w:p>
    <w:p w14:paraId="0D74C779">
      <w:pPr>
        <w:spacing w:before="240" w:after="240" w:line="480" w:lineRule="auto"/>
        <w:rPr>
          <w:rFonts w:ascii="Times New Roman" w:hAnsi="Times New Roman" w:eastAsia="Arial" w:cs="Times New Roman"/>
        </w:rPr>
      </w:pPr>
      <w:r>
        <w:rPr>
          <w:rFonts w:ascii="Times New Roman" w:hAnsi="Times New Roman" w:eastAsia="Arial" w:cs="Times New Roman"/>
        </w:rPr>
        <w:t xml:space="preserve">Granovetter, Mark S. “The Strength of Weak Ties.” </w:t>
      </w:r>
      <w:r>
        <w:rPr>
          <w:rFonts w:ascii="Times New Roman" w:hAnsi="Times New Roman" w:eastAsia="Arial" w:cs="Times New Roman"/>
          <w:i/>
          <w:iCs/>
        </w:rPr>
        <w:t>American Journal of Sociology</w:t>
      </w:r>
      <w:r>
        <w:rPr>
          <w:rFonts w:ascii="Times New Roman" w:hAnsi="Times New Roman" w:eastAsia="Arial" w:cs="Times New Roman"/>
        </w:rPr>
        <w:t xml:space="preserve">, vol. 78, no. 6, 1973, pp. 1360–1380. </w:t>
      </w:r>
      <w:r>
        <w:fldChar w:fldCharType="begin"/>
      </w:r>
      <w:r>
        <w:instrText xml:space="preserve"> HYPERLINK "https://doi.org/10.1086/225469" \h </w:instrText>
      </w:r>
      <w:r>
        <w:fldChar w:fldCharType="separate"/>
      </w:r>
      <w:r>
        <w:rPr>
          <w:rStyle w:val="6"/>
          <w:rFonts w:ascii="Times New Roman" w:hAnsi="Times New Roman" w:cs="Times New Roman"/>
          <w:color w:val="auto"/>
        </w:rPr>
        <w:t>https://doi.org/10.1086/225469</w:t>
      </w:r>
      <w:r>
        <w:rPr>
          <w:rStyle w:val="6"/>
          <w:rFonts w:ascii="Times New Roman" w:hAnsi="Times New Roman" w:cs="Times New Roman"/>
          <w:color w:val="auto"/>
        </w:rPr>
        <w:fldChar w:fldCharType="end"/>
      </w:r>
      <w:r>
        <w:rPr>
          <w:rFonts w:ascii="Times New Roman" w:hAnsi="Times New Roman" w:eastAsia="Arial" w:cs="Times New Roman"/>
        </w:rPr>
        <w:t>.</w:t>
      </w:r>
    </w:p>
    <w:p w14:paraId="54152AD9">
      <w:pPr>
        <w:spacing w:before="240" w:after="240" w:line="480" w:lineRule="auto"/>
        <w:rPr>
          <w:rFonts w:ascii="Times New Roman" w:hAnsi="Times New Roman" w:eastAsia="Arial" w:cs="Times New Roman"/>
        </w:rPr>
      </w:pPr>
      <w:r>
        <w:rPr>
          <w:rFonts w:ascii="Times New Roman" w:hAnsi="Times New Roman" w:eastAsia="Arial" w:cs="Times New Roman"/>
        </w:rPr>
        <w:t xml:space="preserve">Huang, Ming-Hui, Roland T. Rust, and Vojislav Maksimovic. “The Feeling Economy: Managing in the Next Generation of Artificial Intelligence (AI).” </w:t>
      </w:r>
      <w:r>
        <w:rPr>
          <w:rFonts w:ascii="Times New Roman" w:hAnsi="Times New Roman" w:eastAsia="Arial" w:cs="Times New Roman"/>
          <w:i/>
          <w:iCs/>
        </w:rPr>
        <w:t>California Management Review</w:t>
      </w:r>
      <w:r>
        <w:rPr>
          <w:rFonts w:ascii="Times New Roman" w:hAnsi="Times New Roman" w:eastAsia="Arial" w:cs="Times New Roman"/>
        </w:rPr>
        <w:t xml:space="preserve">, vol. 61, no. 4, 2019, pp. 43–65. </w:t>
      </w:r>
      <w:r>
        <w:fldChar w:fldCharType="begin"/>
      </w:r>
      <w:r>
        <w:instrText xml:space="preserve"> HYPERLINK "https://doi.org/10.1177/0008125619863436" \h </w:instrText>
      </w:r>
      <w:r>
        <w:fldChar w:fldCharType="separate"/>
      </w:r>
      <w:r>
        <w:rPr>
          <w:rStyle w:val="6"/>
          <w:rFonts w:ascii="Times New Roman" w:hAnsi="Times New Roman" w:cs="Times New Roman"/>
          <w:color w:val="auto"/>
        </w:rPr>
        <w:t>https://doi.org/10.1177/0008125619863436</w:t>
      </w:r>
      <w:r>
        <w:rPr>
          <w:rStyle w:val="6"/>
          <w:rFonts w:ascii="Times New Roman" w:hAnsi="Times New Roman" w:cs="Times New Roman"/>
          <w:color w:val="auto"/>
        </w:rPr>
        <w:fldChar w:fldCharType="end"/>
      </w:r>
      <w:r>
        <w:rPr>
          <w:rFonts w:ascii="Times New Roman" w:hAnsi="Times New Roman" w:eastAsia="Arial" w:cs="Times New Roman"/>
        </w:rPr>
        <w:t>.</w:t>
      </w:r>
    </w:p>
    <w:p w14:paraId="4B19A205">
      <w:pPr>
        <w:spacing w:before="240" w:after="240" w:line="480" w:lineRule="auto"/>
        <w:rPr>
          <w:rFonts w:ascii="Times New Roman" w:hAnsi="Times New Roman" w:eastAsia="Arial" w:cs="Times New Roman"/>
        </w:rPr>
      </w:pPr>
      <w:r>
        <w:rPr>
          <w:rFonts w:ascii="Times New Roman" w:hAnsi="Times New Roman" w:eastAsia="Arial" w:cs="Times New Roman"/>
        </w:rPr>
        <w:t xml:space="preserve">Katz, Michael L., and Carl Shapiro. “Network Externalities, Competition, and Compatibility.” </w:t>
      </w:r>
      <w:r>
        <w:rPr>
          <w:rFonts w:ascii="Times New Roman" w:hAnsi="Times New Roman" w:eastAsia="Arial" w:cs="Times New Roman"/>
          <w:i/>
          <w:iCs/>
        </w:rPr>
        <w:t>American Economic Review</w:t>
      </w:r>
      <w:r>
        <w:rPr>
          <w:rFonts w:ascii="Times New Roman" w:hAnsi="Times New Roman" w:eastAsia="Arial" w:cs="Times New Roman"/>
        </w:rPr>
        <w:t>, vol. 75, no. 3, 1985, pp. 424–440.</w:t>
      </w:r>
    </w:p>
    <w:p w14:paraId="316975D4">
      <w:pPr>
        <w:spacing w:before="240" w:after="240" w:line="480" w:lineRule="auto"/>
        <w:rPr>
          <w:rFonts w:ascii="Times New Roman" w:hAnsi="Times New Roman" w:eastAsia="Arial" w:cs="Times New Roman"/>
        </w:rPr>
      </w:pPr>
      <w:r>
        <w:rPr>
          <w:rFonts w:ascii="Times New Roman" w:hAnsi="Times New Roman" w:eastAsia="Arial" w:cs="Times New Roman"/>
        </w:rPr>
        <w:t xml:space="preserve">Near, Joseph, David Darais, and Naomi Lefkovitz. </w:t>
      </w:r>
      <w:r>
        <w:rPr>
          <w:rFonts w:ascii="Times New Roman" w:hAnsi="Times New Roman" w:eastAsia="Arial" w:cs="Times New Roman"/>
          <w:i/>
          <w:iCs/>
        </w:rPr>
        <w:t>Guidelines for Evaluating Differential Privacy Guarantees</w:t>
      </w:r>
      <w:r>
        <w:rPr>
          <w:rFonts w:ascii="Times New Roman" w:hAnsi="Times New Roman" w:eastAsia="Arial" w:cs="Times New Roman"/>
        </w:rPr>
        <w:t xml:space="preserve">. NIST Special Publication 800-226, National Institute of Standards and Technology, 2025. </w:t>
      </w:r>
      <w:r>
        <w:fldChar w:fldCharType="begin"/>
      </w:r>
      <w:r>
        <w:instrText xml:space="preserve"> HYPERLINK "https://doi.org/10.6028/NIST.SP.800-226" \h </w:instrText>
      </w:r>
      <w:r>
        <w:fldChar w:fldCharType="separate"/>
      </w:r>
      <w:r>
        <w:rPr>
          <w:rStyle w:val="6"/>
          <w:rFonts w:ascii="Times New Roman" w:hAnsi="Times New Roman" w:cs="Times New Roman"/>
          <w:color w:val="auto"/>
        </w:rPr>
        <w:t>https://doi.org/10.6028/NIST.SP.800-226</w:t>
      </w:r>
      <w:r>
        <w:rPr>
          <w:rStyle w:val="6"/>
          <w:rFonts w:ascii="Times New Roman" w:hAnsi="Times New Roman" w:cs="Times New Roman"/>
          <w:color w:val="auto"/>
        </w:rPr>
        <w:fldChar w:fldCharType="end"/>
      </w:r>
      <w:r>
        <w:rPr>
          <w:rFonts w:ascii="Times New Roman" w:hAnsi="Times New Roman" w:eastAsia="Arial" w:cs="Times New Roman"/>
        </w:rPr>
        <w:t>.</w:t>
      </w:r>
    </w:p>
    <w:p w14:paraId="35DA21F4">
      <w:pPr>
        <w:spacing w:before="240" w:after="240" w:line="480" w:lineRule="auto"/>
        <w:rPr>
          <w:rFonts w:ascii="Times New Roman" w:hAnsi="Times New Roman" w:eastAsia="Arial" w:cs="Times New Roman"/>
        </w:rPr>
      </w:pPr>
      <w:r>
        <w:rPr>
          <w:rFonts w:ascii="Times New Roman" w:hAnsi="Times New Roman" w:eastAsia="Arial" w:cs="Times New Roman"/>
        </w:rPr>
        <w:t xml:space="preserve">Noy, Shakked, and Whitney Zhang. “Experimental Evidence on the Productivity Effects of Generative Artificial Intelligence.” </w:t>
      </w:r>
      <w:r>
        <w:rPr>
          <w:rFonts w:ascii="Times New Roman" w:hAnsi="Times New Roman" w:eastAsia="Arial" w:cs="Times New Roman"/>
          <w:i/>
          <w:iCs/>
        </w:rPr>
        <w:t>Science</w:t>
      </w:r>
      <w:r>
        <w:rPr>
          <w:rFonts w:ascii="Times New Roman" w:hAnsi="Times New Roman" w:eastAsia="Arial" w:cs="Times New Roman"/>
        </w:rPr>
        <w:t xml:space="preserve">, vol. 381, no. 6654, 2023, pp. 187–192. </w:t>
      </w:r>
      <w:r>
        <w:fldChar w:fldCharType="begin"/>
      </w:r>
      <w:r>
        <w:instrText xml:space="preserve"> HYPERLINK "https://doi.org/10.1126/science.adh2586" \h </w:instrText>
      </w:r>
      <w:r>
        <w:fldChar w:fldCharType="separate"/>
      </w:r>
      <w:r>
        <w:rPr>
          <w:rStyle w:val="6"/>
          <w:rFonts w:ascii="Times New Roman" w:hAnsi="Times New Roman" w:cs="Times New Roman"/>
          <w:color w:val="auto"/>
        </w:rPr>
        <w:t>https://doi.org/10.1126/science.adh2586</w:t>
      </w:r>
      <w:r>
        <w:rPr>
          <w:rStyle w:val="6"/>
          <w:rFonts w:ascii="Times New Roman" w:hAnsi="Times New Roman" w:cs="Times New Roman"/>
          <w:color w:val="auto"/>
        </w:rPr>
        <w:fldChar w:fldCharType="end"/>
      </w:r>
      <w:r>
        <w:rPr>
          <w:rFonts w:ascii="Times New Roman" w:hAnsi="Times New Roman" w:eastAsia="Arial" w:cs="Times New Roman"/>
        </w:rPr>
        <w:t>.</w:t>
      </w:r>
    </w:p>
    <w:p w14:paraId="0C55629D">
      <w:pPr>
        <w:spacing w:before="240" w:after="240" w:line="480" w:lineRule="auto"/>
        <w:rPr>
          <w:rFonts w:ascii="Times New Roman" w:hAnsi="Times New Roman" w:eastAsia="Arial" w:cs="Times New Roman"/>
        </w:rPr>
      </w:pPr>
      <w:r>
        <w:rPr>
          <w:rFonts w:ascii="Times New Roman" w:hAnsi="Times New Roman" w:eastAsia="Arial" w:cs="Times New Roman"/>
        </w:rPr>
        <w:t xml:space="preserve">OECD. </w:t>
      </w:r>
      <w:r>
        <w:rPr>
          <w:rFonts w:ascii="Times New Roman" w:hAnsi="Times New Roman" w:eastAsia="Arial" w:cs="Times New Roman"/>
          <w:i/>
          <w:iCs/>
        </w:rPr>
        <w:t>The Evolving Concept of Market Power in the Digital Economy</w:t>
      </w:r>
      <w:r>
        <w:rPr>
          <w:rFonts w:ascii="Times New Roman" w:hAnsi="Times New Roman" w:eastAsia="Arial" w:cs="Times New Roman"/>
        </w:rPr>
        <w:t xml:space="preserve">. OECD, 2022. </w:t>
      </w:r>
      <w:r>
        <w:fldChar w:fldCharType="begin"/>
      </w:r>
      <w:r>
        <w:instrText xml:space="preserve"> HYPERLINK "https://www.oecd.org/content/dam/oecd/en/publications/reports/2022/05/the-evolving-concept-of-market-power-in-the-digital-economy_c384e80f/2cfcb4a8-en.pdf" \h </w:instrText>
      </w:r>
      <w:r>
        <w:fldChar w:fldCharType="separate"/>
      </w:r>
      <w:r>
        <w:rPr>
          <w:rStyle w:val="6"/>
          <w:rFonts w:ascii="Times New Roman" w:hAnsi="Times New Roman" w:cs="Times New Roman"/>
          <w:color w:val="auto"/>
        </w:rPr>
        <w:t>https://www.oecd.org/content/dam/oecd/en/publications/reports/2022/05/the-evolving-concept-of-market-power-in-the-digital-economy_c384e80f/2cfcb4a8-en.pdf</w:t>
      </w:r>
      <w:r>
        <w:rPr>
          <w:rStyle w:val="6"/>
          <w:rFonts w:ascii="Times New Roman" w:hAnsi="Times New Roman" w:cs="Times New Roman"/>
          <w:color w:val="auto"/>
        </w:rPr>
        <w:fldChar w:fldCharType="end"/>
      </w:r>
      <w:r>
        <w:rPr>
          <w:rFonts w:ascii="Times New Roman" w:hAnsi="Times New Roman" w:eastAsia="Arial" w:cs="Times New Roman"/>
        </w:rPr>
        <w:t>.</w:t>
      </w:r>
    </w:p>
    <w:p w14:paraId="42B4D3C3">
      <w:pPr>
        <w:spacing w:before="240" w:after="240" w:line="480" w:lineRule="auto"/>
        <w:rPr>
          <w:rFonts w:ascii="Times New Roman" w:hAnsi="Times New Roman" w:eastAsia="Arial" w:cs="Times New Roman"/>
        </w:rPr>
      </w:pPr>
      <w:r>
        <w:rPr>
          <w:rFonts w:ascii="Times New Roman" w:hAnsi="Times New Roman" w:eastAsia="Arial" w:cs="Times New Roman"/>
        </w:rPr>
        <w:t xml:space="preserve">OECD. “Privacy Principles.” </w:t>
      </w:r>
      <w:r>
        <w:rPr>
          <w:rFonts w:ascii="Times New Roman" w:hAnsi="Times New Roman" w:eastAsia="Arial" w:cs="Times New Roman"/>
          <w:i/>
          <w:iCs/>
        </w:rPr>
        <w:t>OECD</w:t>
      </w:r>
      <w:r>
        <w:rPr>
          <w:rFonts w:ascii="Times New Roman" w:hAnsi="Times New Roman" w:eastAsia="Arial" w:cs="Times New Roman"/>
        </w:rPr>
        <w:t xml:space="preserve">, </w:t>
      </w:r>
      <w:r>
        <w:fldChar w:fldCharType="begin"/>
      </w:r>
      <w:r>
        <w:instrText xml:space="preserve"> HYPERLINK "https://www.oecd.org/en/topics/privacy-principles.html" \h </w:instrText>
      </w:r>
      <w:r>
        <w:fldChar w:fldCharType="separate"/>
      </w:r>
      <w:r>
        <w:rPr>
          <w:rStyle w:val="6"/>
          <w:rFonts w:ascii="Times New Roman" w:hAnsi="Times New Roman" w:cs="Times New Roman"/>
          <w:color w:val="auto"/>
        </w:rPr>
        <w:t>https://www.oecd.org/en/topics/privacy-principles.html</w:t>
      </w:r>
      <w:r>
        <w:rPr>
          <w:rStyle w:val="6"/>
          <w:rFonts w:ascii="Times New Roman" w:hAnsi="Times New Roman" w:cs="Times New Roman"/>
          <w:color w:val="auto"/>
        </w:rPr>
        <w:fldChar w:fldCharType="end"/>
      </w:r>
      <w:r>
        <w:rPr>
          <w:rFonts w:ascii="Times New Roman" w:hAnsi="Times New Roman" w:eastAsia="Arial" w:cs="Times New Roman"/>
        </w:rPr>
        <w:t>. Accessed 26 Aug. 2026.</w:t>
      </w:r>
    </w:p>
    <w:p w14:paraId="2E2CB88E">
      <w:pPr>
        <w:spacing w:before="240" w:after="240" w:line="480" w:lineRule="auto"/>
        <w:rPr>
          <w:rFonts w:ascii="Times New Roman" w:hAnsi="Times New Roman" w:eastAsia="Arial" w:cs="Times New Roman"/>
        </w:rPr>
      </w:pPr>
      <w:r>
        <w:rPr>
          <w:rFonts w:ascii="Times New Roman" w:hAnsi="Times New Roman" w:eastAsia="Arial" w:cs="Times New Roman"/>
        </w:rPr>
        <w:t xml:space="preserve">Riedl, René, Sven A. Hogeterp, and Markus Reuter. “Do Patients Prefer a Human Doctor, Artificial Intelligence, or a Blend, and Is This Preference Dependent on Medical Discipline?” </w:t>
      </w:r>
      <w:r>
        <w:rPr>
          <w:rFonts w:ascii="Times New Roman" w:hAnsi="Times New Roman" w:eastAsia="Arial" w:cs="Times New Roman"/>
          <w:i/>
          <w:iCs/>
        </w:rPr>
        <w:t>Frontiers in Psychology</w:t>
      </w:r>
      <w:r>
        <w:rPr>
          <w:rFonts w:ascii="Times New Roman" w:hAnsi="Times New Roman" w:eastAsia="Arial" w:cs="Times New Roman"/>
        </w:rPr>
        <w:t xml:space="preserve">, vol. 15, 2024, article 1422177. </w:t>
      </w:r>
      <w:r>
        <w:fldChar w:fldCharType="begin"/>
      </w:r>
      <w:r>
        <w:instrText xml:space="preserve"> HYPERLINK "https://doi.org/10.3389/fpsyg.2024.1422177" \h </w:instrText>
      </w:r>
      <w:r>
        <w:fldChar w:fldCharType="separate"/>
      </w:r>
      <w:r>
        <w:rPr>
          <w:rStyle w:val="6"/>
          <w:rFonts w:ascii="Times New Roman" w:hAnsi="Times New Roman" w:cs="Times New Roman"/>
          <w:color w:val="auto"/>
        </w:rPr>
        <w:t>https://doi.org/10.3389/fpsyg.2024.1422177</w:t>
      </w:r>
      <w:r>
        <w:rPr>
          <w:rStyle w:val="6"/>
          <w:rFonts w:ascii="Times New Roman" w:hAnsi="Times New Roman" w:cs="Times New Roman"/>
          <w:color w:val="auto"/>
        </w:rPr>
        <w:fldChar w:fldCharType="end"/>
      </w:r>
      <w:r>
        <w:rPr>
          <w:rFonts w:ascii="Times New Roman" w:hAnsi="Times New Roman" w:eastAsia="Arial" w:cs="Times New Roman"/>
        </w:rPr>
        <w:t>.</w:t>
      </w:r>
    </w:p>
    <w:p w14:paraId="04B0FBD4">
      <w:pPr>
        <w:spacing w:before="240" w:after="240" w:line="480" w:lineRule="auto"/>
        <w:rPr>
          <w:rFonts w:ascii="Times New Roman" w:hAnsi="Times New Roman" w:eastAsia="Arial" w:cs="Times New Roman"/>
        </w:rPr>
      </w:pPr>
      <w:r>
        <w:rPr>
          <w:rFonts w:ascii="Times New Roman" w:hAnsi="Times New Roman" w:eastAsia="Arial" w:cs="Times New Roman"/>
        </w:rPr>
        <w:t xml:space="preserve">Rochet, Jean-Charles, and Jean Tirole. “Platform Competition in Two-Sided Markets.” </w:t>
      </w:r>
      <w:r>
        <w:rPr>
          <w:rFonts w:ascii="Times New Roman" w:hAnsi="Times New Roman" w:eastAsia="Arial" w:cs="Times New Roman"/>
          <w:i/>
          <w:iCs/>
        </w:rPr>
        <w:t>Journal of the European Economic Association</w:t>
      </w:r>
      <w:r>
        <w:rPr>
          <w:rFonts w:ascii="Times New Roman" w:hAnsi="Times New Roman" w:eastAsia="Arial" w:cs="Times New Roman"/>
        </w:rPr>
        <w:t xml:space="preserve">, vol. 1, no. 4, 2003, pp. 990–1029. </w:t>
      </w:r>
      <w:r>
        <w:fldChar w:fldCharType="begin"/>
      </w:r>
      <w:r>
        <w:instrText xml:space="preserve"> HYPERLINK "https://www.jstor.org/stable/40005175" \h </w:instrText>
      </w:r>
      <w:r>
        <w:fldChar w:fldCharType="separate"/>
      </w:r>
      <w:r>
        <w:rPr>
          <w:rStyle w:val="6"/>
          <w:rFonts w:ascii="Times New Roman" w:hAnsi="Times New Roman" w:cs="Times New Roman"/>
          <w:color w:val="auto"/>
        </w:rPr>
        <w:t>https://www.jstor.org/stable/40005175</w:t>
      </w:r>
      <w:r>
        <w:rPr>
          <w:rStyle w:val="6"/>
          <w:rFonts w:ascii="Times New Roman" w:hAnsi="Times New Roman" w:cs="Times New Roman"/>
          <w:color w:val="auto"/>
        </w:rPr>
        <w:fldChar w:fldCharType="end"/>
      </w:r>
      <w:r>
        <w:rPr>
          <w:rFonts w:ascii="Times New Roman" w:hAnsi="Times New Roman" w:eastAsia="Arial" w:cs="Times New Roman"/>
        </w:rPr>
        <w:t>.</w:t>
      </w:r>
    </w:p>
    <w:p w14:paraId="14B99822">
      <w:pPr>
        <w:spacing w:before="240" w:after="240" w:line="480" w:lineRule="auto"/>
        <w:rPr>
          <w:rFonts w:ascii="Times New Roman" w:hAnsi="Times New Roman" w:eastAsia="Arial" w:cs="Times New Roman"/>
        </w:rPr>
      </w:pPr>
      <w:r>
        <w:rPr>
          <w:rFonts w:ascii="Times New Roman" w:hAnsi="Times New Roman" w:eastAsia="Arial" w:cs="Times New Roman"/>
        </w:rPr>
        <w:t xml:space="preserve">World Economic Forum. </w:t>
      </w:r>
      <w:r>
        <w:rPr>
          <w:rFonts w:ascii="Times New Roman" w:hAnsi="Times New Roman" w:eastAsia="Arial" w:cs="Times New Roman"/>
          <w:i/>
          <w:iCs/>
        </w:rPr>
        <w:t>Blueprint to Action: China’s Path to AI-Powered Industry Transformation</w:t>
      </w:r>
      <w:r>
        <w:rPr>
          <w:rFonts w:ascii="Times New Roman" w:hAnsi="Times New Roman" w:eastAsia="Arial" w:cs="Times New Roman"/>
        </w:rPr>
        <w:t xml:space="preserve">. 2025. </w:t>
      </w:r>
      <w:r>
        <w:fldChar w:fldCharType="begin"/>
      </w:r>
      <w:r>
        <w:instrText xml:space="preserve"> HYPERLINK "https://reports.weforum.org/docs/WEF_Blueprint_to_Action_Chinas_Path_to_AI-Powered_Industry_Transformation_2025.pdf" \h </w:instrText>
      </w:r>
      <w:r>
        <w:fldChar w:fldCharType="separate"/>
      </w:r>
      <w:r>
        <w:rPr>
          <w:rStyle w:val="6"/>
          <w:rFonts w:ascii="Times New Roman" w:hAnsi="Times New Roman" w:cs="Times New Roman"/>
          <w:color w:val="auto"/>
        </w:rPr>
        <w:t>https://reports.weforum.org/docs/WEF_Blueprint_to_Action_Chinas_Path_to_AI-Powered_Industry_Transformation_2025.pdf</w:t>
      </w:r>
      <w:r>
        <w:rPr>
          <w:rStyle w:val="6"/>
          <w:rFonts w:ascii="Times New Roman" w:hAnsi="Times New Roman" w:cs="Times New Roman"/>
          <w:color w:val="auto"/>
        </w:rPr>
        <w:fldChar w:fldCharType="end"/>
      </w:r>
      <w:r>
        <w:rPr>
          <w:rFonts w:ascii="Times New Roman" w:hAnsi="Times New Roman" w:eastAsia="Arial" w:cs="Times New Roman"/>
        </w:rPr>
        <w:t>.</w:t>
      </w:r>
    </w:p>
    <w:p w14:paraId="708AB3B8">
      <w:pPr>
        <w:spacing w:line="480" w:lineRule="auto"/>
        <w:rPr>
          <w:rFonts w:ascii="Times New Roman" w:hAnsi="Times New Roman" w:cs="Times New Roman"/>
          <w:lang w:eastAsia="zh-CN"/>
        </w:rPr>
      </w:pPr>
      <w:r>
        <w:rPr>
          <w:rFonts w:ascii="Times New Roman" w:hAnsi="Times New Roman" w:cs="Times New Roman"/>
          <w:lang w:eastAsia="zh-CN"/>
        </w:rPr>
        <w:t xml:space="preserve">Zillow. “Survey: As Industry Expands Private Listing Networks, Most Soon-to-Be Sellers Want Their Homes Seen by Every Buyer.” Zillow, 15 May 2026, https://www.zillow.com/news/survey-sellers-want-broad-exposure-not-private-networks/. </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ptos Display">
    <w:altName w:val="Segoe UI Variable Display"/>
    <w:panose1 w:val="020B0004020202020204"/>
    <w:charset w:val="00"/>
    <w:family w:val="swiss"/>
    <w:pitch w:val="default"/>
    <w:sig w:usb0="00000000" w:usb1="00000000" w:usb2="00000000" w:usb3="00000000" w:csb0="0000019F" w:csb1="00000000"/>
  </w:font>
  <w:font w:name="微软雅黑">
    <w:panose1 w:val="020B0503020204020204"/>
    <w:charset w:val="86"/>
    <w:family w:val="swiss"/>
    <w:pitch w:val="default"/>
    <w:sig w:usb0="80000287" w:usb1="2ACF3C50" w:usb2="00000016" w:usb3="00000000" w:csb0="0004001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9" w:lineRule="auto"/>
      </w:pPr>
      <w:r>
        <w:separator/>
      </w:r>
    </w:p>
  </w:footnote>
  <w:footnote w:type="continuationSeparator" w:id="1">
    <w:p>
      <w:pPr>
        <w:spacing w:before="0" w:after="0" w:line="27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5F5E4"/>
    <w:rsid w:val="00013D8E"/>
    <w:rsid w:val="00019F9D"/>
    <w:rsid w:val="000721E8"/>
    <w:rsid w:val="000A49CA"/>
    <w:rsid w:val="000B3DC6"/>
    <w:rsid w:val="000C558C"/>
    <w:rsid w:val="000C63B5"/>
    <w:rsid w:val="00102045"/>
    <w:rsid w:val="00113379"/>
    <w:rsid w:val="001433C2"/>
    <w:rsid w:val="00173D2C"/>
    <w:rsid w:val="002612B8"/>
    <w:rsid w:val="002A712C"/>
    <w:rsid w:val="00311737"/>
    <w:rsid w:val="00331F3D"/>
    <w:rsid w:val="00336E6A"/>
    <w:rsid w:val="003A1C4D"/>
    <w:rsid w:val="003A44EC"/>
    <w:rsid w:val="003D370D"/>
    <w:rsid w:val="00405D8E"/>
    <w:rsid w:val="004316D6"/>
    <w:rsid w:val="00445AEC"/>
    <w:rsid w:val="004565B2"/>
    <w:rsid w:val="00461165"/>
    <w:rsid w:val="00481BFC"/>
    <w:rsid w:val="00482F16"/>
    <w:rsid w:val="004B5390"/>
    <w:rsid w:val="004C74CF"/>
    <w:rsid w:val="004D22EB"/>
    <w:rsid w:val="00501A1E"/>
    <w:rsid w:val="00503A3C"/>
    <w:rsid w:val="005055A2"/>
    <w:rsid w:val="005416A1"/>
    <w:rsid w:val="00553680"/>
    <w:rsid w:val="00560EC1"/>
    <w:rsid w:val="00565A04"/>
    <w:rsid w:val="0057761D"/>
    <w:rsid w:val="005B486F"/>
    <w:rsid w:val="00624AA9"/>
    <w:rsid w:val="006376A9"/>
    <w:rsid w:val="0066760A"/>
    <w:rsid w:val="006D5177"/>
    <w:rsid w:val="00706548"/>
    <w:rsid w:val="00712620"/>
    <w:rsid w:val="007238D9"/>
    <w:rsid w:val="00737139"/>
    <w:rsid w:val="00740DD5"/>
    <w:rsid w:val="00754480"/>
    <w:rsid w:val="00790E24"/>
    <w:rsid w:val="0079403F"/>
    <w:rsid w:val="00797EC0"/>
    <w:rsid w:val="007D2485"/>
    <w:rsid w:val="007D4F6C"/>
    <w:rsid w:val="0084056E"/>
    <w:rsid w:val="008C76C1"/>
    <w:rsid w:val="008D7FAE"/>
    <w:rsid w:val="008F6025"/>
    <w:rsid w:val="009353FC"/>
    <w:rsid w:val="009A272B"/>
    <w:rsid w:val="009C16A0"/>
    <w:rsid w:val="009C504E"/>
    <w:rsid w:val="009E248A"/>
    <w:rsid w:val="00A35C19"/>
    <w:rsid w:val="00A927B5"/>
    <w:rsid w:val="00AC24A1"/>
    <w:rsid w:val="00B05B41"/>
    <w:rsid w:val="00B12C81"/>
    <w:rsid w:val="00B45E0B"/>
    <w:rsid w:val="00BA3A0D"/>
    <w:rsid w:val="00BC2A79"/>
    <w:rsid w:val="00BF1010"/>
    <w:rsid w:val="00BF7810"/>
    <w:rsid w:val="00C03467"/>
    <w:rsid w:val="00C076E8"/>
    <w:rsid w:val="00C12AF7"/>
    <w:rsid w:val="00C21FA9"/>
    <w:rsid w:val="00C656F2"/>
    <w:rsid w:val="00C8712A"/>
    <w:rsid w:val="00D113A1"/>
    <w:rsid w:val="00D71C58"/>
    <w:rsid w:val="00D9010D"/>
    <w:rsid w:val="00DC4AF1"/>
    <w:rsid w:val="00DD6894"/>
    <w:rsid w:val="00E10446"/>
    <w:rsid w:val="00E26B5A"/>
    <w:rsid w:val="00E46F33"/>
    <w:rsid w:val="00E776DF"/>
    <w:rsid w:val="00F4058E"/>
    <w:rsid w:val="00F511C3"/>
    <w:rsid w:val="00F81A50"/>
    <w:rsid w:val="00FB707F"/>
    <w:rsid w:val="00FE070E"/>
    <w:rsid w:val="044EFC7D"/>
    <w:rsid w:val="048D52C5"/>
    <w:rsid w:val="05A9EEC9"/>
    <w:rsid w:val="0AA8E05D"/>
    <w:rsid w:val="0C36DAA5"/>
    <w:rsid w:val="0CFAC504"/>
    <w:rsid w:val="0E0A2222"/>
    <w:rsid w:val="0EC6247F"/>
    <w:rsid w:val="1057CA3F"/>
    <w:rsid w:val="121F4063"/>
    <w:rsid w:val="1289A6F9"/>
    <w:rsid w:val="1321C7E5"/>
    <w:rsid w:val="135FF671"/>
    <w:rsid w:val="13C5F5E4"/>
    <w:rsid w:val="1898CA62"/>
    <w:rsid w:val="1A6F7370"/>
    <w:rsid w:val="1AE56DA1"/>
    <w:rsid w:val="1BD296B2"/>
    <w:rsid w:val="1D4B5B1E"/>
    <w:rsid w:val="20504C45"/>
    <w:rsid w:val="213BE8CD"/>
    <w:rsid w:val="2171B2AA"/>
    <w:rsid w:val="224536D5"/>
    <w:rsid w:val="23C77A6B"/>
    <w:rsid w:val="25919A36"/>
    <w:rsid w:val="2C083A4C"/>
    <w:rsid w:val="2D1D5749"/>
    <w:rsid w:val="2D2799F5"/>
    <w:rsid w:val="3104AB2D"/>
    <w:rsid w:val="31061B53"/>
    <w:rsid w:val="31F2498E"/>
    <w:rsid w:val="330797B9"/>
    <w:rsid w:val="34190EA2"/>
    <w:rsid w:val="34EDF178"/>
    <w:rsid w:val="3822A00C"/>
    <w:rsid w:val="394884D4"/>
    <w:rsid w:val="3A837638"/>
    <w:rsid w:val="3BC4647B"/>
    <w:rsid w:val="3C0FAE36"/>
    <w:rsid w:val="3CA747BC"/>
    <w:rsid w:val="3D257B74"/>
    <w:rsid w:val="3D93D552"/>
    <w:rsid w:val="3DF4BA90"/>
    <w:rsid w:val="3F326FDE"/>
    <w:rsid w:val="3F3C380B"/>
    <w:rsid w:val="3FA12DD7"/>
    <w:rsid w:val="3FE93D06"/>
    <w:rsid w:val="401D3400"/>
    <w:rsid w:val="429A1075"/>
    <w:rsid w:val="42F24EB8"/>
    <w:rsid w:val="441EA5BF"/>
    <w:rsid w:val="44591500"/>
    <w:rsid w:val="4611A7AB"/>
    <w:rsid w:val="465BDF09"/>
    <w:rsid w:val="48024F9C"/>
    <w:rsid w:val="497F6280"/>
    <w:rsid w:val="4A1718E3"/>
    <w:rsid w:val="4D6C5211"/>
    <w:rsid w:val="4DA3CC36"/>
    <w:rsid w:val="4DEDA1A2"/>
    <w:rsid w:val="4EFC6484"/>
    <w:rsid w:val="4F0C048C"/>
    <w:rsid w:val="520BD918"/>
    <w:rsid w:val="53D0EAC0"/>
    <w:rsid w:val="561D39CA"/>
    <w:rsid w:val="5715B1DF"/>
    <w:rsid w:val="5904858B"/>
    <w:rsid w:val="5B8A55FC"/>
    <w:rsid w:val="60C39B51"/>
    <w:rsid w:val="613DF8D2"/>
    <w:rsid w:val="62F04CFD"/>
    <w:rsid w:val="68421EFA"/>
    <w:rsid w:val="69668A88"/>
    <w:rsid w:val="6BE13593"/>
    <w:rsid w:val="72FF97AC"/>
    <w:rsid w:val="7442877F"/>
    <w:rsid w:val="74D68CB9"/>
    <w:rsid w:val="77EF90B6"/>
    <w:rsid w:val="78A524BA"/>
    <w:rsid w:val="7B4090B2"/>
    <w:rsid w:val="7BA98B24"/>
    <w:rsid w:val="7CB47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9" w:lineRule="auto"/>
    </w:pPr>
    <w:rPr>
      <w:rFonts w:asciiTheme="minorHAnsi" w:hAnsiTheme="minorHAnsi" w:eastAsiaTheme="minorEastAsia" w:cstheme="minorBidi"/>
      <w:sz w:val="24"/>
      <w:szCs w:val="24"/>
      <w:lang w:val="en-US" w:eastAsia="ja-JP" w:bidi="ar-SA"/>
    </w:rPr>
  </w:style>
  <w:style w:type="paragraph" w:styleId="2">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FollowedHyperlink"/>
    <w:basedOn w:val="4"/>
    <w:semiHidden/>
    <w:unhideWhenUsed/>
    <w:qFormat/>
    <w:uiPriority w:val="99"/>
    <w:rPr>
      <w:color w:val="96607D" w:themeColor="followedHyperlink"/>
      <w:u w:val="single"/>
      <w14:textFill>
        <w14:solidFill>
          <w14:schemeClr w14:val="folHlink"/>
        </w14:solidFill>
      </w14:textFill>
    </w:rPr>
  </w:style>
  <w:style w:type="character" w:styleId="6">
    <w:name w:val="Hyperlink"/>
    <w:basedOn w:val="4"/>
    <w:unhideWhenUsed/>
    <w:uiPriority w:val="99"/>
    <w:rPr>
      <w:color w:val="467886"/>
      <w:u w:val="single"/>
    </w:rPr>
  </w:style>
  <w:style w:type="character" w:customStyle="1" w:styleId="7">
    <w:name w:val="Unresolved Mention"/>
    <w:basedOn w:val="4"/>
    <w:semiHidden/>
    <w:unhideWhenUsed/>
    <w:qFormat/>
    <w:uiPriority w:val="99"/>
    <w:rPr>
      <w:color w:val="605E5C"/>
      <w:shd w:val="clear" w:color="auto" w:fill="E1DFDD"/>
    </w:rPr>
  </w:style>
  <w:style w:type="paragraph" w:customStyle="1" w:styleId="8">
    <w:name w:val="Revision"/>
    <w:hidden/>
    <w:semiHidden/>
    <w:qFormat/>
    <w:uiPriority w:val="99"/>
    <w:pPr>
      <w:spacing w:after="0" w:line="240" w:lineRule="auto"/>
    </w:pPr>
    <w:rPr>
      <w:rFonts w:asciiTheme="minorHAnsi" w:hAnsiTheme="minorHAnsi" w:eastAsiaTheme="minorEastAsia" w:cstheme="minorBidi"/>
      <w:sz w:val="24"/>
      <w:szCs w:val="24"/>
      <w:lang w:val="en-US" w:eastAsia="ja-JP"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EBD4-3C60-8441-8AA1-5945EE92AE2C}">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1547</Words>
  <Characters>9507</Characters>
  <TotalTime>1</TotalTime>
  <ScaleCrop>false</ScaleCrop>
  <LinksUpToDate>false</LinksUpToDate>
  <CharactersWithSpaces>11033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2026-08-26T14:04:00Z</dcterms:created>
  <dc:creator>Samuel</dc:creator>
  <cp:lastModifiedBy>Rachel</cp:lastModifiedBy>
  <dcterms:modified xsi:type="dcterms:W3CDTF">2026-08-30T06:58:43Z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eyJoZGlkIjoiNmFjOTQzNDlmNjljZDY2NjJhMDUwNjRjNDg2ZTU2M2YiLCJ1c2VySWQiOiIzNTI4OTQ2ODUifQ==</vt:lpwstr>
  </property>
  <property fmtid="{D5CDD505-2E9C-101B-9397-08002B2CF9AE}" pid="3" name="KSOProductBuildVer">
    <vt:lpwstr>2052-12.1.0.28043</vt:lpwstr>
  </property>
  <property fmtid="{D5CDD505-2E9C-101B-9397-08002B2CF9AE}" pid="4" name="ICV">
    <vt:lpwstr>270D1863C1D64223905520BBAC325115_13</vt:lpwstr>
  </property>
</Properties>
</file>