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7786D">
      <w:pPr>
        <w:pStyle w:val="2"/>
        <w:keepNext w:val="0"/>
        <w:keepLines w:val="0"/>
        <w:widowControl/>
        <w:suppressLineNumbers w:val="0"/>
        <w:spacing w:line="30" w:lineRule="atLeast"/>
        <w:ind w:left="0" w:firstLine="0"/>
        <w:rPr>
          <w:rFonts w:hint="eastAsia" w:ascii="Times New Roman Regular" w:hAnsi="Times New Roman Regular" w:cs="Times New Roman Regular" w:eastAsiaTheme="minorEastAsia"/>
          <w:b/>
          <w:bCs/>
          <w:i w:val="0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/>
          <w:bCs/>
          <w:i w:val="0"/>
          <w:kern w:val="0"/>
          <w:sz w:val="28"/>
          <w:szCs w:val="28"/>
          <w:lang w:val="en-US" w:eastAsia="zh-CN" w:bidi="ar-SA"/>
        </w:rPr>
        <w:t>汉密尔顿抑郁量表（HAMD-24）</w:t>
      </w:r>
    </w:p>
    <w:p w14:paraId="390AC3D0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评分标准：每项按症状严重程度评分，分值为0~4或0~2（具体见每项说明）。总分≥20分提示中度抑郁，≥35分提示重度抑郁。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BF0655A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1. 抑郁情绪</w:t>
      </w:r>
    </w:p>
    <w:p w14:paraId="5D943548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只在问到时诉述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自发表达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非语言流露（表情、语调）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完全自发表达且强烈</w:t>
      </w:r>
    </w:p>
    <w:p w14:paraId="4FEA0E4D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2. 罪恶感</w:t>
      </w:r>
    </w:p>
    <w:p w14:paraId="385304FB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自责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自卑感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认为患病是惩罚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妄想性罪恶感</w:t>
      </w:r>
    </w:p>
    <w:p w14:paraId="30CD1D8C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3. 自杀倾向</w:t>
      </w:r>
    </w:p>
    <w:p w14:paraId="1C42D5E7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觉得活着没意义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希望自己已死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自杀念头或姿态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自杀行为（任何程度）</w:t>
      </w:r>
    </w:p>
    <w:p w14:paraId="25260124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4. 入睡困难</w:t>
      </w:r>
    </w:p>
    <w:p w14:paraId="1105EBF8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偶尔延迟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每晚延迟</w:t>
      </w:r>
    </w:p>
    <w:p w14:paraId="78BD3083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5. 睡眠不深</w:t>
      </w:r>
    </w:p>
    <w:p w14:paraId="427F16C8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轻微不安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频繁觉醒</w:t>
      </w:r>
    </w:p>
    <w:p w14:paraId="386D5E2C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6. 早醒</w:t>
      </w:r>
    </w:p>
    <w:p w14:paraId="685F03CF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轻度（比平时早1小时）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重度（早2小时以上）</w:t>
      </w:r>
    </w:p>
    <w:p w14:paraId="77FFBF10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7. 工作和兴趣</w:t>
      </w:r>
    </w:p>
    <w:p w14:paraId="1D59ECC0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正常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轻度减退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明显减退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无法工作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完全丧失兴趣</w:t>
      </w:r>
    </w:p>
    <w:p w14:paraId="575BFF4A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8. 迟缓（思维/行动）</w:t>
      </w:r>
    </w:p>
    <w:p w14:paraId="188A22D3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轻度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明显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严重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完全僵住</w:t>
      </w:r>
    </w:p>
    <w:p w14:paraId="3F035D03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9. 激越</w:t>
      </w:r>
    </w:p>
    <w:p w14:paraId="3DCA3B3E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轻度不安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明显烦躁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无法静坐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持续扭动/咬指甲</w:t>
      </w:r>
    </w:p>
    <w:p w14:paraId="7A8CE705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10. 精神性焦虑</w:t>
      </w:r>
    </w:p>
    <w:p w14:paraId="37973563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偶尔担心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持续担心但可控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伴随躯体症状（出汗、颤抖）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惊恐发作</w:t>
      </w:r>
    </w:p>
    <w:p w14:paraId="41EEFBE7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11. 躯体性焦虑</w:t>
      </w:r>
    </w:p>
    <w:p w14:paraId="07555876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轻度（肌肉紧张）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中度（头痛、消化异常）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重度（频繁躯体不适）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4 = 失能性症状</w:t>
      </w:r>
    </w:p>
    <w:p w14:paraId="4AA7BAF8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12. 胃肠道症状</w:t>
      </w:r>
    </w:p>
    <w:p w14:paraId="1F980443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食欲轻度下降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进食需催促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体重显著下降（&gt;5%）</w:t>
      </w:r>
    </w:p>
    <w:p w14:paraId="6F91A6CE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13. 全身症状</w:t>
      </w:r>
    </w:p>
    <w:p w14:paraId="141846F9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乏力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明显疲倦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需卧床</w:t>
      </w:r>
    </w:p>
    <w:p w14:paraId="6DAAC70A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14. 性症状（性欲减退）</w:t>
      </w:r>
    </w:p>
    <w:p w14:paraId="634AB6ED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轻度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完全丧失</w:t>
      </w:r>
    </w:p>
    <w:p w14:paraId="17823E01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15. 疑病</w:t>
      </w:r>
    </w:p>
    <w:p w14:paraId="1117DA6D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过度关注健康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反复就医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妄想性疑病</w:t>
      </w:r>
    </w:p>
    <w:p w14:paraId="4CACF01C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16. 体重减轻</w:t>
      </w:r>
    </w:p>
    <w:p w14:paraId="293821EC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可能减轻（&lt;5%）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明确减轻（≥5%）</w:t>
      </w:r>
    </w:p>
    <w:p w14:paraId="7CC5E64C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17. 自知力</w:t>
      </w:r>
    </w:p>
    <w:p w14:paraId="0A98E157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承认抑郁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归因于外界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完全否认</w:t>
      </w:r>
    </w:p>
    <w:p w14:paraId="35433855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18. 日夜变化</w:t>
      </w:r>
    </w:p>
    <w:p w14:paraId="32E756C5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早晨略重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早晨显著加重</w:t>
      </w:r>
    </w:p>
    <w:p w14:paraId="4C6F81CE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19. 人格解体或现实解体</w:t>
      </w:r>
    </w:p>
    <w:p w14:paraId="0B45A94A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偶尔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频繁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持续且痛苦</w:t>
      </w:r>
    </w:p>
    <w:p w14:paraId="67FE11AC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20. 偏执症状</w:t>
      </w:r>
    </w:p>
    <w:p w14:paraId="645D01DB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猜疑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关系妄想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3 = 被害妄想</w:t>
      </w:r>
    </w:p>
    <w:p w14:paraId="50CB5357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21. 强迫症状</w:t>
      </w:r>
    </w:p>
    <w:p w14:paraId="45C946FD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偶尔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频繁且困扰</w:t>
      </w:r>
    </w:p>
    <w:p w14:paraId="68BBACEC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22. 无助感</w:t>
      </w:r>
    </w:p>
    <w:p w14:paraId="367E6592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偶尔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持续影响行为</w:t>
      </w:r>
    </w:p>
    <w:p w14:paraId="5BEEED29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23. 无望感</w:t>
      </w:r>
    </w:p>
    <w:p w14:paraId="7DAEF0C7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怀疑未来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坚信无改善可能</w:t>
      </w:r>
    </w:p>
    <w:p w14:paraId="43BFCF13"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24. 自卑感</w:t>
      </w:r>
    </w:p>
    <w:p w14:paraId="75E990AE">
      <w:pPr>
        <w:pStyle w:val="8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0 = 无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1 = 自我怀疑</w:t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 = 强烈无价值感</w:t>
      </w:r>
    </w:p>
    <w:p w14:paraId="64E156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40" w:beforeAutospacing="0" w:after="640" w:afterAutospacing="0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54F0E90">
      <w:pPr>
        <w:pStyle w:val="2"/>
        <w:keepNext w:val="0"/>
        <w:keepLines w:val="0"/>
        <w:widowControl/>
        <w:suppressLineNumbers w:val="0"/>
        <w:spacing w:line="30" w:lineRule="atLeast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评分结果参考</w:t>
      </w:r>
    </w:p>
    <w:p w14:paraId="77ACA72F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&lt;8分：正常</w:t>
      </w:r>
    </w:p>
    <w:p w14:paraId="7D20B58E">
      <w:pPr>
        <w:keepNext w:val="0"/>
        <w:keepLines w:val="0"/>
        <w:widowControl/>
        <w:numPr>
          <w:numId w:val="0"/>
        </w:numPr>
        <w:suppressLineNumbers w:val="0"/>
        <w:spacing w:before="80" w:beforeAutospacing="0" w:after="0" w:afterAutospacing="1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09A72264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8~19分：轻度抑郁</w:t>
      </w:r>
    </w:p>
    <w:p w14:paraId="5451EECC">
      <w:pPr>
        <w:keepNext w:val="0"/>
        <w:keepLines w:val="0"/>
        <w:widowControl/>
        <w:numPr>
          <w:numId w:val="0"/>
        </w:numPr>
        <w:suppressLineNumbers w:val="0"/>
        <w:spacing w:before="80" w:beforeAutospacing="0" w:after="0" w:afterAutospacing="1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452B1964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20~34分：中度抑郁</w:t>
      </w:r>
    </w:p>
    <w:p w14:paraId="29B1A206">
      <w:pPr>
        <w:keepNext w:val="0"/>
        <w:keepLines w:val="0"/>
        <w:widowControl/>
        <w:numPr>
          <w:numId w:val="0"/>
        </w:numPr>
        <w:suppressLineNumbers w:val="0"/>
        <w:spacing w:before="80" w:beforeAutospacing="0" w:after="0" w:afterAutospacing="1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375DE87D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≥35分：重度抑郁</w:t>
      </w:r>
    </w:p>
    <w:p w14:paraId="6B1D945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40" w:beforeAutospacing="0" w:after="640" w:afterAutospacing="0"/>
        <w:ind w:left="0" w:righ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33541A0A">
      <w:pPr>
        <w:keepNext w:val="0"/>
        <w:keepLines w:val="0"/>
        <w:widowControl/>
        <w:suppressLineNumbers w:val="0"/>
        <w:jc w:val="left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31E8B13E">
      <w:pPr>
        <w:spacing w:line="360" w:lineRule="auto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sectPr>
          <w:headerReference r:id="rId3" w:type="default"/>
          <w:pgSz w:w="11906" w:h="16838"/>
          <w:pgMar w:top="1440" w:right="1800" w:bottom="1440" w:left="1800" w:header="720" w:footer="720" w:gutter="0"/>
          <w:cols w:equalWidth="0" w:num="2">
            <w:col w:w="3940" w:space="425"/>
            <w:col w:w="3940"/>
          </w:cols>
          <w:docGrid w:linePitch="360" w:charSpace="0"/>
        </w:sectPr>
      </w:pPr>
    </w:p>
    <w:p w14:paraId="468967E7">
      <w:pPr>
        <w:spacing w:line="360" w:lineRule="auto"/>
        <w:rPr>
          <w:rFonts w:hint="eastAsia" w:ascii="Times New Roman Regular" w:hAnsi="Times New Roman Regular" w:cs="Times New Roman Regular"/>
          <w:b/>
          <w:bCs/>
          <w:i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b/>
          <w:bCs/>
          <w:i w:val="0"/>
          <w:kern w:val="0"/>
          <w:sz w:val="28"/>
          <w:szCs w:val="28"/>
          <w:lang w:val="en-US" w:eastAsia="zh-CN" w:bidi="ar-SA"/>
        </w:rPr>
        <w:t>甲周毛细血管袢异常</w:t>
      </w:r>
    </w:p>
    <w:p w14:paraId="6EF3AC0B">
      <w:pPr>
        <w:spacing w:line="360" w:lineRule="auto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非独立疾病，而是临床体征，常提示系统性疾病或微血管病变的存在。</w:t>
      </w:r>
    </w:p>
    <w:p w14:paraId="54E1924D">
      <w:pPr>
        <w:spacing w:line="360" w:lineRule="auto"/>
        <w:rPr>
          <w:rFonts w:hint="default" w:ascii="Times New Roman Regular" w:hAnsi="Times New Roman Regular" w:cs="Times New Roman Regular"/>
          <w:b w:val="0"/>
          <w:bCs w:val="0"/>
          <w:i w:val="0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b/>
          <w:bCs/>
          <w:i w:val="0"/>
          <w:kern w:val="0"/>
          <w:sz w:val="21"/>
          <w:szCs w:val="21"/>
          <w:u w:val="none"/>
          <w:lang w:val="en-US" w:eastAsia="zh-CN" w:bidi="ar-SA"/>
        </w:rPr>
        <w:t>症状：</w:t>
      </w:r>
    </w:p>
    <w:tbl>
      <w:tblPr>
        <w:tblStyle w:val="5"/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57"/>
        <w:gridCol w:w="4635"/>
      </w:tblGrid>
      <w:tr w14:paraId="10DE85E5">
        <w:trPr>
          <w:tblCellSpacing w:w="15" w:type="dxa"/>
        </w:trPr>
        <w:tc>
          <w:tcPr>
            <w:tcW w:w="2912" w:type="dxa"/>
            <w:shd w:val="clear" w:color="auto" w:fill="auto"/>
            <w:vAlign w:val="center"/>
          </w:tcPr>
          <w:p w14:paraId="69C3DBD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毛细血管袢扩张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2BB54B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血管直径变粗，像“粗弯钩”或“蚯蚓”状</w:t>
            </w:r>
          </w:p>
        </w:tc>
      </w:tr>
      <w:tr w14:paraId="598CF8D4">
        <w:trPr>
          <w:tblCellSpacing w:w="15" w:type="dxa"/>
        </w:trPr>
        <w:tc>
          <w:tcPr>
            <w:tcW w:w="2912" w:type="dxa"/>
            <w:shd w:val="clear" w:color="auto" w:fill="auto"/>
            <w:vAlign w:val="center"/>
          </w:tcPr>
          <w:p w14:paraId="21851D5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毛细血管袢数量减少或断裂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F0DCAE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局部缺失或中断</w:t>
            </w:r>
          </w:p>
        </w:tc>
      </w:tr>
      <w:tr w14:paraId="24D6B11E">
        <w:trPr>
          <w:tblCellSpacing w:w="15" w:type="dxa"/>
        </w:trPr>
        <w:tc>
          <w:tcPr>
            <w:tcW w:w="2912" w:type="dxa"/>
            <w:shd w:val="clear" w:color="auto" w:fill="auto"/>
            <w:vAlign w:val="center"/>
          </w:tcPr>
          <w:p w14:paraId="053B98F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毛细血管排列紊乱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CFB4A6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弯曲、缠绕、不规则走向</w:t>
            </w:r>
          </w:p>
        </w:tc>
      </w:tr>
      <w:tr w14:paraId="4A2ED63B">
        <w:trPr>
          <w:tblCellSpacing w:w="15" w:type="dxa"/>
        </w:trPr>
        <w:tc>
          <w:tcPr>
            <w:tcW w:w="2912" w:type="dxa"/>
            <w:shd w:val="clear" w:color="auto" w:fill="auto"/>
            <w:vAlign w:val="center"/>
          </w:tcPr>
          <w:p w14:paraId="3016FF8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有微出血点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1EB7932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出现小红点，提示毛细血管破裂</w:t>
            </w:r>
          </w:p>
        </w:tc>
      </w:tr>
      <w:tr w14:paraId="623C8174">
        <w:trPr>
          <w:tblCellSpacing w:w="15" w:type="dxa"/>
        </w:trPr>
        <w:tc>
          <w:tcPr>
            <w:tcW w:w="2912" w:type="dxa"/>
            <w:shd w:val="clear" w:color="auto" w:fill="auto"/>
            <w:vAlign w:val="center"/>
          </w:tcPr>
          <w:p w14:paraId="4AE0149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出现新生血管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5F0E0B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小而不规则的血管，提示修复或病变活动期</w:t>
            </w:r>
          </w:p>
        </w:tc>
      </w:tr>
    </w:tbl>
    <w:p w14:paraId="4548409B">
      <w:pPr>
        <w:spacing w:line="360" w:lineRule="auto"/>
        <w:rPr>
          <w:rFonts w:hint="eastAsia" w:ascii="Times New Roman Regular" w:hAnsi="Times New Roman Regular" w:cs="Times New Roman Regular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4569F80E">
      <w:pPr>
        <w:spacing w:line="360" w:lineRule="auto"/>
        <w:rPr>
          <w:rFonts w:hint="eastAsia" w:ascii="Times New Roman Regular" w:hAnsi="Times New Roman Regular" w:cs="Times New Roman Regular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66B9FD3A">
      <w:pPr>
        <w:spacing w:line="360" w:lineRule="auto"/>
        <w:rPr>
          <w:rFonts w:hint="eastAsia" w:ascii="Times New Roman Regular" w:hAnsi="Times New Roman Regular" w:cs="Times New Roman Regular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</w:p>
    <w:p w14:paraId="700DE5CA">
      <w:pPr>
        <w:spacing w:line="360" w:lineRule="auto"/>
        <w:rPr>
          <w:rFonts w:hint="eastAsia" w:ascii="Times New Roman Regular" w:hAnsi="Times New Roman Regular" w:cs="Times New Roman Regular"/>
          <w:b/>
          <w:bCs/>
          <w:i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b/>
          <w:bCs/>
          <w:i w:val="0"/>
          <w:kern w:val="0"/>
          <w:sz w:val="28"/>
          <w:szCs w:val="28"/>
          <w:lang w:val="en-US" w:eastAsia="zh-CN" w:bidi="ar-SA"/>
        </w:rPr>
        <w:t>血红蛋白</w:t>
      </w:r>
    </w:p>
    <w:p w14:paraId="681BE64B">
      <w:pPr>
        <w:spacing w:line="360" w:lineRule="auto"/>
        <w:rPr>
          <w:rFonts w:hint="eastAsia" w:ascii="Times New Roman Regular" w:hAnsi="Times New Roman Regular" w:cs="Times New Roman Regular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b w:val="0"/>
          <w:bCs w:val="0"/>
          <w:i w:val="0"/>
          <w:kern w:val="0"/>
          <w:sz w:val="21"/>
          <w:szCs w:val="21"/>
          <w:lang w:val="en-US" w:eastAsia="zh-CN" w:bidi="ar-SA"/>
        </w:rPr>
        <w:t>正常范围：</w:t>
      </w:r>
    </w:p>
    <w:p w14:paraId="4C2B959E">
      <w:pPr>
        <w:spacing w:line="360" w:lineRule="auto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成人</w:t>
      </w:r>
    </w:p>
    <w:p w14:paraId="71396BCC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男性：13.8～17.2 g/dL（138～172 g/L）</w:t>
      </w:r>
    </w:p>
    <w:p w14:paraId="4BA7D141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rPr>
          <w:rFonts w:hint="eastAsia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女性：12.1～15.1 g/dL（121～151 g/L）</w:t>
      </w:r>
    </w:p>
    <w:p w14:paraId="15046F93">
      <w:pPr>
        <w:pStyle w:val="2"/>
        <w:keepNext w:val="0"/>
        <w:keepLines w:val="0"/>
        <w:widowControl/>
        <w:suppressLineNumbers w:val="0"/>
        <w:spacing w:line="360" w:lineRule="auto"/>
        <w:ind w:left="0" w:firstLine="0"/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bCs w:val="0"/>
          <w:i w:val="0"/>
          <w:kern w:val="0"/>
          <w:sz w:val="21"/>
          <w:szCs w:val="21"/>
          <w:lang w:val="en-US" w:eastAsia="zh-CN" w:bidi="ar-SA"/>
        </w:rPr>
        <w:t>儿童</w:t>
      </w:r>
    </w:p>
    <w:p w14:paraId="3858C301">
      <w:pPr>
        <w:pStyle w:val="2"/>
        <w:keepNext w:val="0"/>
        <w:keepLines w:val="0"/>
        <w:widowControl/>
        <w:suppressLineNumbers w:val="0"/>
        <w:spacing w:line="360" w:lineRule="auto"/>
        <w:ind w:left="0" w:firstLine="0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新生儿：14～24 g/dL（出生时较高，2周后逐渐下降）</w:t>
      </w:r>
    </w:p>
    <w:p w14:paraId="2A17C60D">
      <w:pPr>
        <w:pStyle w:val="2"/>
        <w:keepNext w:val="0"/>
        <w:keepLines w:val="0"/>
        <w:widowControl/>
        <w:suppressLineNumbers w:val="0"/>
        <w:spacing w:line="360" w:lineRule="auto"/>
        <w:ind w:left="0" w:firstLine="0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婴儿：9.5～13 g/dL（1～6个月）</w:t>
      </w:r>
    </w:p>
    <w:p w14:paraId="2FCA4DEC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儿童：1～14 g/dL（6～18岁，随年龄接近成人水平）</w:t>
      </w:r>
    </w:p>
    <w:p w14:paraId="6DE1E12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1F9E16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低于正常值：提示贫血</w:t>
      </w:r>
    </w:p>
    <w:p w14:paraId="432519E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C0DE06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6B2C8D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9FD616A">
      <w:pPr>
        <w:spacing w:line="360" w:lineRule="auto"/>
        <w:rPr>
          <w:rFonts w:hint="eastAsia" w:ascii="Times New Roman Regular" w:hAnsi="Times New Roman Regular" w:cs="Times New Roman Regular"/>
          <w:b/>
          <w:bCs/>
          <w:i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 Regular" w:hAnsi="Times New Roman Regular" w:cs="Times New Roman Regular"/>
          <w:b/>
          <w:bCs/>
          <w:i w:val="0"/>
          <w:kern w:val="0"/>
          <w:sz w:val="28"/>
          <w:szCs w:val="28"/>
          <w:lang w:val="en-US" w:eastAsia="zh-CN" w:bidi="ar-SA"/>
        </w:rPr>
        <w:t>反应蛋白（CRP）</w:t>
      </w:r>
    </w:p>
    <w:p w14:paraId="1E8EF9A0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是一种由肝脏产生的急性期反应蛋白，当人体出现感染、炎症或组织损伤时，其水平会迅速升高（通常在几小时内），是临床常用的炎症标志物之一。</w:t>
      </w:r>
    </w:p>
    <w:p w14:paraId="5E7FB67C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&lt;5 mg/L → 通常认为无显著炎症</w:t>
      </w:r>
    </w:p>
    <w:p w14:paraId="2E8053B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5~50 mg/L → 可能提示轻度感染、慢性炎症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、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局部损伤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或自身免疫疾病</w:t>
      </w:r>
    </w:p>
    <w:p w14:paraId="701800EF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&gt;50~100 mg/L → 需警惕细菌感染、严重炎症或组织坏死</w:t>
      </w:r>
    </w:p>
    <w:p w14:paraId="53B9E96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2A2BFC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B37269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default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血沉</w:t>
      </w:r>
    </w:p>
    <w:p w14:paraId="2FBEFA2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（ESR，Erythrocyte Sedimentation Rate），全称红细胞沉降率，是指红细胞在一定时间内下沉的速度，是一种非特异性的炎症指标。当人体存在感染、炎症、组织损伤或某些慢性疾病时，血沉通常会加快。</w:t>
      </w:r>
    </w:p>
    <w:p w14:paraId="68CDF16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"/>
        <w:gridCol w:w="4353"/>
      </w:tblGrid>
      <w:tr w14:paraId="67A23E3C">
        <w:trPr>
          <w:tblHeader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04EF75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人群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A67246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正常范围（mm/h）</w:t>
            </w:r>
          </w:p>
        </w:tc>
      </w:tr>
      <w:tr w14:paraId="51AD0D32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74E985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男性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35D3B8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0~15 mm/h</w:t>
            </w:r>
          </w:p>
        </w:tc>
      </w:tr>
      <w:tr w14:paraId="1265D8D0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CFCC7F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女性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898ED4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0~20 mm/h</w:t>
            </w:r>
          </w:p>
        </w:tc>
      </w:tr>
      <w:tr w14:paraId="11239978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4158F4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老年人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7E9397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可能稍高（男性≤20，女性≤30）</w:t>
            </w:r>
          </w:p>
        </w:tc>
      </w:tr>
      <w:tr w14:paraId="172AEEB2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5186E1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儿童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F57C23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0~10 mm/h</w:t>
            </w:r>
          </w:p>
        </w:tc>
      </w:tr>
      <w:tr w14:paraId="41592679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1E26F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孕妇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0920F8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可能升高至30~40 mm/h（妊娠3个月后）</w:t>
            </w:r>
          </w:p>
        </w:tc>
      </w:tr>
    </w:tbl>
    <w:p w14:paraId="2F3859E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57339940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262D3E9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3EEAB4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6516DFF0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default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抗核抗体</w:t>
      </w:r>
    </w:p>
    <w:p w14:paraId="04900C6E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（ANA，Antinuclear Antibody）是一组针对细胞核内多种成分（包括DNA、组蛋白、核糖核蛋白等）的自身抗体的总称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，主要用于检测自身免疫疾病 （但只提示可能存在自身抗体，非特异性）</w:t>
      </w:r>
    </w:p>
    <w:p w14:paraId="0EB1D3BB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正常范围</w:t>
      </w:r>
    </w:p>
    <w:p w14:paraId="383BC13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阴性：滴度&lt;1:40（或&lt;1:80，因实验室而异）</w:t>
      </w:r>
    </w:p>
    <w:p w14:paraId="1A1542F0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弱阳性：1:40~1:80</w:t>
      </w:r>
    </w:p>
    <w:p w14:paraId="479F2DB4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阳性：通常≥1:160</w:t>
      </w:r>
    </w:p>
    <w:p w14:paraId="61CD033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4"/>
        <w:gridCol w:w="3339"/>
        <w:gridCol w:w="3333"/>
      </w:tblGrid>
      <w:tr w14:paraId="1B1F2801">
        <w:trPr>
          <w:tblHeader/>
        </w:trPr>
        <w:tc>
          <w:tcPr>
            <w:tcW w:w="1747" w:type="dxa"/>
            <w:tcBorders>
              <w:top w:val="nil"/>
            </w:tcBorders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D5B113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荧光模式</w:t>
            </w:r>
          </w:p>
        </w:tc>
        <w:tc>
          <w:tcPr>
            <w:tcW w:w="3379" w:type="dxa"/>
            <w:tcBorders>
              <w:top w:val="nil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0FEAF0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常见相关疾病</w:t>
            </w:r>
          </w:p>
        </w:tc>
        <w:tc>
          <w:tcPr>
            <w:tcW w:w="3379" w:type="dxa"/>
            <w:tcBorders>
              <w:top w:val="nil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A06858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常见靶向抗原</w:t>
            </w:r>
          </w:p>
        </w:tc>
      </w:tr>
      <w:tr w14:paraId="2A6B576C">
        <w:tc>
          <w:tcPr>
            <w:tcW w:w="1747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B3C679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均质型（Homogeneous）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6ED8D4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系统性红斑狼疮（SLE）、药物性狼疮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、类风湿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ABD753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组蛋白、ds-DNA</w:t>
            </w:r>
          </w:p>
          <w:p w14:paraId="20AB947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</w:p>
        </w:tc>
      </w:tr>
      <w:tr w14:paraId="2E54D9BC">
        <w:tc>
          <w:tcPr>
            <w:tcW w:w="1747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1BA594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斑点型（Speckled）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94527F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SLE、干燥综合征、</w:t>
            </w:r>
            <w:r>
              <w:rPr>
                <w:rFonts w:hint="eastAsia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类风湿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18A876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Sm、U1-RNP、SSA/Ro</w:t>
            </w:r>
          </w:p>
          <w:p w14:paraId="62B0706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</w:p>
        </w:tc>
      </w:tr>
      <w:tr w14:paraId="4FED16A6">
        <w:tc>
          <w:tcPr>
            <w:tcW w:w="1747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7243D6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核仁型（Nucleolar）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26E7AC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硬皮病（系统性硬化症）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9F6BD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Scl-70、RNA聚合酶</w:t>
            </w:r>
          </w:p>
          <w:p w14:paraId="7305881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</w:p>
        </w:tc>
      </w:tr>
      <w:tr w14:paraId="6C707218">
        <w:tc>
          <w:tcPr>
            <w:tcW w:w="1747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19FEB6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周边型（Rim）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F2EBA5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i w:val="0"/>
                <w:sz w:val="21"/>
                <w:szCs w:val="21"/>
                <w:lang w:val="en-US" w:eastAsia="zh-CN"/>
              </w:rPr>
              <w:t>SLE（特异性较高）</w:t>
            </w:r>
          </w:p>
        </w:tc>
        <w:tc>
          <w:tcPr>
            <w:tcW w:w="3379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A08795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  <w:t>ds-DNA、核膜蛋白</w:t>
            </w:r>
          </w:p>
          <w:p w14:paraId="2FF88DE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 Regular" w:hAnsi="Times New Roman Regular" w:cs="Times New Roman Regular" w:eastAsiaTheme="minorEastAsia"/>
                <w:b w:val="0"/>
                <w:i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050DC7E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247ECE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</w:p>
    <w:p w14:paraId="3B8FE5D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</w:p>
    <w:p w14:paraId="46A7CE1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免疫荧光（抗ds-DNA）</w:t>
      </w:r>
    </w:p>
    <w:p w14:paraId="64BF229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抗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ds-DNA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（doubl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e-strand DNA)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 xml:space="preserve"> 对SLE特异性高，达95%，只要阳性基本可以确诊，但敏感性仅60%</w:t>
      </w:r>
    </w:p>
    <w:p w14:paraId="5A6F71BC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测抗ds-DNA：</w:t>
      </w:r>
      <w:r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将已知的纯化ds-DNA抗原固定在载玻片上 → 滴加患者血清 → 加入荧光标记的二抗</w:t>
      </w:r>
    </w:p>
    <w:p w14:paraId="0FA9A3A7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720" w:right="0"/>
        <w:jc w:val="left"/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</w:pPr>
    </w:p>
    <w:p w14:paraId="3F066103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有荧光 → 血清中存在抗ds-DNA抗体（确诊）。</w:t>
      </w:r>
    </w:p>
    <w:p w14:paraId="191C3C4B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</w:pPr>
      <w:r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无荧光 → 未检出抗ds-DNA抗体</w:t>
      </w:r>
    </w:p>
    <w:p w14:paraId="36E8D3EA">
      <w:pPr>
        <w:keepNext w:val="0"/>
        <w:keepLines w:val="0"/>
        <w:widowControl/>
        <w:numPr>
          <w:ilvl w:val="0"/>
          <w:numId w:val="0"/>
        </w:numPr>
        <w:suppressLineNumbers w:val="0"/>
        <w:spacing w:before="80" w:beforeAutospacing="0" w:after="0" w:afterAutospacing="1"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 w:bidi="ar-SA"/>
        </w:rPr>
      </w:pPr>
    </w:p>
    <w:p w14:paraId="7AC01007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Times New Roman Regular" w:hAnsi="Times New Roman Regular" w:cs="Times New Roman Regular" w:eastAsiaTheme="minorEastAsia"/>
          <w:b/>
          <w:bCs/>
          <w:i w:val="0"/>
          <w:sz w:val="28"/>
          <w:szCs w:val="28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/>
          <w:bCs/>
          <w:i w:val="0"/>
          <w:sz w:val="28"/>
          <w:szCs w:val="28"/>
          <w:lang w:val="en-US" w:eastAsia="zh-CN" w:bidi="ar-SA"/>
        </w:rPr>
        <w:t>补体（</w:t>
      </w:r>
      <w:r>
        <w:rPr>
          <w:rFonts w:hint="default" w:ascii="Times New Roman Regular" w:hAnsi="Times New Roman Regular" w:cs="Times New Roman Regular" w:eastAsiaTheme="minorEastAsia"/>
          <w:b/>
          <w:bCs/>
          <w:i w:val="0"/>
          <w:sz w:val="28"/>
          <w:szCs w:val="28"/>
          <w:lang w:val="en-US" w:eastAsia="zh-CN" w:bidi="ar-SA"/>
        </w:rPr>
        <w:t>C3C4)</w:t>
      </w:r>
      <w:r>
        <w:rPr>
          <w:rFonts w:hint="eastAsia" w:ascii="Times New Roman Regular" w:hAnsi="Times New Roman Regular" w:cs="Times New Roman Regular" w:eastAsiaTheme="minorEastAsia"/>
          <w:b/>
          <w:bCs/>
          <w:i w:val="0"/>
          <w:sz w:val="28"/>
          <w:szCs w:val="28"/>
          <w:lang w:val="en-US" w:eastAsia="zh-CN" w:bidi="ar-SA"/>
        </w:rPr>
        <w:t xml:space="preserve"> </w:t>
      </w:r>
    </w:p>
    <w:p w14:paraId="6F18624F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血液中的一组蛋白质，负责帮助抗原清除病原体，调节炎症反应</w:t>
      </w:r>
    </w:p>
    <w:p w14:paraId="2DCE1EDE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当有炎症时血液中补体水平下降</w:t>
      </w:r>
    </w:p>
    <w:p w14:paraId="1DB6A4E5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</w:pPr>
      <w:r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约</w:t>
      </w:r>
      <w:r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 15-30%的</w:t>
      </w:r>
      <w:r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SLE</w:t>
      </w:r>
      <w:r>
        <w:rPr>
          <w:rFonts w:hint="default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患者 在疾病非活动期或特定亚型中，补体C3/C4可表现为正常或正常下限。</w:t>
      </w:r>
    </w:p>
    <w:p w14:paraId="06353DA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24506B3F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261F7A1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3F6700C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DD2B7D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心率变异性（HRV）</w:t>
      </w:r>
    </w:p>
    <w:p w14:paraId="741FB71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按间期低频（慢波动）/高频（快波动）功率比比较</w:t>
      </w:r>
    </w:p>
    <w:p w14:paraId="7A4C1E5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低</w:t>
      </w:r>
      <w:r>
        <w:rPr>
          <w:rFonts w:hint="eastAsia" w:ascii="Times New Roman Regular" w:hAnsi="Times New Roman Regular" w:cs="Times New Roman Regular" w:eastAsiaTheme="minorEastAsia"/>
          <w:b w:val="0"/>
          <w:i w:val="0"/>
          <w:sz w:val="21"/>
          <w:szCs w:val="21"/>
          <w:lang w:val="en-US" w:eastAsia="zh-CN" w:bidi="ar-SA"/>
        </w:rPr>
        <w:t>频LF（0.04–0.15 Hz）：由交感神经活动驱动 （0.04–0.15 Hz）  ：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交感神经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释放去甲肾上腺素 → 心脏加速、血管收缩</w:t>
      </w: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 xml:space="preserve">   所以</w:t>
      </w:r>
      <w:r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这种调控是缓慢而持续的</w:t>
      </w:r>
    </w:p>
    <w:p w14:paraId="0E38E18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高频HF（0.15–0.40 Hz）：由迷走神经活动驱动 与呼吸性心率不齐直接相关</w:t>
      </w:r>
    </w:p>
    <w:p w14:paraId="201E33D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5F8A876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且HF直接反应迷走张力</w:t>
      </w:r>
    </w:p>
    <w:p w14:paraId="13EA3E8B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7ED5865A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0.04-0.15Hz说明：间期时长波动（基准值→变慢→恢复→变快→恢复）每秒发生0.04-0.15次，即每2.5-6秒完成一次波动周期</w:t>
      </w:r>
    </w:p>
    <w:p w14:paraId="5D946C6A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A3A1CA1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若单独提取LF/HF成分中的特定值（如0.15Hz） 其数学表达是正弦波</w:t>
      </w:r>
    </w:p>
    <w:p w14:paraId="78F99D2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但原始心跳是这些正弦波的混合结果</w:t>
      </w:r>
    </w:p>
    <w:p w14:paraId="248BDF4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6F6CD6A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心率变异性通常是按LF/HF衡量的</w:t>
      </w:r>
    </w:p>
    <w:p w14:paraId="4776AA4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697B147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901CD1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1401BAE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29C4A4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瞳孔对光反射</w:t>
      </w:r>
    </w:p>
    <w:p w14:paraId="1F51447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全程由副交感神经通路（迷走神经同源）传导</w:t>
      </w:r>
    </w:p>
    <w:p w14:paraId="18CAD15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4527032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</w:p>
    <w:p w14:paraId="0704D17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bookmarkStart w:id="0" w:name="_GoBack"/>
      <w:bookmarkEnd w:id="0"/>
    </w:p>
    <w:p w14:paraId="7F70E49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cs="Times New Roman Regular"/>
          <w:b/>
          <w:bCs/>
          <w:i w:val="0"/>
          <w:sz w:val="28"/>
          <w:szCs w:val="28"/>
          <w:lang w:val="en-US" w:eastAsia="zh-CN"/>
        </w:rPr>
        <w:t>抗Sm抗体</w:t>
      </w:r>
    </w:p>
    <w:p w14:paraId="2336D8F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对系统性红斑狼疮SLE有高度特异性 只要阳性基本即可确诊</w:t>
      </w:r>
    </w:p>
    <w:p w14:paraId="495E487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i w:val="0"/>
          <w:sz w:val="21"/>
          <w:szCs w:val="21"/>
          <w:lang w:val="en-US" w:eastAsia="zh-CN"/>
        </w:rPr>
        <w:t>检测方法与抗ds-DNA同理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FDEAF">
    <w:pPr>
      <w:pStyle w:val="7"/>
      <w:rPr>
        <w:rFonts w:hint="default" w:eastAsiaTheme="minorEastAsia"/>
        <w:sz w:val="32"/>
        <w:szCs w:val="32"/>
        <w:lang w:val="en-US" w:eastAsia="zh-CN"/>
      </w:rPr>
    </w:pPr>
    <w:r>
      <w:rPr>
        <w:rFonts w:hint="eastAsia"/>
        <w:sz w:val="32"/>
        <w:szCs w:val="32"/>
        <w:lang w:val="en-US" w:eastAsia="zh-CN"/>
      </w:rPr>
      <w:t>检查项目补充信息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37BEE"/>
    <w:rsid w:val="67D37BEE"/>
    <w:rsid w:val="76B73EA6"/>
    <w:rsid w:val="79F79363"/>
    <w:rsid w:val="7CDF2E7C"/>
    <w:rsid w:val="7EFFAB65"/>
    <w:rsid w:val="7FFE1E05"/>
    <w:rsid w:val="EF7E5DD5"/>
    <w:rsid w:val="EF7F7519"/>
    <w:rsid w:val="FFFFB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9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67</TotalTime>
  <ScaleCrop>false</ScaleCrop>
  <LinksUpToDate>false</LinksUpToDate>
  <CharactersWithSpaces>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2025-06-25T07:20:00Z</dcterms:created>
  <dc:creator>WPS_1650953733</dc:creator>
  <cp:lastModifiedBy>WPS_1650953733</cp:lastModifiedBy>
  <dcterms:modified xsi:type="dcterms:W3CDTF">2025-06-30T19:17:54Z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1033-6.14.0.8924</vt:lpwstr>
  </property>
  <property fmtid="{D5CDD505-2E9C-101B-9397-08002B2CF9AE}" pid="3" name="ICV">
    <vt:lpwstr>E13D7CB938878A28EDD15C68999DFD43_43</vt:lpwstr>
  </property>
</Properties>
</file>