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sz w:val="28"/>
          <w:szCs w:val="28"/>
        </w:rPr>
      </w:pPr>
      <w:r w:rsidDel="00000000" w:rsidR="00000000" w:rsidRPr="00000000">
        <w:rPr>
          <w:b w:val="1"/>
          <w:sz w:val="28"/>
          <w:szCs w:val="28"/>
          <w:rtl w:val="0"/>
        </w:rPr>
        <w:t xml:space="preserve">Business &amp; Innovation Symposium Fact Sheet</w:t>
      </w:r>
    </w:p>
    <w:p w:rsidR="00000000" w:rsidDel="00000000" w:rsidP="00000000" w:rsidRDefault="00000000" w:rsidRPr="00000000" w14:paraId="00000002">
      <w:pPr>
        <w:spacing w:line="240" w:lineRule="auto"/>
        <w:rPr>
          <w:b w:val="1"/>
        </w:rPr>
      </w:pPr>
      <w:r w:rsidDel="00000000" w:rsidR="00000000" w:rsidRPr="00000000">
        <w:rPr>
          <w:rtl w:val="0"/>
        </w:rPr>
      </w:r>
    </w:p>
    <w:p w:rsidR="00000000" w:rsidDel="00000000" w:rsidP="00000000" w:rsidRDefault="00000000" w:rsidRPr="00000000" w14:paraId="00000003">
      <w:pPr>
        <w:spacing w:line="240" w:lineRule="auto"/>
        <w:ind w:left="2160" w:hanging="2160"/>
        <w:rPr/>
      </w:pPr>
      <w:r w:rsidDel="00000000" w:rsidR="00000000" w:rsidRPr="00000000">
        <w:rPr>
          <w:b w:val="1"/>
          <w:rtl w:val="0"/>
        </w:rPr>
        <w:t xml:space="preserve">Co- Chair:</w:t>
        <w:tab/>
      </w:r>
      <w:r w:rsidDel="00000000" w:rsidR="00000000" w:rsidRPr="00000000">
        <w:rPr>
          <w:rtl w:val="0"/>
        </w:rPr>
        <w:t xml:space="preserve">Will Ramey, Sr. Director, Global Head of Developer Programs NVIDIA, USA </w:t>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b w:val="1"/>
          <w:rtl w:val="0"/>
        </w:rPr>
        <w:t xml:space="preserve">Co-Chair:</w:t>
      </w:r>
      <w:r w:rsidDel="00000000" w:rsidR="00000000" w:rsidRPr="00000000">
        <w:rPr>
          <w:rtl w:val="0"/>
        </w:rPr>
        <w:tab/>
        <w:tab/>
        <w:t xml:space="preserve">Liming Zhu, Research Director, CSIRO Data61 and Professor, UNSW,        </w:t>
      </w:r>
    </w:p>
    <w:p w:rsidR="00000000" w:rsidDel="00000000" w:rsidP="00000000" w:rsidRDefault="00000000" w:rsidRPr="00000000" w14:paraId="00000006">
      <w:pPr>
        <w:spacing w:line="240" w:lineRule="auto"/>
        <w:ind w:left="1440" w:firstLine="720"/>
        <w:rPr/>
      </w:pPr>
      <w:r w:rsidDel="00000000" w:rsidR="00000000" w:rsidRPr="00000000">
        <w:rPr>
          <w:rtl w:val="0"/>
        </w:rPr>
        <w:t xml:space="preserve">Australia</w:t>
      </w:r>
    </w:p>
    <w:p w:rsidR="00000000" w:rsidDel="00000000" w:rsidP="00000000" w:rsidRDefault="00000000" w:rsidRPr="00000000" w14:paraId="00000007">
      <w:pPr>
        <w:spacing w:line="240" w:lineRule="auto"/>
        <w:rPr>
          <w:b w:val="1"/>
        </w:rPr>
      </w:pP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b w:val="1"/>
          <w:rtl w:val="0"/>
        </w:rPr>
        <w:t xml:space="preserve">Advisor:</w:t>
        <w:tab/>
        <w:tab/>
      </w:r>
      <w:r w:rsidDel="00000000" w:rsidR="00000000" w:rsidRPr="00000000">
        <w:rPr>
          <w:rtl w:val="0"/>
        </w:rPr>
        <w:t xml:space="preserve">Michael Hsin-Yao Liang, Silkroad Visual Technologies Co., LTD, </w:t>
      </w:r>
    </w:p>
    <w:p w:rsidR="00000000" w:rsidDel="00000000" w:rsidP="00000000" w:rsidRDefault="00000000" w:rsidRPr="00000000" w14:paraId="00000009">
      <w:pPr>
        <w:spacing w:line="240" w:lineRule="auto"/>
        <w:ind w:left="1440" w:firstLine="720"/>
        <w:rPr>
          <w:b w:val="1"/>
        </w:rPr>
      </w:pPr>
      <w:r w:rsidDel="00000000" w:rsidR="00000000" w:rsidRPr="00000000">
        <w:rPr>
          <w:rtl w:val="0"/>
        </w:rPr>
        <w:t xml:space="preserve">Taiwan</w:t>
      </w:r>
      <w:r w:rsidDel="00000000" w:rsidR="00000000" w:rsidRPr="00000000">
        <w:rPr>
          <w:rtl w:val="0"/>
        </w:rPr>
      </w:r>
    </w:p>
    <w:p w:rsidR="00000000" w:rsidDel="00000000" w:rsidP="00000000" w:rsidRDefault="00000000" w:rsidRPr="00000000" w14:paraId="0000000A">
      <w:pPr>
        <w:spacing w:line="240" w:lineRule="auto"/>
        <w:rPr>
          <w:b w:val="1"/>
        </w:rPr>
      </w:pPr>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b w:val="1"/>
          <w:rtl w:val="0"/>
        </w:rPr>
        <w:t xml:space="preserve">Program Schedule: </w:t>
        <w:tab/>
      </w:r>
      <w:r w:rsidDel="00000000" w:rsidR="00000000" w:rsidRPr="00000000">
        <w:rPr>
          <w:rtl w:val="0"/>
        </w:rPr>
        <w:t xml:space="preserve">Thursday, 14 December</w:t>
      </w:r>
    </w:p>
    <w:p w:rsidR="00000000" w:rsidDel="00000000" w:rsidP="00000000" w:rsidRDefault="00000000" w:rsidRPr="00000000" w14:paraId="0000000C">
      <w:pPr>
        <w:spacing w:line="240" w:lineRule="auto"/>
        <w:jc w:val="both"/>
        <w:rPr>
          <w:b w:val="1"/>
        </w:rPr>
      </w:pPr>
      <w:r w:rsidDel="00000000" w:rsidR="00000000" w:rsidRPr="00000000">
        <w:rPr>
          <w:rtl w:val="0"/>
        </w:rPr>
        <w:br w:type="textWrapping"/>
      </w:r>
      <w:r w:rsidDel="00000000" w:rsidR="00000000" w:rsidRPr="00000000">
        <w:rPr>
          <w:b w:val="1"/>
          <w:rtl w:val="0"/>
        </w:rPr>
        <w:t xml:space="preserve">Fast Facts:</w:t>
      </w:r>
    </w:p>
    <w:p w:rsidR="00000000" w:rsidDel="00000000" w:rsidP="00000000" w:rsidRDefault="00000000" w:rsidRPr="00000000" w14:paraId="0000000D">
      <w:pPr>
        <w:ind w:left="800" w:firstLine="0"/>
        <w:rPr/>
      </w:pPr>
      <w:r w:rsidDel="00000000" w:rsidR="00000000" w:rsidRPr="00000000">
        <w:rPr>
          <w:rtl w:val="0"/>
        </w:rPr>
      </w:r>
    </w:p>
    <w:p w:rsidR="00000000" w:rsidDel="00000000" w:rsidP="00000000" w:rsidRDefault="00000000" w:rsidRPr="00000000" w14:paraId="0000000E">
      <w:pPr>
        <w:numPr>
          <w:ilvl w:val="0"/>
          <w:numId w:val="4"/>
        </w:numPr>
        <w:ind w:left="720" w:hanging="360"/>
        <w:jc w:val="both"/>
        <w:rPr/>
      </w:pPr>
      <w:r w:rsidDel="00000000" w:rsidR="00000000" w:rsidRPr="00000000">
        <w:rPr>
          <w:rtl w:val="0"/>
        </w:rPr>
        <w:t xml:space="preserve">The Business &amp; Innovation Symposium, a one-day VIP event, scrutinises the intersection of technology, creativity, and business. Supported by the technology sector, corporate sponsors, and local government, this symposium gathers thought leaders from diverse industries and backgrounds, providing an opportunity to delve into the future of innovation, design, and technologies shaping tomorrow's landscape.</w:t>
      </w:r>
    </w:p>
    <w:p w:rsidR="00000000" w:rsidDel="00000000" w:rsidP="00000000" w:rsidRDefault="00000000" w:rsidRPr="00000000" w14:paraId="0000000F">
      <w:pPr>
        <w:ind w:left="720" w:firstLine="0"/>
        <w:jc w:val="both"/>
        <w:rPr/>
      </w:pPr>
      <w:r w:rsidDel="00000000" w:rsidR="00000000" w:rsidRPr="00000000">
        <w:rPr>
          <w:rtl w:val="0"/>
        </w:rPr>
      </w:r>
    </w:p>
    <w:p w:rsidR="00000000" w:rsidDel="00000000" w:rsidP="00000000" w:rsidRDefault="00000000" w:rsidRPr="00000000" w14:paraId="00000010">
      <w:pPr>
        <w:numPr>
          <w:ilvl w:val="0"/>
          <w:numId w:val="4"/>
        </w:numPr>
        <w:ind w:left="720" w:hanging="360"/>
        <w:jc w:val="both"/>
        <w:rPr/>
      </w:pPr>
      <w:r w:rsidDel="00000000" w:rsidR="00000000" w:rsidRPr="00000000">
        <w:rPr>
          <w:rtl w:val="0"/>
        </w:rPr>
        <w:t xml:space="preserve">The 2023 edition, titled </w:t>
      </w:r>
      <w:r w:rsidDel="00000000" w:rsidR="00000000" w:rsidRPr="00000000">
        <w:rPr>
          <w:b w:val="1"/>
          <w:i w:val="1"/>
          <w:rtl w:val="0"/>
        </w:rPr>
        <w:t xml:space="preserve">Powering Business Transformation with Generative AI: Connecting Stories Across Business, Technology, and Community</w:t>
      </w:r>
      <w:r w:rsidDel="00000000" w:rsidR="00000000" w:rsidRPr="00000000">
        <w:rPr>
          <w:rtl w:val="0"/>
        </w:rPr>
        <w:t xml:space="preserve"> is a carefully curated day filled with story-sharing sessions, community networking, and technological exploration, offering a unique convergence of business, technology, and community perspectives on the impact of Large Language Models (LLMs) and other Generative AI technologies. </w:t>
      </w:r>
    </w:p>
    <w:p w:rsidR="00000000" w:rsidDel="00000000" w:rsidP="00000000" w:rsidRDefault="00000000" w:rsidRPr="00000000" w14:paraId="00000011">
      <w:pPr>
        <w:spacing w:line="240" w:lineRule="auto"/>
        <w:ind w:left="800" w:firstLine="0"/>
        <w:jc w:val="both"/>
        <w:rPr/>
      </w:pPr>
      <w:r w:rsidDel="00000000" w:rsidR="00000000" w:rsidRPr="00000000">
        <w:rPr>
          <w:rtl w:val="0"/>
        </w:rPr>
      </w:r>
    </w:p>
    <w:p w:rsidR="00000000" w:rsidDel="00000000" w:rsidP="00000000" w:rsidRDefault="00000000" w:rsidRPr="00000000" w14:paraId="00000012">
      <w:pPr>
        <w:numPr>
          <w:ilvl w:val="0"/>
          <w:numId w:val="3"/>
        </w:numPr>
        <w:spacing w:line="240" w:lineRule="auto"/>
        <w:ind w:left="800" w:hanging="400"/>
        <w:jc w:val="both"/>
        <w:rPr/>
      </w:pPr>
      <w:r w:rsidDel="00000000" w:rsidR="00000000" w:rsidRPr="00000000">
        <w:rPr>
          <w:rtl w:val="0"/>
        </w:rPr>
        <w:t xml:space="preserve">Research firm Gartner predicts that, by 2025, Generative AI will be producing 10% of all data vs. less than 1% in 2022.</w:t>
      </w:r>
    </w:p>
    <w:p w:rsidR="00000000" w:rsidDel="00000000" w:rsidP="00000000" w:rsidRDefault="00000000" w:rsidRPr="00000000" w14:paraId="00000013">
      <w:pPr>
        <w:spacing w:line="240" w:lineRule="auto"/>
        <w:ind w:left="760" w:firstLine="0"/>
        <w:jc w:val="both"/>
        <w:rPr/>
      </w:pPr>
      <w:r w:rsidDel="00000000" w:rsidR="00000000" w:rsidRPr="00000000">
        <w:rPr>
          <w:rtl w:val="0"/>
        </w:rPr>
      </w:r>
    </w:p>
    <w:p w:rsidR="00000000" w:rsidDel="00000000" w:rsidP="00000000" w:rsidRDefault="00000000" w:rsidRPr="00000000" w14:paraId="00000014">
      <w:pPr>
        <w:numPr>
          <w:ilvl w:val="0"/>
          <w:numId w:val="3"/>
        </w:numPr>
        <w:spacing w:after="200" w:line="240" w:lineRule="auto"/>
        <w:ind w:left="800" w:hanging="400"/>
        <w:jc w:val="both"/>
        <w:rPr/>
      </w:pPr>
      <w:r w:rsidDel="00000000" w:rsidR="00000000" w:rsidRPr="00000000">
        <w:rPr>
          <w:rtl w:val="0"/>
        </w:rPr>
        <w:t xml:space="preserve">Full agenda </w:t>
      </w:r>
      <w:hyperlink r:id="rId7">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15">
      <w:pPr>
        <w:spacing w:line="240" w:lineRule="auto"/>
        <w:jc w:val="both"/>
        <w:rPr>
          <w:b w:val="1"/>
        </w:rPr>
      </w:pPr>
      <w:r w:rsidDel="00000000" w:rsidR="00000000" w:rsidRPr="00000000">
        <w:rPr>
          <w:rtl w:val="0"/>
        </w:rPr>
      </w:r>
    </w:p>
    <w:p w:rsidR="00000000" w:rsidDel="00000000" w:rsidP="00000000" w:rsidRDefault="00000000" w:rsidRPr="00000000" w14:paraId="00000016">
      <w:pPr>
        <w:spacing w:line="240" w:lineRule="auto"/>
        <w:jc w:val="both"/>
        <w:rPr>
          <w:b w:val="1"/>
        </w:rPr>
      </w:pPr>
      <w:r w:rsidDel="00000000" w:rsidR="00000000" w:rsidRPr="00000000">
        <w:rPr>
          <w:b w:val="1"/>
          <w:rtl w:val="0"/>
        </w:rPr>
        <w:t xml:space="preserve">Quote from Will Ramey, Sr. Director, Global Head of Developer Programs, NVIDIA, USA, SIGGRAPH Asia 2023 Business &amp; Innovation Symposium Co-Chair: </w:t>
      </w:r>
    </w:p>
    <w:p w:rsidR="00000000" w:rsidDel="00000000" w:rsidP="00000000" w:rsidRDefault="00000000" w:rsidRPr="00000000" w14:paraId="00000017">
      <w:pPr>
        <w:spacing w:line="240" w:lineRule="auto"/>
        <w:jc w:val="both"/>
        <w:rPr/>
      </w:pPr>
      <w:r w:rsidDel="00000000" w:rsidR="00000000" w:rsidRPr="00000000">
        <w:rPr>
          <w:rtl w:val="0"/>
        </w:rPr>
      </w:r>
    </w:p>
    <w:p w:rsidR="00000000" w:rsidDel="00000000" w:rsidP="00000000" w:rsidRDefault="00000000" w:rsidRPr="00000000" w14:paraId="00000018">
      <w:pPr>
        <w:spacing w:after="200" w:lineRule="auto"/>
        <w:jc w:val="both"/>
        <w:rPr>
          <w:i w:val="1"/>
        </w:rPr>
      </w:pPr>
      <w:r w:rsidDel="00000000" w:rsidR="00000000" w:rsidRPr="00000000">
        <w:rPr>
          <w:i w:val="1"/>
          <w:rtl w:val="0"/>
        </w:rPr>
        <w:t xml:space="preserve">“Generative AI is transforming practically every industry and academic domain. At NVIDIA, we’re working with thousands of researchers, startups, and enterprise companies worldwide to help them take advantage of this powerful new technology. The Business &amp; Innovation Symposium is a great opportunity for business leaders to learn how they can apply GenAI in their own organisations and connect with experts as well as like-minded peers.”</w:t>
      </w:r>
    </w:p>
    <w:p w:rsidR="00000000" w:rsidDel="00000000" w:rsidP="00000000" w:rsidRDefault="00000000" w:rsidRPr="00000000" w14:paraId="00000019">
      <w:pPr>
        <w:spacing w:line="240" w:lineRule="auto"/>
        <w:jc w:val="both"/>
        <w:rPr>
          <w:b w:val="1"/>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1A">
      <w:pPr>
        <w:spacing w:line="240" w:lineRule="auto"/>
        <w:jc w:val="both"/>
        <w:rPr>
          <w:b w:val="1"/>
        </w:rPr>
      </w:pPr>
      <w:r w:rsidDel="00000000" w:rsidR="00000000" w:rsidRPr="00000000">
        <w:rPr>
          <w:b w:val="1"/>
          <w:rtl w:val="0"/>
        </w:rPr>
        <w:t xml:space="preserve">Quote from Liming Zhu, Research Director, CSIRO Data61 and Professor, UNSW, Australia, SIGGRAPH Asia 2023 Business &amp; Innovation Symposium Co-Chair: </w:t>
      </w:r>
    </w:p>
    <w:p w:rsidR="00000000" w:rsidDel="00000000" w:rsidP="00000000" w:rsidRDefault="00000000" w:rsidRPr="00000000" w14:paraId="0000001B">
      <w:pPr>
        <w:spacing w:line="240" w:lineRule="auto"/>
        <w:jc w:val="both"/>
        <w:rPr/>
      </w:pPr>
      <w:r w:rsidDel="00000000" w:rsidR="00000000" w:rsidRPr="00000000">
        <w:rPr>
          <w:rtl w:val="0"/>
        </w:rPr>
      </w:r>
    </w:p>
    <w:p w:rsidR="00000000" w:rsidDel="00000000" w:rsidP="00000000" w:rsidRDefault="00000000" w:rsidRPr="00000000" w14:paraId="0000001C">
      <w:pPr>
        <w:spacing w:after="200" w:lineRule="auto"/>
        <w:jc w:val="both"/>
        <w:rPr>
          <w:i w:val="1"/>
        </w:rPr>
      </w:pPr>
      <w:bookmarkStart w:colFirst="0" w:colLast="0" w:name="_heading=h.gjdgxs" w:id="0"/>
      <w:bookmarkEnd w:id="0"/>
      <w:r w:rsidDel="00000000" w:rsidR="00000000" w:rsidRPr="00000000">
        <w:rPr>
          <w:i w:val="1"/>
          <w:rtl w:val="0"/>
        </w:rPr>
        <w:t xml:space="preserve">“With the transformative capabilities of generative AI come significant challenges in harnessing these capabilities and engendering trust. Our symposium will address how responsible and trustworthy AI is achieved in the realm of Generative AI, incorporating perspectives from a diverse array of sectors and communities. To draw an analogy, the purpose of reliable car brakes is not just to stop the car but to enable it to run faster and with greater confidence. Similarly, responsible AI is the key to accelerating the adoption of AI technologies. At CSIRO, Australia’s national science agency, we are committed to advancing responsible AI by integrating these principles right from the design stage, in collaboration with industry partners. “ </w:t>
      </w:r>
    </w:p>
    <w:p w:rsidR="00000000" w:rsidDel="00000000" w:rsidP="00000000" w:rsidRDefault="00000000" w:rsidRPr="00000000" w14:paraId="0000001D">
      <w:pPr>
        <w:spacing w:after="200" w:lineRule="auto"/>
        <w:rPr>
          <w:b w:val="1"/>
        </w:rPr>
      </w:pPr>
      <w:r w:rsidDel="00000000" w:rsidR="00000000" w:rsidRPr="00000000">
        <w:rPr>
          <w:b w:val="1"/>
          <w:rtl w:val="0"/>
        </w:rPr>
        <w:t xml:space="preserve">SIGGRAPH Asia 2023 Business &amp; Innovation Symposium Highlights</w:t>
      </w:r>
    </w:p>
    <w:p w:rsidR="00000000" w:rsidDel="00000000" w:rsidP="00000000" w:rsidRDefault="00000000" w:rsidRPr="00000000" w14:paraId="0000001E">
      <w:pPr>
        <w:numPr>
          <w:ilvl w:val="0"/>
          <w:numId w:val="2"/>
        </w:numPr>
        <w:tabs>
          <w:tab w:val="left" w:leader="none" w:pos="2267.716535433071"/>
        </w:tabs>
        <w:spacing w:line="240" w:lineRule="auto"/>
        <w:ind w:left="566.9291338582675" w:hanging="356.92913385826756"/>
        <w:rPr>
          <w:b w:val="1"/>
          <w:u w:val="none"/>
        </w:rPr>
      </w:pPr>
      <w:r w:rsidDel="00000000" w:rsidR="00000000" w:rsidRPr="00000000">
        <w:rPr>
          <w:b w:val="1"/>
          <w:rtl w:val="0"/>
        </w:rPr>
        <w:t xml:space="preserve">Topic:</w:t>
        <w:tab/>
      </w:r>
      <w:hyperlink r:id="rId8">
        <w:r w:rsidDel="00000000" w:rsidR="00000000" w:rsidRPr="00000000">
          <w:rPr>
            <w:b w:val="1"/>
            <w:color w:val="1155cc"/>
            <w:u w:val="single"/>
            <w:rtl w:val="0"/>
          </w:rPr>
          <w:t xml:space="preserve">GenAI Trends - Beyond the Hype: The Real-World Use Cases </w:t>
        </w:r>
      </w:hyperlink>
      <w:r w:rsidDel="00000000" w:rsidR="00000000" w:rsidRPr="00000000">
        <w:rPr>
          <w:rtl w:val="0"/>
        </w:rPr>
      </w:r>
    </w:p>
    <w:p w:rsidR="00000000" w:rsidDel="00000000" w:rsidP="00000000" w:rsidRDefault="00000000" w:rsidRPr="00000000" w14:paraId="0000001F">
      <w:pPr>
        <w:tabs>
          <w:tab w:val="left" w:leader="none" w:pos="2267.716535433071"/>
        </w:tabs>
        <w:spacing w:line="240" w:lineRule="auto"/>
        <w:ind w:left="0" w:firstLine="0"/>
        <w:rPr>
          <w:b w:val="1"/>
        </w:rPr>
      </w:pPr>
      <w:r w:rsidDel="00000000" w:rsidR="00000000" w:rsidRPr="00000000">
        <w:rPr>
          <w:b w:val="1"/>
          <w:rtl w:val="0"/>
        </w:rPr>
        <w:tab/>
      </w:r>
      <w:hyperlink r:id="rId9">
        <w:r w:rsidDel="00000000" w:rsidR="00000000" w:rsidRPr="00000000">
          <w:rPr>
            <w:b w:val="1"/>
            <w:color w:val="1155cc"/>
            <w:u w:val="single"/>
            <w:rtl w:val="0"/>
          </w:rPr>
          <w:t xml:space="preserve">and What We’ve Learned from the Field</w:t>
        </w:r>
      </w:hyperlink>
      <w:r w:rsidDel="00000000" w:rsidR="00000000" w:rsidRPr="00000000">
        <w:rPr>
          <w:b w:val="1"/>
          <w:rtl w:val="0"/>
        </w:rPr>
        <w:br w:type="textWrapping"/>
      </w:r>
    </w:p>
    <w:p w:rsidR="00000000" w:rsidDel="00000000" w:rsidP="00000000" w:rsidRDefault="00000000" w:rsidRPr="00000000" w14:paraId="00000020">
      <w:pPr>
        <w:tabs>
          <w:tab w:val="left" w:leader="none" w:pos="555"/>
        </w:tabs>
        <w:spacing w:line="240" w:lineRule="auto"/>
        <w:ind w:left="2267.716535433071" w:hanging="1700.7874015748032"/>
        <w:rPr/>
      </w:pPr>
      <w:r w:rsidDel="00000000" w:rsidR="00000000" w:rsidRPr="00000000">
        <w:rPr>
          <w:b w:val="1"/>
          <w:rtl w:val="0"/>
        </w:rPr>
        <w:t xml:space="preserve">Contributors: </w:t>
        <w:tab/>
      </w:r>
      <w:r w:rsidDel="00000000" w:rsidR="00000000" w:rsidRPr="00000000">
        <w:rPr>
          <w:rtl w:val="0"/>
        </w:rPr>
        <w:t xml:space="preserve">Sarah Carney, Chief Technical Officer, Enterprise Commercial, Microsoft</w:t>
      </w:r>
    </w:p>
    <w:p w:rsidR="00000000" w:rsidDel="00000000" w:rsidP="00000000" w:rsidRDefault="00000000" w:rsidRPr="00000000" w14:paraId="00000021">
      <w:pPr>
        <w:tabs>
          <w:tab w:val="left" w:leader="none" w:pos="2267.716535433071"/>
        </w:tabs>
        <w:spacing w:line="240" w:lineRule="auto"/>
        <w:ind w:left="540" w:firstLine="0"/>
        <w:rPr>
          <w:b w:val="1"/>
        </w:rPr>
      </w:pPr>
      <w:r w:rsidDel="00000000" w:rsidR="00000000" w:rsidRPr="00000000">
        <w:rPr>
          <w:rtl w:val="0"/>
        </w:rPr>
      </w:r>
    </w:p>
    <w:p w:rsidR="00000000" w:rsidDel="00000000" w:rsidP="00000000" w:rsidRDefault="00000000" w:rsidRPr="00000000" w14:paraId="00000022">
      <w:pPr>
        <w:tabs>
          <w:tab w:val="left" w:leader="none" w:pos="2267.716535433071"/>
        </w:tabs>
        <w:spacing w:line="240" w:lineRule="auto"/>
        <w:ind w:left="540" w:firstLine="0"/>
        <w:rPr/>
      </w:pPr>
      <w:r w:rsidDel="00000000" w:rsidR="00000000" w:rsidRPr="00000000">
        <w:rPr>
          <w:rtl w:val="0"/>
        </w:rPr>
      </w:r>
    </w:p>
    <w:p w:rsidR="00000000" w:rsidDel="00000000" w:rsidP="00000000" w:rsidRDefault="00000000" w:rsidRPr="00000000" w14:paraId="00000023">
      <w:pPr>
        <w:numPr>
          <w:ilvl w:val="0"/>
          <w:numId w:val="1"/>
        </w:numPr>
        <w:tabs>
          <w:tab w:val="left" w:leader="none" w:pos="2267.716535433071"/>
        </w:tabs>
        <w:spacing w:line="240" w:lineRule="auto"/>
        <w:ind w:left="566.9291338582675" w:hanging="360"/>
        <w:rPr>
          <w:b w:val="1"/>
          <w:u w:val="none"/>
        </w:rPr>
      </w:pPr>
      <w:r w:rsidDel="00000000" w:rsidR="00000000" w:rsidRPr="00000000">
        <w:rPr>
          <w:b w:val="1"/>
          <w:rtl w:val="0"/>
        </w:rPr>
        <w:t xml:space="preserve">Topic:</w:t>
        <w:tab/>
      </w:r>
      <w:hyperlink r:id="rId10">
        <w:r w:rsidDel="00000000" w:rsidR="00000000" w:rsidRPr="00000000">
          <w:rPr>
            <w:b w:val="1"/>
            <w:color w:val="1155cc"/>
            <w:u w:val="single"/>
            <w:rtl w:val="0"/>
          </w:rPr>
          <w:t xml:space="preserve">GenAI Investment Trends</w:t>
        </w:r>
      </w:hyperlink>
      <w:r w:rsidDel="00000000" w:rsidR="00000000" w:rsidRPr="00000000">
        <w:rPr>
          <w:rtl w:val="0"/>
        </w:rPr>
      </w:r>
    </w:p>
    <w:p w:rsidR="00000000" w:rsidDel="00000000" w:rsidP="00000000" w:rsidRDefault="00000000" w:rsidRPr="00000000" w14:paraId="00000024">
      <w:pPr>
        <w:tabs>
          <w:tab w:val="left" w:leader="none" w:pos="2267.716535433071"/>
        </w:tabs>
        <w:spacing w:line="240" w:lineRule="auto"/>
        <w:ind w:left="540" w:firstLine="0"/>
        <w:rPr>
          <w:b w:val="1"/>
        </w:rPr>
      </w:pPr>
      <w:r w:rsidDel="00000000" w:rsidR="00000000" w:rsidRPr="00000000">
        <w:rPr>
          <w:rtl w:val="0"/>
        </w:rPr>
      </w:r>
    </w:p>
    <w:p w:rsidR="00000000" w:rsidDel="00000000" w:rsidP="00000000" w:rsidRDefault="00000000" w:rsidRPr="00000000" w14:paraId="00000025">
      <w:pPr>
        <w:tabs>
          <w:tab w:val="left" w:leader="none" w:pos="2267.716535433071"/>
        </w:tabs>
        <w:spacing w:line="240" w:lineRule="auto"/>
        <w:ind w:left="540" w:firstLine="0"/>
        <w:rPr>
          <w:b w:val="1"/>
        </w:rPr>
      </w:pPr>
      <w:r w:rsidDel="00000000" w:rsidR="00000000" w:rsidRPr="00000000">
        <w:rPr>
          <w:b w:val="1"/>
          <w:rtl w:val="0"/>
        </w:rPr>
        <w:t xml:space="preserve">Contributor:</w:t>
        <w:tab/>
      </w:r>
      <w:r w:rsidDel="00000000" w:rsidR="00000000" w:rsidRPr="00000000">
        <w:rPr>
          <w:rtl w:val="0"/>
        </w:rPr>
        <w:t xml:space="preserve">Jonathan Lin, Partner, Andra Capital, National Taiwan University</w:t>
        <w:br w:type="textWrapping"/>
      </w:r>
      <w:r w:rsidDel="00000000" w:rsidR="00000000" w:rsidRPr="00000000">
        <w:rPr>
          <w:rtl w:val="0"/>
        </w:rPr>
      </w:r>
    </w:p>
    <w:p w:rsidR="00000000" w:rsidDel="00000000" w:rsidP="00000000" w:rsidRDefault="00000000" w:rsidRPr="00000000" w14:paraId="00000026">
      <w:pPr>
        <w:tabs>
          <w:tab w:val="left" w:leader="none" w:pos="2267.716535433071"/>
        </w:tabs>
        <w:spacing w:line="240" w:lineRule="auto"/>
        <w:ind w:left="540" w:firstLine="0"/>
        <w:rPr>
          <w:b w:val="1"/>
        </w:rPr>
      </w:pPr>
      <w:r w:rsidDel="00000000" w:rsidR="00000000" w:rsidRPr="00000000">
        <w:rPr>
          <w:b w:val="1"/>
          <w:rtl w:val="0"/>
        </w:rPr>
        <w:t xml:space="preserve">Topic:</w:t>
        <w:tab/>
      </w:r>
      <w:hyperlink r:id="rId11">
        <w:r w:rsidDel="00000000" w:rsidR="00000000" w:rsidRPr="00000000">
          <w:rPr>
            <w:b w:val="1"/>
            <w:color w:val="1155cc"/>
            <w:u w:val="single"/>
            <w:rtl w:val="0"/>
          </w:rPr>
          <w:t xml:space="preserve">GenAI in Science</w:t>
        </w:r>
      </w:hyperlink>
      <w:r w:rsidDel="00000000" w:rsidR="00000000" w:rsidRPr="00000000">
        <w:rPr>
          <w:b w:val="1"/>
          <w:rtl w:val="0"/>
        </w:rPr>
        <w:br w:type="textWrapping"/>
      </w:r>
    </w:p>
    <w:p w:rsidR="00000000" w:rsidDel="00000000" w:rsidP="00000000" w:rsidRDefault="00000000" w:rsidRPr="00000000" w14:paraId="00000027">
      <w:pPr>
        <w:spacing w:line="240" w:lineRule="auto"/>
        <w:ind w:left="2267.716535433071" w:hanging="1700.7874015748032"/>
        <w:rPr>
          <w:b w:val="1"/>
        </w:rPr>
      </w:pPr>
      <w:r w:rsidDel="00000000" w:rsidR="00000000" w:rsidRPr="00000000">
        <w:rPr>
          <w:b w:val="1"/>
          <w:rtl w:val="0"/>
        </w:rPr>
        <w:t xml:space="preserve">Contributors:</w:t>
        <w:tab/>
      </w:r>
      <w:r w:rsidDel="00000000" w:rsidR="00000000" w:rsidRPr="00000000">
        <w:rPr>
          <w:rtl w:val="0"/>
        </w:rPr>
        <w:t xml:space="preserve">Ingo Weber, Director of Digital Transformation &amp; IT Infrastructure, Fraunhofer</w:t>
      </w:r>
      <w:r w:rsidDel="00000000" w:rsidR="00000000" w:rsidRPr="00000000">
        <w:rPr>
          <w:rtl w:val="0"/>
        </w:rPr>
      </w:r>
    </w:p>
    <w:p w:rsidR="00000000" w:rsidDel="00000000" w:rsidP="00000000" w:rsidRDefault="00000000" w:rsidRPr="00000000" w14:paraId="00000028">
      <w:pPr>
        <w:tabs>
          <w:tab w:val="left" w:leader="none" w:pos="2267.716535433071"/>
        </w:tabs>
        <w:rPr>
          <w:b w:val="1"/>
        </w:rPr>
      </w:pPr>
      <w:r w:rsidDel="00000000" w:rsidR="00000000" w:rsidRPr="00000000">
        <w:rPr>
          <w:rtl w:val="0"/>
        </w:rPr>
      </w:r>
    </w:p>
    <w:p w:rsidR="00000000" w:rsidDel="00000000" w:rsidP="00000000" w:rsidRDefault="00000000" w:rsidRPr="00000000" w14:paraId="00000029">
      <w:pPr>
        <w:numPr>
          <w:ilvl w:val="0"/>
          <w:numId w:val="5"/>
        </w:numPr>
        <w:tabs>
          <w:tab w:val="left" w:leader="none" w:pos="2267.716535433071"/>
        </w:tabs>
        <w:spacing w:line="240" w:lineRule="auto"/>
        <w:ind w:left="540" w:hanging="360"/>
        <w:rPr>
          <w:b w:val="1"/>
        </w:rPr>
      </w:pPr>
      <w:r w:rsidDel="00000000" w:rsidR="00000000" w:rsidRPr="00000000">
        <w:rPr>
          <w:b w:val="1"/>
          <w:rtl w:val="0"/>
        </w:rPr>
        <w:t xml:space="preserve">Topic:</w:t>
        <w:tab/>
      </w:r>
      <w:hyperlink r:id="rId12">
        <w:r w:rsidDel="00000000" w:rsidR="00000000" w:rsidRPr="00000000">
          <w:rPr>
            <w:b w:val="1"/>
            <w:color w:val="1155cc"/>
            <w:u w:val="single"/>
            <w:rtl w:val="0"/>
          </w:rPr>
          <w:t xml:space="preserve">Panel: Future of GenAI</w:t>
        </w:r>
      </w:hyperlink>
      <w:r w:rsidDel="00000000" w:rsidR="00000000" w:rsidRPr="00000000">
        <w:rPr>
          <w:b w:val="1"/>
          <w:rtl w:val="0"/>
        </w:rPr>
        <w:br w:type="textWrapping"/>
      </w:r>
    </w:p>
    <w:p w:rsidR="00000000" w:rsidDel="00000000" w:rsidP="00000000" w:rsidRDefault="00000000" w:rsidRPr="00000000" w14:paraId="0000002A">
      <w:pPr>
        <w:spacing w:line="240" w:lineRule="auto"/>
        <w:ind w:left="2267.716535433071" w:hanging="1700.7874015748032"/>
        <w:jc w:val="both"/>
        <w:rPr/>
      </w:pPr>
      <w:r w:rsidDel="00000000" w:rsidR="00000000" w:rsidRPr="00000000">
        <w:rPr>
          <w:b w:val="1"/>
          <w:rtl w:val="0"/>
        </w:rPr>
        <w:t xml:space="preserve">Contributors:</w:t>
      </w:r>
      <w:r w:rsidDel="00000000" w:rsidR="00000000" w:rsidRPr="00000000">
        <w:rPr>
          <w:rtl w:val="0"/>
        </w:rPr>
        <w:tab/>
        <w:t xml:space="preserve">Sarah Carney, Chief Technical Officer, Enterprise Commercial, Microsoft; Jonathan Lin, Partner, Andra Capital, National Taiwan University</w:t>
      </w:r>
      <w:r w:rsidDel="00000000" w:rsidR="00000000" w:rsidRPr="00000000">
        <w:rPr>
          <w:b w:val="1"/>
          <w:rtl w:val="0"/>
        </w:rPr>
        <w:t xml:space="preserve">; </w:t>
      </w:r>
      <w:r w:rsidDel="00000000" w:rsidR="00000000" w:rsidRPr="00000000">
        <w:rPr>
          <w:rtl w:val="0"/>
        </w:rPr>
        <w:t xml:space="preserve">Ingo Weber, Director of Digital Transformation &amp; IT Infrastructure at Fraunhofer; Lam Kwok Yan, Associate Vice President, President’s Office, Professor, Nanyang Technological University; Qinghua Lu, Science Lead, Responsible, AI and Principal Research Scientist at Data61, CSIRO</w:t>
      </w:r>
    </w:p>
    <w:p w:rsidR="00000000" w:rsidDel="00000000" w:rsidP="00000000" w:rsidRDefault="00000000" w:rsidRPr="00000000" w14:paraId="0000002B">
      <w:pPr>
        <w:tabs>
          <w:tab w:val="left" w:leader="none" w:pos="2267.716535433071"/>
        </w:tabs>
        <w:spacing w:line="240" w:lineRule="auto"/>
        <w:ind w:left="540" w:firstLine="0"/>
        <w:rPr>
          <w:b w:val="1"/>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For full information about this year’s Business &amp; Innovation Symposium program, please visit </w:t>
      </w:r>
      <w:hyperlink r:id="rId13">
        <w:r w:rsidDel="00000000" w:rsidR="00000000" w:rsidRPr="00000000">
          <w:rPr>
            <w:color w:val="1155cc"/>
            <w:u w:val="single"/>
            <w:rtl w:val="0"/>
          </w:rPr>
          <w:t xml:space="preserve">https://asia.siggraph.org/2023/attend/business-innovation-symposium/</w:t>
        </w:r>
      </w:hyperlink>
      <w:r w:rsidDel="00000000" w:rsidR="00000000" w:rsidRPr="00000000">
        <w:rPr>
          <w:rtl w:val="0"/>
        </w:rPr>
        <w:t xml:space="preserve"> </w:t>
        <w:br w:type="textWrapping"/>
      </w:r>
    </w:p>
    <w:p w:rsidR="00000000" w:rsidDel="00000000" w:rsidP="00000000" w:rsidRDefault="00000000" w:rsidRPr="00000000" w14:paraId="0000002E">
      <w:pPr>
        <w:spacing w:after="200" w:lineRule="auto"/>
        <w:rPr/>
      </w:pPr>
      <w:r w:rsidDel="00000000" w:rsidR="00000000" w:rsidRPr="00000000">
        <w:rPr>
          <w:rtl w:val="0"/>
        </w:rPr>
        <w:t xml:space="preserve">For the overall SIGGRAPH Asia 2023 program schedule, please visit </w:t>
      </w:r>
      <w:hyperlink r:id="rId14">
        <w:r w:rsidDel="00000000" w:rsidR="00000000" w:rsidRPr="00000000">
          <w:rPr>
            <w:color w:val="0000ff"/>
            <w:u w:val="single"/>
            <w:rtl w:val="0"/>
          </w:rPr>
          <w:t xml:space="preserve">https://asia.siggraph.org/2023/full-program/</w:t>
        </w:r>
      </w:hyperlink>
      <w:r w:rsidDel="00000000" w:rsidR="00000000" w:rsidRPr="00000000">
        <w:rPr>
          <w:rtl w:val="0"/>
        </w:rPr>
        <w:t xml:space="preserve">  </w:t>
      </w:r>
      <w:r w:rsidDel="00000000" w:rsidR="00000000" w:rsidRPr="00000000">
        <w:rPr>
          <w:rtl w:val="0"/>
        </w:rPr>
      </w:r>
    </w:p>
    <w:sectPr>
      <w:headerReference r:id="rId15" w:type="default"/>
      <w:footerReference r:id="rId1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-962023</wp:posOffset>
          </wp:positionH>
          <wp:positionV relativeFrom="paragraph">
            <wp:posOffset>-457197</wp:posOffset>
          </wp:positionV>
          <wp:extent cx="7753350" cy="1550670"/>
          <wp:effectExtent b="0" l="0" r="0" t="0"/>
          <wp:wrapTopAndBottom distB="0" distT="0"/>
          <wp:docPr descr="Text&#10;&#10;Description automatically generated" id="1" name="image1.png"/>
          <a:graphic>
            <a:graphicData uri="http://schemas.openxmlformats.org/drawingml/2006/picture">
              <pic:pic>
                <pic:nvPicPr>
                  <pic:cNvPr descr="Text&#10;&#10;Description automatically generated" id="0" name="image1.png"/>
                  <pic:cNvPicPr preferRelativeResize="0"/>
                </pic:nvPicPr>
                <pic:blipFill>
                  <a:blip r:embed="rId1"/>
                  <a:srcRect b="0" l="0" r="0" t="0"/>
                  <a:stretch>
                    <a:fillRect/>
                  </a:stretch>
                </pic:blipFill>
                <pic:spPr>
                  <a:xfrm>
                    <a:off x="0" y="0"/>
                    <a:ext cx="7753350" cy="15506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800" w:hanging="400"/>
      </w:pPr>
      <w:rPr>
        <w:rFonts w:ascii="Noto Sans Symbols" w:cs="Noto Sans Symbols" w:eastAsia="Noto Sans Symbols" w:hAnsi="Noto Sans Symbols"/>
      </w:rPr>
    </w:lvl>
    <w:lvl w:ilvl="1">
      <w:start w:val="1"/>
      <w:numFmt w:val="bullet"/>
      <w:lvlText w:val="■"/>
      <w:lvlJc w:val="left"/>
      <w:pPr>
        <w:ind w:left="1200" w:hanging="400"/>
      </w:pPr>
      <w:rPr>
        <w:rFonts w:ascii="Noto Sans Symbols" w:cs="Noto Sans Symbols" w:eastAsia="Noto Sans Symbols" w:hAnsi="Noto Sans Symbols"/>
      </w:rPr>
    </w:lvl>
    <w:lvl w:ilvl="2">
      <w:start w:val="1"/>
      <w:numFmt w:val="bullet"/>
      <w:lvlText w:val="◆"/>
      <w:lvlJc w:val="left"/>
      <w:pPr>
        <w:ind w:left="1600" w:hanging="400"/>
      </w:pPr>
      <w:rPr>
        <w:rFonts w:ascii="Noto Sans Symbols" w:cs="Noto Sans Symbols" w:eastAsia="Noto Sans Symbols" w:hAnsi="Noto Sans Symbols"/>
      </w:rPr>
    </w:lvl>
    <w:lvl w:ilvl="3">
      <w:start w:val="1"/>
      <w:numFmt w:val="bullet"/>
      <w:lvlText w:val="●"/>
      <w:lvlJc w:val="left"/>
      <w:pPr>
        <w:ind w:left="2000" w:hanging="400"/>
      </w:pPr>
      <w:rPr>
        <w:rFonts w:ascii="Noto Sans Symbols" w:cs="Noto Sans Symbols" w:eastAsia="Noto Sans Symbols" w:hAnsi="Noto Sans Symbols"/>
      </w:rPr>
    </w:lvl>
    <w:lvl w:ilvl="4">
      <w:start w:val="1"/>
      <w:numFmt w:val="bullet"/>
      <w:lvlText w:val="■"/>
      <w:lvlJc w:val="left"/>
      <w:pPr>
        <w:ind w:left="2400" w:hanging="400"/>
      </w:pPr>
      <w:rPr>
        <w:rFonts w:ascii="Noto Sans Symbols" w:cs="Noto Sans Symbols" w:eastAsia="Noto Sans Symbols" w:hAnsi="Noto Sans Symbols"/>
      </w:rPr>
    </w:lvl>
    <w:lvl w:ilvl="5">
      <w:start w:val="1"/>
      <w:numFmt w:val="bullet"/>
      <w:lvlText w:val="◆"/>
      <w:lvlJc w:val="left"/>
      <w:pPr>
        <w:ind w:left="2800" w:hanging="400"/>
      </w:pPr>
      <w:rPr>
        <w:rFonts w:ascii="Noto Sans Symbols" w:cs="Noto Sans Symbols" w:eastAsia="Noto Sans Symbols" w:hAnsi="Noto Sans Symbols"/>
      </w:rPr>
    </w:lvl>
    <w:lvl w:ilvl="6">
      <w:start w:val="1"/>
      <w:numFmt w:val="bullet"/>
      <w:lvlText w:val="●"/>
      <w:lvlJc w:val="left"/>
      <w:pPr>
        <w:ind w:left="3200" w:hanging="400"/>
      </w:pPr>
      <w:rPr>
        <w:rFonts w:ascii="Noto Sans Symbols" w:cs="Noto Sans Symbols" w:eastAsia="Noto Sans Symbols" w:hAnsi="Noto Sans Symbols"/>
      </w:rPr>
    </w:lvl>
    <w:lvl w:ilvl="7">
      <w:start w:val="1"/>
      <w:numFmt w:val="bullet"/>
      <w:lvlText w:val="■"/>
      <w:lvlJc w:val="left"/>
      <w:pPr>
        <w:ind w:left="3600" w:hanging="400"/>
      </w:pPr>
      <w:rPr>
        <w:rFonts w:ascii="Noto Sans Symbols" w:cs="Noto Sans Symbols" w:eastAsia="Noto Sans Symbols" w:hAnsi="Noto Sans Symbols"/>
      </w:rPr>
    </w:lvl>
    <w:lvl w:ilvl="8">
      <w:start w:val="1"/>
      <w:numFmt w:val="bullet"/>
      <w:lvlText w:val="◆"/>
      <w:lvlJc w:val="left"/>
      <w:pPr>
        <w:ind w:left="4000" w:hanging="40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54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asia.siggraph.org/2023/presentation/?id=gp_123&amp;sess=sess203" TargetMode="External"/><Relationship Id="rId10" Type="http://schemas.openxmlformats.org/officeDocument/2006/relationships/hyperlink" Target="https://asia.siggraph.org/2023/presentation/?id=gp_121&amp;sess=sess203" TargetMode="External"/><Relationship Id="rId13" Type="http://schemas.openxmlformats.org/officeDocument/2006/relationships/hyperlink" Target="https://asia.siggraph.org/2023/attend/business-innovation-symposium/" TargetMode="External"/><Relationship Id="rId12" Type="http://schemas.openxmlformats.org/officeDocument/2006/relationships/hyperlink" Target="https://asia.siggraph.org/2023/presentation/?id=gp_101&amp;sess=sess20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ia.siggraph.org/2023/presentation/?id=gp_120&amp;sess=sess203" TargetMode="External"/><Relationship Id="rId15" Type="http://schemas.openxmlformats.org/officeDocument/2006/relationships/header" Target="header1.xml"/><Relationship Id="rId14" Type="http://schemas.openxmlformats.org/officeDocument/2006/relationships/hyperlink" Target="https://asia.siggraph.org/2023/full-program/"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sia.siggraph.org/2023/session/?sess=sess203" TargetMode="External"/><Relationship Id="rId8" Type="http://schemas.openxmlformats.org/officeDocument/2006/relationships/hyperlink" Target="https://asia.siggraph.org/2023/presentation/?id=gp_120&amp;sess=sess20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QS4W9Ed3I4iNpVFUlvVeEMQLNQ==">CgMxLjAyCGguZ2pkZ3hzOAByITFCcGdMM0FzOVlLT0FOemt6aEkwVzFELTZGM002Z04tNA==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9ccbd12fccb62fd2f6d90576abc53c58a3189b115ce2e129c29a61812f0d9c4b</vt:lpwstr>
  </property>
</Properties>
</file>