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37614C" w14:textId="77777777" w:rsidR="00DD33BA" w:rsidRDefault="00000000">
      <w:pPr>
        <w:spacing w:before="2800" w:after="120"/>
        <w:jc w:val="center"/>
      </w:pPr>
      <w:r>
        <w:rPr>
          <w:b/>
          <w:sz w:val="32"/>
        </w:rPr>
        <w:t>Markets Begin Before the Market</w:t>
      </w:r>
    </w:p>
    <w:p w14:paraId="5B9C5954" w14:textId="77777777" w:rsidR="00DD33BA" w:rsidRDefault="00000000">
      <w:pPr>
        <w:spacing w:after="720"/>
        <w:jc w:val="center"/>
      </w:pPr>
      <w:r>
        <w:rPr>
          <w:i/>
        </w:rPr>
        <w:t>Networks, Admission, and Human Connection in the Age of AI</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944"/>
        <w:gridCol w:w="6696"/>
      </w:tblGrid>
      <w:tr w:rsidR="00DD33BA" w14:paraId="7EEBFE38" w14:textId="77777777">
        <w:trPr>
          <w:jc w:val="center"/>
        </w:trPr>
        <w:tc>
          <w:tcPr>
            <w:tcW w:w="1944" w:type="dxa"/>
            <w:tcMar>
              <w:top w:w="80" w:type="dxa"/>
              <w:left w:w="120" w:type="dxa"/>
              <w:bottom w:w="80" w:type="dxa"/>
              <w:right w:w="120" w:type="dxa"/>
            </w:tcMar>
          </w:tcPr>
          <w:p w14:paraId="181BD89D" w14:textId="77777777" w:rsidR="00DD33BA" w:rsidRDefault="00000000">
            <w:r>
              <w:rPr>
                <w:b/>
              </w:rPr>
              <w:t>Author</w:t>
            </w:r>
          </w:p>
        </w:tc>
        <w:tc>
          <w:tcPr>
            <w:tcW w:w="6696" w:type="dxa"/>
            <w:tcMar>
              <w:top w:w="80" w:type="dxa"/>
              <w:left w:w="120" w:type="dxa"/>
              <w:bottom w:w="80" w:type="dxa"/>
              <w:right w:w="120" w:type="dxa"/>
            </w:tcMar>
          </w:tcPr>
          <w:p w14:paraId="7F51C47D" w14:textId="38E76DB6" w:rsidR="00DD33BA" w:rsidRDefault="00BB3C56">
            <w:proofErr w:type="spellStart"/>
            <w:r w:rsidRPr="00BB3C56">
              <w:t>Nianzhi</w:t>
            </w:r>
            <w:proofErr w:type="spellEnd"/>
            <w:r w:rsidRPr="00BB3C56">
              <w:t xml:space="preserve"> Yu</w:t>
            </w:r>
          </w:p>
        </w:tc>
      </w:tr>
      <w:tr w:rsidR="00DD33BA" w14:paraId="01868915" w14:textId="77777777">
        <w:trPr>
          <w:jc w:val="center"/>
        </w:trPr>
        <w:tc>
          <w:tcPr>
            <w:tcW w:w="1944" w:type="dxa"/>
            <w:tcMar>
              <w:top w:w="80" w:type="dxa"/>
              <w:left w:w="120" w:type="dxa"/>
              <w:bottom w:w="80" w:type="dxa"/>
              <w:right w:w="120" w:type="dxa"/>
            </w:tcMar>
          </w:tcPr>
          <w:p w14:paraId="3E84B27D" w14:textId="77777777" w:rsidR="00DD33BA" w:rsidRDefault="00000000">
            <w:r>
              <w:rPr>
                <w:b/>
              </w:rPr>
              <w:t>School</w:t>
            </w:r>
          </w:p>
        </w:tc>
        <w:tc>
          <w:tcPr>
            <w:tcW w:w="6696" w:type="dxa"/>
            <w:tcMar>
              <w:top w:w="80" w:type="dxa"/>
              <w:left w:w="120" w:type="dxa"/>
              <w:bottom w:w="80" w:type="dxa"/>
              <w:right w:w="120" w:type="dxa"/>
            </w:tcMar>
          </w:tcPr>
          <w:p w14:paraId="03C040E7" w14:textId="0822ACF6" w:rsidR="00DD33BA" w:rsidRDefault="00BB3C56">
            <w:r w:rsidRPr="00BB3C56">
              <w:t>RGS Guildford Nanjing‌</w:t>
            </w:r>
          </w:p>
        </w:tc>
      </w:tr>
      <w:tr w:rsidR="00DD33BA" w14:paraId="238D3F92" w14:textId="77777777">
        <w:trPr>
          <w:jc w:val="center"/>
        </w:trPr>
        <w:tc>
          <w:tcPr>
            <w:tcW w:w="1944" w:type="dxa"/>
            <w:tcMar>
              <w:top w:w="80" w:type="dxa"/>
              <w:left w:w="120" w:type="dxa"/>
              <w:bottom w:w="80" w:type="dxa"/>
              <w:right w:w="120" w:type="dxa"/>
            </w:tcMar>
          </w:tcPr>
          <w:p w14:paraId="21458FB8" w14:textId="77777777" w:rsidR="00DD33BA" w:rsidRDefault="00000000">
            <w:r>
              <w:rPr>
                <w:b/>
              </w:rPr>
              <w:t>Grade</w:t>
            </w:r>
          </w:p>
        </w:tc>
        <w:tc>
          <w:tcPr>
            <w:tcW w:w="6696" w:type="dxa"/>
            <w:tcMar>
              <w:top w:w="80" w:type="dxa"/>
              <w:left w:w="120" w:type="dxa"/>
              <w:bottom w:w="80" w:type="dxa"/>
              <w:right w:w="120" w:type="dxa"/>
            </w:tcMar>
          </w:tcPr>
          <w:p w14:paraId="04A75C51" w14:textId="77777777" w:rsidR="00DD33BA" w:rsidRDefault="00000000">
            <w:r>
              <w:t>12</w:t>
            </w:r>
          </w:p>
        </w:tc>
      </w:tr>
      <w:tr w:rsidR="00DD33BA" w14:paraId="09D5110E" w14:textId="77777777">
        <w:trPr>
          <w:jc w:val="center"/>
        </w:trPr>
        <w:tc>
          <w:tcPr>
            <w:tcW w:w="1944" w:type="dxa"/>
            <w:tcMar>
              <w:top w:w="80" w:type="dxa"/>
              <w:left w:w="120" w:type="dxa"/>
              <w:bottom w:w="80" w:type="dxa"/>
              <w:right w:w="120" w:type="dxa"/>
            </w:tcMar>
          </w:tcPr>
          <w:p w14:paraId="7CCC7F57" w14:textId="77777777" w:rsidR="00DD33BA" w:rsidRDefault="00000000">
            <w:r>
              <w:rPr>
                <w:b/>
              </w:rPr>
              <w:t>Academic interest</w:t>
            </w:r>
          </w:p>
        </w:tc>
        <w:tc>
          <w:tcPr>
            <w:tcW w:w="6696" w:type="dxa"/>
            <w:tcMar>
              <w:top w:w="80" w:type="dxa"/>
              <w:left w:w="120" w:type="dxa"/>
              <w:bottom w:w="80" w:type="dxa"/>
              <w:right w:w="120" w:type="dxa"/>
            </w:tcMar>
          </w:tcPr>
          <w:p w14:paraId="4C3E371C" w14:textId="77777777" w:rsidR="00DD33BA" w:rsidRDefault="00000000">
            <w:r>
              <w:t>Economics; extracurricular exploration in economics-related topics</w:t>
            </w:r>
          </w:p>
        </w:tc>
      </w:tr>
    </w:tbl>
    <w:p w14:paraId="575CB294" w14:textId="77777777" w:rsidR="00DD33BA" w:rsidRDefault="00000000">
      <w:r>
        <w:br w:type="page"/>
      </w:r>
    </w:p>
    <w:p w14:paraId="1A3BB1D5" w14:textId="77777777" w:rsidR="00DD33BA" w:rsidRDefault="00000000">
      <w:pPr>
        <w:jc w:val="center"/>
      </w:pPr>
      <w:r>
        <w:rPr>
          <w:b/>
        </w:rPr>
        <w:lastRenderedPageBreak/>
        <w:t>Abstract</w:t>
      </w:r>
    </w:p>
    <w:p w14:paraId="7F21F897" w14:textId="77777777" w:rsidR="00DD33BA" w:rsidRDefault="00000000">
      <w:r>
        <w:t>Markets are often treated as the primary arena of economic life and networks as the social infrastructure around them. That order is misleading. A price can allocate only after an offer, worker, firm, or idea has become visible enough to enter comparison. Networks therefore shape modern economies not merely by transmitting information or trust, but by defining the prior boundary of participation: who is searchable, recognisable, and connected to a possible buyer or employer. Digital platforms make this power explicit, while artificial intelligence makes it faster and less visible. AI can genuinely lower entry costs for people who lack language, training, or conventional credentials, and it can replace human contact in routine matching. Yet prediction also tends to reproduce the categories and histories from which it learns. The economic value of human connection will consequently decline in repetitive coordination but rise at the boundary where unfamiliar capabilities, exceptions, and cross-network opportunities require recognition. The central economic question is not whether markets will defeat networks, but who will control admission to the market that prices can see.</w:t>
      </w:r>
    </w:p>
    <w:p w14:paraId="554AAC3E" w14:textId="77777777" w:rsidR="00DD33BA" w:rsidRDefault="00000000">
      <w:r>
        <w:br w:type="page"/>
      </w:r>
    </w:p>
    <w:p w14:paraId="2CBEBC3D" w14:textId="77777777" w:rsidR="00DD33BA" w:rsidRDefault="00000000">
      <w:pPr>
        <w:jc w:val="center"/>
      </w:pPr>
      <w:r>
        <w:rPr>
          <w:b/>
        </w:rPr>
        <w:lastRenderedPageBreak/>
        <w:t>Markets Begin Before the Market</w:t>
      </w:r>
    </w:p>
    <w:p w14:paraId="2C483159" w14:textId="77777777" w:rsidR="00DD33BA" w:rsidRDefault="00000000">
      <w:pPr>
        <w:ind w:firstLine="720"/>
      </w:pPr>
      <w:r>
        <w:t>A market can price an applicant only after the applicant has become an offer. Before that moment, price is silent. A person may possess useful skills, a small firm may produce a better component, or an idea may solve a problem, yet none can be compared if no buyer, employer, lender, or platform allows it into view. That prior act of admission is where networks enter economics in their strongest form. Networks do not merely move information around an otherwise complete market; they help decide whose information becomes an offer, whose history counts as evidence, and which differences are treated as noise. Modern economies are therefore markets over a network-defined field of participation. Artificial intelligence will make routine matching cheaper and more impersonal, but it will not make human connection uniformly less valuable. It will reduce the price of being connected while raising the scarcity value of relationships that open closed networks, interpret exceptions, and confer permission to be taken seriously.</w:t>
      </w:r>
    </w:p>
    <w:p w14:paraId="6899FE38" w14:textId="77777777" w:rsidR="00DD33BA" w:rsidRDefault="00000000">
      <w:pPr>
        <w:ind w:firstLine="720"/>
      </w:pPr>
      <w:r>
        <w:t xml:space="preserve">The market-first answer deserves to be taken seriously. Prices are powerful precisely because they do not require everyone to know everyone. They coordinate dispersed decisions without asking a central authority to understand every preference or production method. Where exchange can be specified and alternatives compared, replacing personal dependence with contract expands the circle of potential partners. The firm itself is not a rejection of this logic but a response to its cost: when repeated bargaining and contracting become too expensive, authority coordinates activity inside an organisation (Coase 1937). Governance is chosen according to the costs of transacting, not according to a romantic preference for either markets or relationships (Williamson 1979). On this account, networks seem like a residue. As search engines, payment </w:t>
      </w:r>
      <w:r>
        <w:lastRenderedPageBreak/>
        <w:t>systems, and contracts improve, personal connections should recede because strangers can exchange with less friction.</w:t>
      </w:r>
    </w:p>
    <w:p w14:paraId="76BA90D8" w14:textId="77777777" w:rsidR="00DD33BA" w:rsidRDefault="00000000">
      <w:pPr>
        <w:ind w:firstLine="720"/>
      </w:pPr>
      <w:r>
        <w:t>That reasoning quietly assumes that the market has already solved its hardest problem: identifying the objects and participants to be compared. It has not. A price can rank two visible offers, but it cannot by itself make an unrecognised offer visible. A job applicant who is never shown a vacancy, a supplier excluded from a buyer’s shortlist, and a borrower screened out before an interest rate is quoted are not receiving a low market price; they are encountering a pre-market boundary. Network structure affects learning, diffusion, decisions, and behaviour because position changes the opportunities available to an actor before the actor chooses among them (Jackson, Rogers, and Zenou 2017). The relevant economic resource is consequently not only a connection, but a connection that crosses a boundary. A broker occupying a structural hole can join otherwise separated pools of information and resources, turning disconnection into an advantage (Burt 1992). The network’s first economic function is admission.</w:t>
      </w:r>
    </w:p>
    <w:p w14:paraId="6E539AE3" w14:textId="77777777" w:rsidR="00DD33BA" w:rsidRDefault="00000000">
      <w:pPr>
        <w:ind w:firstLine="720"/>
      </w:pPr>
      <w:r>
        <w:t xml:space="preserve">Digital platforms make this boundary visible while pretending to remove it. A two-sided platform does not simply host buyers and sellers; it designs the terms under which each side can find the other, and it may subsidise one side to attract the other (Rochet and Tirole 2003). Multi-sided platforms therefore exercise a form of market-making power: they determine categories, ranking, search order, and the conditions for participation (Hagiu and Wright 2015). The language of frictionless connection hides a sequence of choices. Which seller is searchable? Which buyer is considered valuable? Which behaviour is rewarded with greater exposure? A platform can increase the number of possible matches while narrowing the path by which a new participant becomes legible. Network power is not measured only by how many people are </w:t>
      </w:r>
      <w:r>
        <w:lastRenderedPageBreak/>
        <w:t>connected; it is also measured by how many economic futures remain unreachable from a given position.</w:t>
      </w:r>
    </w:p>
    <w:p w14:paraId="1869F060" w14:textId="77777777" w:rsidR="00DD33BA" w:rsidRDefault="00000000">
      <w:pPr>
        <w:ind w:firstLine="720"/>
      </w:pPr>
      <w:r>
        <w:t>The danger becomes clearest when an apparently neutral system optimises a narrow objective. In a field test of online advertising for STEM jobs, an ad intended to be gender-neutral was shown to fewer women because young women were more expensive for the platform to reach; cost-effectiveness redirected attention in a discriminatory direction (Lambrecht and Tucker 2019). No individual employer needed to announce a preference for men. The network’s allocation rule produced the outcome through a chain of prices, probabilities, and audience competition. Data-driven systems can reproduce disparate effects even when protected characteristics are absent, because historical patterns and seemingly innocent proxies carry inequality into the model (Barocas and Selbst 2016). Markets have not disappeared here. They have moved one step upstream, into the design of the mechanism that decides who will be present when market choice begins.</w:t>
      </w:r>
    </w:p>
    <w:p w14:paraId="33375ABB" w14:textId="77777777" w:rsidR="00DD33BA" w:rsidRDefault="00000000">
      <w:pPr>
        <w:ind w:firstLine="720"/>
      </w:pPr>
      <w:r>
        <w:t>Artificial intelligence appears to promise an escape from inherited networks. A student without a polished vocabulary can draft a proposal; a small supplier can translate its catalogue; a worker can learn a software tool without first finding a mentor. The promise is real. In a controlled experiment, generative AI reduced the time required for professional writing tasks by 40 percent while raising average quality by 18 percent (Noy and Zhang 2023). In customer support, an AI assistant increased issues resolved per hour by 15 percent, with especially large gains among less experienced workers (Brynjolfsson, Li, and Raymond 2023). These results matter economically because they show AI lowering the cost of entry into some forms of production. Human ties are less necessary when the task is repeatable, the output is inspectable, and the model can supply a credible bridge from limited experience to a usable performance.</w:t>
      </w:r>
    </w:p>
    <w:p w14:paraId="6DA09930" w14:textId="77777777" w:rsidR="00DD33BA" w:rsidRDefault="00000000">
      <w:pPr>
        <w:ind w:firstLine="720"/>
      </w:pPr>
      <w:r>
        <w:lastRenderedPageBreak/>
        <w:t>Yet an easier first performance is not the same as an open economic field. The system that helps a newcomer speak also determines the language in which the newcomer must speak. AI is trained on prior human activity, deployed through platforms with their own ranking incentives, and judged by feedback generated from past choices. It can widen access to a standard while making deviation harder to recognise. A model may help a new seller produce a familiar description, but it has no independent reason to value a product whose advantage lies outside familiar categories. The problem is not that algorithms contain human prejudice in a simple, deliberate sense. It is that prediction rewards continuity: what has been recognised before becomes easier to recognise again. Informational cascades already arise when people rationally follow visible choices while ignoring private information (Bikhchandani, Hirshleifer, and Welch 1992). AI can accelerate the cascade by making inherited visibility look like objective demand.</w:t>
      </w:r>
    </w:p>
    <w:p w14:paraId="4521BDCC" w14:textId="77777777" w:rsidR="00DD33BA" w:rsidRDefault="00000000">
      <w:pPr>
        <w:ind w:firstLine="720"/>
      </w:pPr>
      <w:r>
        <w:t>The economic consequences of automation also travel through geography and social structure. When industrial robots enter a local labour market, they do not merely remove particular tasks; they alter the routes by which workers gain experience, wages, and connections to future employers. Evidence from United States commuting zones finds that greater robot exposure reduced both employment and wages, with one additional robot per thousand workers associated with a 0.2-percentage-point fall in the employment-to-population ratio and a 0.42 percent wage decline (Acemoglu and Restrepo 2020). The result does not prove that every AI system will produce the same harm. It does show why an individual-level story about productivity is incomplete. A worker’s economic position depends on a network of local opportunities, and when one important bridge disappears, the loss can exceed the task that technology directly replaces.</w:t>
      </w:r>
    </w:p>
    <w:p w14:paraId="3A7B2296" w14:textId="77777777" w:rsidR="00DD33BA" w:rsidRDefault="00000000">
      <w:pPr>
        <w:ind w:firstLine="720"/>
      </w:pPr>
      <w:r>
        <w:lastRenderedPageBreak/>
        <w:t>There is an even sharper reason not to equate artificial intelligence with the end of relational economics: machines can become connected without becoming human. In repeated price competition, learning algorithms have been shown to reach supracompetitive prices without communicating directly, because each adapts to the other’s behaviour (Calvano et al. 2020). The example reverses the usual intuition. Economic interdependence does not require conversation, friendship, or mutual recognition; feedback can be enough. AI may therefore make human connection less important as a channel of coordination while making network architecture more important than ever. The decisive relationship may be between models, platforms, data flows, and users. A world with fewer human introductions can still be intensely networked—and potentially more concentrated—if the same systems control access on both sides of an exchange.</w:t>
      </w:r>
    </w:p>
    <w:p w14:paraId="20EAA86A" w14:textId="77777777" w:rsidR="00DD33BA" w:rsidRDefault="00000000">
      <w:pPr>
        <w:ind w:firstLine="720"/>
      </w:pPr>
      <w:r>
        <w:t>Human connection consequently has two different economic margins. On the routine margin, it is substitutable: search, translation, scheduling, drafting, and standardised evaluation can be automated, often with genuine gains for people previously excluded by language, distance, or lack of training. On the boundary margin, connection remains difficult to replace. Someone must recognise an unusual capability, sponsor a credible newcomer, carry knowledge between separated communities, or contest a classification that has mistaken unfamiliarity for low value. These functions are not automatically virtuous. Personal networks can preserve nepotism as easily as they create opportunity, which is why impersonal rules remain essential. But equal treatment at the point of transaction cannot repair unequal admission before the transaction. The relevant policy question is therefore not whether to choose markets or networks. It is whether the network that defines market entry is open to challenge, permeable to outsiders, and accountable for the exclusions its categories create.</w:t>
      </w:r>
    </w:p>
    <w:p w14:paraId="654BAEC4" w14:textId="77777777" w:rsidR="00DD33BA" w:rsidRDefault="00000000">
      <w:pPr>
        <w:ind w:firstLine="720"/>
      </w:pPr>
      <w:r>
        <w:lastRenderedPageBreak/>
        <w:t>Modern economies are shaped by networks to the extent that networks determine the domain on which prices can operate. Markets remain indispensable for comparison, exchange, and decentralised allocation, but they are downstream institutions: they allocate among recognised possibilities. AI will enlarge the market’s surface by making more routine connections cheap, fast, and machine-readable. It may also compress the range of possibilities that its systems can recognise, especially when prediction is mistaken for discovery. Human connections will therefore become less economically important in volume and more important at the margin where a person or community decides that an unfamiliar possibility deserves entry. The future contest is not between a social economy and a technological one. It is over who controls admission—and whether, after the machine has ranked the familiar, a human relationship can still make the unfamiliar count.</w:t>
      </w:r>
    </w:p>
    <w:p w14:paraId="237C8140" w14:textId="77777777" w:rsidR="00DD33BA" w:rsidRDefault="00000000">
      <w:pPr>
        <w:pageBreakBefore/>
        <w:jc w:val="center"/>
      </w:pPr>
      <w:r>
        <w:lastRenderedPageBreak/>
        <w:t>Works Cited</w:t>
      </w:r>
    </w:p>
    <w:p w14:paraId="7A774B3D" w14:textId="77777777" w:rsidR="00DD33BA" w:rsidRDefault="00000000">
      <w:pPr>
        <w:ind w:left="720" w:hanging="720"/>
      </w:pPr>
      <w:r>
        <w:t xml:space="preserve">Acemoglu, Daron, and Pascual Restrepo. "Robots and Jobs: Evidence from US Labor Markets." Journal of Political Economy, vol. 128, no. 6, 2020, pp. 2188–2244. </w:t>
      </w:r>
      <w:hyperlink r:id="rId8">
        <w:r w:rsidR="00DD33BA">
          <w:rPr>
            <w:color w:val="0563C1"/>
            <w:u w:val="single"/>
          </w:rPr>
          <w:t>doi:10.1086/705716</w:t>
        </w:r>
      </w:hyperlink>
    </w:p>
    <w:p w14:paraId="4D8E5EF1" w14:textId="77777777" w:rsidR="00DD33BA" w:rsidRDefault="00000000">
      <w:pPr>
        <w:ind w:left="720" w:hanging="720"/>
      </w:pPr>
      <w:r>
        <w:t xml:space="preserve">Barocas, Solon, and Andrew D. Selbst. "Big Data’s Disparate Impact." California Law Review, vol. 104, no. 3, 2016, pp. 671–732. </w:t>
      </w:r>
      <w:hyperlink r:id="rId9">
        <w:r w:rsidR="00DD33BA">
          <w:rPr>
            <w:color w:val="0563C1"/>
            <w:u w:val="single"/>
          </w:rPr>
          <w:t>doi:10.15779/Z38BG31</w:t>
        </w:r>
      </w:hyperlink>
    </w:p>
    <w:p w14:paraId="69DD2016" w14:textId="77777777" w:rsidR="00DD33BA" w:rsidRDefault="00000000">
      <w:pPr>
        <w:ind w:left="720" w:hanging="720"/>
      </w:pPr>
      <w:r>
        <w:t xml:space="preserve">Bikhchandani, Sushil, David Hirshleifer, and Ivo Welch. "A Theory of Fads, Fashion, Custom, and Cultural Change as Informational Cascades." Journal of Political Economy, vol. 100, no. 5, 1992, pp. 992–1026. </w:t>
      </w:r>
      <w:hyperlink r:id="rId10">
        <w:r w:rsidR="00DD33BA">
          <w:rPr>
            <w:color w:val="0563C1"/>
            <w:u w:val="single"/>
          </w:rPr>
          <w:t>doi:10.1086/261849</w:t>
        </w:r>
      </w:hyperlink>
    </w:p>
    <w:p w14:paraId="6324D258" w14:textId="77777777" w:rsidR="00DD33BA" w:rsidRDefault="00000000">
      <w:pPr>
        <w:ind w:left="720" w:hanging="720"/>
      </w:pPr>
      <w:r>
        <w:t xml:space="preserve">Brynjolfsson, Erik, Danielle Li, and Lindsey R. Raymond. "Generative AI at Work." NBER Working Paper no. 31161, 2023. </w:t>
      </w:r>
      <w:hyperlink r:id="rId11">
        <w:r w:rsidR="00DD33BA">
          <w:rPr>
            <w:color w:val="0563C1"/>
            <w:u w:val="single"/>
          </w:rPr>
          <w:t>doi:10.3386/w31161</w:t>
        </w:r>
      </w:hyperlink>
    </w:p>
    <w:p w14:paraId="16A65875" w14:textId="77777777" w:rsidR="00DD33BA" w:rsidRDefault="00000000">
      <w:pPr>
        <w:ind w:left="720" w:hanging="720"/>
      </w:pPr>
      <w:r>
        <w:t xml:space="preserve">Burt, Ronald S. Structural Holes: The Social Structure of Competition. Harvard University Press, 1992. </w:t>
      </w:r>
      <w:hyperlink r:id="rId12">
        <w:r w:rsidR="00DD33BA">
          <w:rPr>
            <w:color w:val="0563C1"/>
            <w:u w:val="single"/>
          </w:rPr>
          <w:t>https://www.hup.harvard.edu/books/9780674843714</w:t>
        </w:r>
      </w:hyperlink>
    </w:p>
    <w:p w14:paraId="069C35DB" w14:textId="77777777" w:rsidR="00DD33BA" w:rsidRDefault="00000000">
      <w:pPr>
        <w:ind w:left="720" w:hanging="720"/>
      </w:pPr>
      <w:r>
        <w:t xml:space="preserve">Calvano, Emilio, Giacomo Calzolari, Vincenzo Denicolò, and Sergio Pastorello. "Artificial Intelligence, Algorithmic Pricing, and Collusion." American Economic Review, vol. 110, no. 10, 2020, pp. 3267–3297. </w:t>
      </w:r>
      <w:hyperlink r:id="rId13">
        <w:r w:rsidR="00DD33BA">
          <w:rPr>
            <w:color w:val="0563C1"/>
            <w:u w:val="single"/>
          </w:rPr>
          <w:t>doi:10.1257/aer.20190623</w:t>
        </w:r>
      </w:hyperlink>
    </w:p>
    <w:p w14:paraId="31CAD2A0" w14:textId="77777777" w:rsidR="00DD33BA" w:rsidRDefault="00000000">
      <w:pPr>
        <w:ind w:left="720" w:hanging="720"/>
      </w:pPr>
      <w:r>
        <w:t xml:space="preserve">Coase, Ronald H. "The Nature of the Firm." Economica, vol. 4, no. 16, 1937, pp. 386–405. </w:t>
      </w:r>
      <w:hyperlink r:id="rId14">
        <w:r w:rsidR="00DD33BA">
          <w:rPr>
            <w:color w:val="0563C1"/>
            <w:u w:val="single"/>
          </w:rPr>
          <w:t>doi:10.1111/j.1468-0335.1937.tb00002.x</w:t>
        </w:r>
      </w:hyperlink>
    </w:p>
    <w:p w14:paraId="4CFF0337" w14:textId="77777777" w:rsidR="00DD33BA" w:rsidRDefault="00000000">
      <w:pPr>
        <w:ind w:left="720" w:hanging="720"/>
      </w:pPr>
      <w:r>
        <w:t xml:space="preserve">Hagiu, Andrei, and Julian Wright. "Multi-sided Platforms." International Journal of Industrial Organization, vol. 43, 2015, pp. 162–174. </w:t>
      </w:r>
      <w:hyperlink r:id="rId15">
        <w:r w:rsidR="00DD33BA">
          <w:rPr>
            <w:color w:val="0563C1"/>
            <w:u w:val="single"/>
          </w:rPr>
          <w:t>doi:10.1016/j.ijindorg.2015.03.003</w:t>
        </w:r>
      </w:hyperlink>
    </w:p>
    <w:p w14:paraId="6E2B2C92" w14:textId="77777777" w:rsidR="00DD33BA" w:rsidRDefault="00000000">
      <w:pPr>
        <w:ind w:left="720" w:hanging="720"/>
      </w:pPr>
      <w:r>
        <w:t xml:space="preserve">Jackson, Matthew O., Brian W. Rogers, and Yves Zenou. "The Economic Consequences of Social-Network Structure." Journal of Economic Literature, vol. 55, no. 1, 2017, pp. 49–95. </w:t>
      </w:r>
      <w:hyperlink r:id="rId16">
        <w:r w:rsidR="00DD33BA">
          <w:rPr>
            <w:color w:val="0563C1"/>
            <w:u w:val="single"/>
          </w:rPr>
          <w:t>doi:10.1257/jel.20150694</w:t>
        </w:r>
      </w:hyperlink>
    </w:p>
    <w:p w14:paraId="0959C3D8" w14:textId="77777777" w:rsidR="00DD33BA" w:rsidRDefault="00000000">
      <w:pPr>
        <w:ind w:left="720" w:hanging="720"/>
      </w:pPr>
      <w:r>
        <w:lastRenderedPageBreak/>
        <w:t xml:space="preserve">Lambrecht, Anja, and Catherine Tucker. "Algorithmic Bias? An Empirical Study of Apparent Gender-Based Discrimination in the Display of STEM Career Ads." Management Science, vol. 65, no. 7, 2019, pp. 2966–2981. </w:t>
      </w:r>
      <w:hyperlink r:id="rId17">
        <w:r w:rsidR="00DD33BA">
          <w:rPr>
            <w:color w:val="0563C1"/>
            <w:u w:val="single"/>
          </w:rPr>
          <w:t>doi:10.1287/mnsc.2018.3093</w:t>
        </w:r>
      </w:hyperlink>
    </w:p>
    <w:p w14:paraId="53BAF109" w14:textId="77777777" w:rsidR="00DD33BA" w:rsidRDefault="00000000">
      <w:pPr>
        <w:ind w:left="720" w:hanging="720"/>
      </w:pPr>
      <w:r>
        <w:t xml:space="preserve">Noy, Shakked, and Whitney Zhang. "Experimental Evidence on the Productivity Effects of Generative Artificial Intelligence." Science, vol. 381, no. 6654, 2023, pp. 187–192. </w:t>
      </w:r>
      <w:hyperlink r:id="rId18">
        <w:r w:rsidR="00DD33BA">
          <w:rPr>
            <w:color w:val="0563C1"/>
            <w:u w:val="single"/>
          </w:rPr>
          <w:t>doi:10.1126/science.adh2586</w:t>
        </w:r>
      </w:hyperlink>
    </w:p>
    <w:p w14:paraId="45BDCF9E" w14:textId="77777777" w:rsidR="00DD33BA" w:rsidRDefault="00000000">
      <w:pPr>
        <w:ind w:left="720" w:hanging="720"/>
      </w:pPr>
      <w:r>
        <w:t xml:space="preserve">Rochet, Jean-Charles, and Jean Tirole. "Platform Competition in Two-Sided Markets." Journal of the European Economic Association, vol. 1, no. 4, 2003, pp. 990–1029. </w:t>
      </w:r>
      <w:hyperlink r:id="rId19">
        <w:r w:rsidR="00DD33BA">
          <w:rPr>
            <w:color w:val="0563C1"/>
            <w:u w:val="single"/>
          </w:rPr>
          <w:t>doi:10.1162/154247603322493212</w:t>
        </w:r>
      </w:hyperlink>
    </w:p>
    <w:p w14:paraId="1DD2C913" w14:textId="77777777" w:rsidR="00DD33BA" w:rsidRDefault="00000000">
      <w:pPr>
        <w:ind w:left="720" w:hanging="720"/>
      </w:pPr>
      <w:r>
        <w:t xml:space="preserve">Williamson, Oliver E. "Transaction-Cost Economics: The Governance of Contractual Relations." Journal of Law and Economics, vol. 22, no. 2, 1979, pp. 233–261. </w:t>
      </w:r>
      <w:hyperlink r:id="rId20">
        <w:r w:rsidR="00DD33BA">
          <w:rPr>
            <w:color w:val="0563C1"/>
            <w:u w:val="single"/>
          </w:rPr>
          <w:t>doi:10.1086/466942</w:t>
        </w:r>
      </w:hyperlink>
    </w:p>
    <w:sectPr w:rsidR="00DD33BA" w:rsidSect="00034616">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C6E680" w14:textId="77777777" w:rsidR="00221BD4" w:rsidRDefault="00221BD4">
      <w:pPr>
        <w:spacing w:line="240" w:lineRule="auto"/>
      </w:pPr>
      <w:r>
        <w:separator/>
      </w:r>
    </w:p>
  </w:endnote>
  <w:endnote w:type="continuationSeparator" w:id="0">
    <w:p w14:paraId="72102051" w14:textId="77777777" w:rsidR="00221BD4" w:rsidRDefault="00221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9655B" w14:textId="77777777" w:rsidR="00642853" w:rsidRDefault="0064285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C8CABF" w14:textId="77777777" w:rsidR="00642853" w:rsidRDefault="0064285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A59AB" w14:textId="77777777" w:rsidR="00642853" w:rsidRDefault="0064285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BAFD5" w14:textId="77777777" w:rsidR="00221BD4" w:rsidRDefault="00221BD4">
      <w:pPr>
        <w:spacing w:line="240" w:lineRule="auto"/>
      </w:pPr>
      <w:r>
        <w:separator/>
      </w:r>
    </w:p>
  </w:footnote>
  <w:footnote w:type="continuationSeparator" w:id="0">
    <w:p w14:paraId="7096386A" w14:textId="77777777" w:rsidR="00221BD4" w:rsidRDefault="00221B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46BDD" w14:textId="77777777" w:rsidR="00642853" w:rsidRDefault="0064285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A9E00" w14:textId="3EEECFDC" w:rsidR="00DD33BA" w:rsidRDefault="00DD33BA">
    <w:pPr>
      <w:pStyle w:val="a5"/>
      <w:spacing w:line="48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83815" w14:textId="77777777" w:rsidR="00642853" w:rsidRDefault="006428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93686566">
    <w:abstractNumId w:val="8"/>
  </w:num>
  <w:num w:numId="2" w16cid:durableId="1879661959">
    <w:abstractNumId w:val="6"/>
  </w:num>
  <w:num w:numId="3" w16cid:durableId="1803956259">
    <w:abstractNumId w:val="5"/>
  </w:num>
  <w:num w:numId="4" w16cid:durableId="525943462">
    <w:abstractNumId w:val="4"/>
  </w:num>
  <w:num w:numId="5" w16cid:durableId="150368450">
    <w:abstractNumId w:val="7"/>
  </w:num>
  <w:num w:numId="6" w16cid:durableId="1595557033">
    <w:abstractNumId w:val="3"/>
  </w:num>
  <w:num w:numId="7" w16cid:durableId="1180924435">
    <w:abstractNumId w:val="2"/>
  </w:num>
  <w:num w:numId="8" w16cid:durableId="802621615">
    <w:abstractNumId w:val="1"/>
  </w:num>
  <w:num w:numId="9" w16cid:durableId="13520237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BD4"/>
    <w:rsid w:val="0029639D"/>
    <w:rsid w:val="00326F90"/>
    <w:rsid w:val="0054457F"/>
    <w:rsid w:val="00642853"/>
    <w:rsid w:val="00685AD7"/>
    <w:rsid w:val="00AA1D8D"/>
    <w:rsid w:val="00B47730"/>
    <w:rsid w:val="00BB3C56"/>
    <w:rsid w:val="00CB0664"/>
    <w:rsid w:val="00DD33BA"/>
    <w:rsid w:val="00EB3C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32E3E0"/>
  <w14:defaultImageDpi w14:val="300"/>
  <w15:docId w15:val="{25890EB2-AA13-DF47-9EC4-65551AA4F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48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6/705716" TargetMode="External"/><Relationship Id="rId13" Type="http://schemas.openxmlformats.org/officeDocument/2006/relationships/hyperlink" Target="https://doi.org/10.1257/aer.20190623" TargetMode="External"/><Relationship Id="rId18" Type="http://schemas.openxmlformats.org/officeDocument/2006/relationships/hyperlink" Target="https://doi.org/10.1126/science.adh2586"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up.harvard.edu/books/9780674843714" TargetMode="External"/><Relationship Id="rId17" Type="http://schemas.openxmlformats.org/officeDocument/2006/relationships/hyperlink" Target="https://doi.org/10.1287/mnsc.2018.3093"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257/jel.20150694" TargetMode="External"/><Relationship Id="rId20" Type="http://schemas.openxmlformats.org/officeDocument/2006/relationships/hyperlink" Target="https://doi.org/10.1086/4669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6/w31161"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16/j.ijindorg.2015.03.003"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1086/261849" TargetMode="External"/><Relationship Id="rId19" Type="http://schemas.openxmlformats.org/officeDocument/2006/relationships/hyperlink" Target="https://doi.org/10.1162/154247603322493212" TargetMode="External"/><Relationship Id="rId4" Type="http://schemas.openxmlformats.org/officeDocument/2006/relationships/settings" Target="settings.xml"/><Relationship Id="rId9" Type="http://schemas.openxmlformats.org/officeDocument/2006/relationships/hyperlink" Target="https://doi.org/10.15779/Z38BG31" TargetMode="External"/><Relationship Id="rId14" Type="http://schemas.openxmlformats.org/officeDocument/2006/relationships/hyperlink" Target="https://doi.org/10.1111/j.1468-0335.1937.tb00002.x"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2089</Words>
  <Characters>13203</Characters>
  <Application>Microsoft Office Word</Application>
  <DocSecurity>0</DocSecurity>
  <Lines>244</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t91865</cp:lastModifiedBy>
  <cp:revision>4</cp:revision>
  <dcterms:created xsi:type="dcterms:W3CDTF">2013-12-23T23:15:00Z</dcterms:created>
  <dcterms:modified xsi:type="dcterms:W3CDTF">2026-08-31T00:46:00Z</dcterms:modified>
  <cp:category/>
</cp:coreProperties>
</file>