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C20AD" w:rsidRDefault="003C20AD">
      <w:pPr>
        <w:rPr>
          <w:rFonts w:ascii="Times New Roman" w:eastAsia="Times New Roman" w:hAnsi="Times New Roman" w:cs="Times New Roman"/>
          <w:sz w:val="28"/>
          <w:szCs w:val="28"/>
        </w:rPr>
      </w:pPr>
    </w:p>
    <w:p w14:paraId="00000002" w14:textId="77777777" w:rsidR="003C20AD" w:rsidRDefault="003C20AD">
      <w:pPr>
        <w:jc w:val="center"/>
        <w:rPr>
          <w:rFonts w:ascii="Times New Roman" w:eastAsia="Times New Roman" w:hAnsi="Times New Roman" w:cs="Times New Roman"/>
          <w:sz w:val="28"/>
          <w:szCs w:val="28"/>
        </w:rPr>
      </w:pPr>
    </w:p>
    <w:p w14:paraId="00000003" w14:textId="77777777" w:rsidR="003C20AD" w:rsidRDefault="003C20AD">
      <w:pPr>
        <w:jc w:val="center"/>
        <w:rPr>
          <w:rFonts w:ascii="Times New Roman" w:eastAsia="Times New Roman" w:hAnsi="Times New Roman" w:cs="Times New Roman"/>
          <w:sz w:val="28"/>
          <w:szCs w:val="28"/>
        </w:rPr>
      </w:pPr>
    </w:p>
    <w:p w14:paraId="00000004" w14:textId="77777777" w:rsidR="003C20AD" w:rsidRDefault="003C20AD">
      <w:pPr>
        <w:jc w:val="center"/>
        <w:rPr>
          <w:rFonts w:ascii="Times New Roman" w:eastAsia="Times New Roman" w:hAnsi="Times New Roman" w:cs="Times New Roman"/>
          <w:sz w:val="28"/>
          <w:szCs w:val="28"/>
        </w:rPr>
      </w:pPr>
    </w:p>
    <w:p w14:paraId="00000005" w14:textId="77777777" w:rsidR="003C20AD" w:rsidRDefault="003C20AD">
      <w:pPr>
        <w:jc w:val="center"/>
        <w:rPr>
          <w:rFonts w:ascii="Times New Roman" w:eastAsia="Times New Roman" w:hAnsi="Times New Roman" w:cs="Times New Roman"/>
          <w:sz w:val="28"/>
          <w:szCs w:val="28"/>
        </w:rPr>
      </w:pPr>
    </w:p>
    <w:p w14:paraId="00000006" w14:textId="77777777" w:rsidR="003C20AD" w:rsidRDefault="003C20AD">
      <w:pPr>
        <w:jc w:val="center"/>
        <w:rPr>
          <w:rFonts w:ascii="Times New Roman" w:eastAsia="Times New Roman" w:hAnsi="Times New Roman" w:cs="Times New Roman"/>
          <w:sz w:val="28"/>
          <w:szCs w:val="28"/>
        </w:rPr>
      </w:pPr>
    </w:p>
    <w:p w14:paraId="00000007" w14:textId="77777777" w:rsidR="003C20AD" w:rsidRDefault="003C20AD">
      <w:pPr>
        <w:jc w:val="center"/>
        <w:rPr>
          <w:rFonts w:ascii="Times New Roman" w:eastAsia="Times New Roman" w:hAnsi="Times New Roman" w:cs="Times New Roman"/>
          <w:sz w:val="28"/>
          <w:szCs w:val="28"/>
        </w:rPr>
      </w:pPr>
    </w:p>
    <w:p w14:paraId="00000008" w14:textId="77777777" w:rsidR="003C20AD" w:rsidRDefault="003C20AD">
      <w:pPr>
        <w:jc w:val="center"/>
        <w:rPr>
          <w:rFonts w:ascii="Times New Roman" w:eastAsia="Times New Roman" w:hAnsi="Times New Roman" w:cs="Times New Roman"/>
          <w:sz w:val="28"/>
          <w:szCs w:val="28"/>
        </w:rPr>
      </w:pPr>
    </w:p>
    <w:p w14:paraId="00000009" w14:textId="77777777" w:rsidR="003C20AD" w:rsidRDefault="003C20AD">
      <w:pPr>
        <w:jc w:val="center"/>
        <w:rPr>
          <w:rFonts w:ascii="Times New Roman" w:eastAsia="Times New Roman" w:hAnsi="Times New Roman" w:cs="Times New Roman"/>
          <w:sz w:val="28"/>
          <w:szCs w:val="28"/>
        </w:rPr>
      </w:pPr>
    </w:p>
    <w:p w14:paraId="0000000A" w14:textId="77777777" w:rsidR="003C20AD" w:rsidRDefault="003C20AD">
      <w:pPr>
        <w:jc w:val="center"/>
        <w:rPr>
          <w:rFonts w:ascii="Times New Roman" w:eastAsia="Times New Roman" w:hAnsi="Times New Roman" w:cs="Times New Roman"/>
          <w:sz w:val="28"/>
          <w:szCs w:val="28"/>
        </w:rPr>
      </w:pPr>
    </w:p>
    <w:p w14:paraId="0000000B" w14:textId="77777777" w:rsidR="003C20AD" w:rsidRDefault="003C20AD">
      <w:pPr>
        <w:jc w:val="center"/>
        <w:rPr>
          <w:rFonts w:ascii="Times New Roman" w:eastAsia="Times New Roman" w:hAnsi="Times New Roman" w:cs="Times New Roman"/>
          <w:sz w:val="28"/>
          <w:szCs w:val="28"/>
        </w:rPr>
      </w:pPr>
    </w:p>
    <w:p w14:paraId="0000000C" w14:textId="77777777" w:rsidR="003C20AD" w:rsidRDefault="003C20AD">
      <w:pPr>
        <w:jc w:val="center"/>
        <w:rPr>
          <w:rFonts w:ascii="Times New Roman" w:eastAsia="Times New Roman" w:hAnsi="Times New Roman" w:cs="Times New Roman"/>
          <w:sz w:val="28"/>
          <w:szCs w:val="28"/>
        </w:rPr>
      </w:pPr>
    </w:p>
    <w:p w14:paraId="0000000D" w14:textId="77777777" w:rsidR="003C20AD" w:rsidRDefault="003C20AD">
      <w:pPr>
        <w:jc w:val="center"/>
        <w:rPr>
          <w:rFonts w:ascii="Times New Roman" w:eastAsia="Times New Roman" w:hAnsi="Times New Roman" w:cs="Times New Roman"/>
          <w:sz w:val="28"/>
          <w:szCs w:val="28"/>
        </w:rPr>
      </w:pPr>
    </w:p>
    <w:p w14:paraId="0000000E" w14:textId="77777777" w:rsidR="003C20AD" w:rsidRDefault="003C20AD">
      <w:pPr>
        <w:jc w:val="center"/>
        <w:rPr>
          <w:rFonts w:ascii="Times New Roman" w:eastAsia="Times New Roman" w:hAnsi="Times New Roman" w:cs="Times New Roman"/>
          <w:sz w:val="28"/>
          <w:szCs w:val="28"/>
        </w:rPr>
      </w:pPr>
    </w:p>
    <w:p w14:paraId="0000000F" w14:textId="77777777" w:rsidR="003C20AD"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Delegating cognition to AI: What is gained and lost?</w:t>
      </w:r>
    </w:p>
    <w:p w14:paraId="00000010" w14:textId="77777777" w:rsidR="003C20AD" w:rsidRDefault="003C20AD">
      <w:pPr>
        <w:jc w:val="center"/>
        <w:rPr>
          <w:rFonts w:ascii="Times New Roman" w:eastAsia="Times New Roman" w:hAnsi="Times New Roman" w:cs="Times New Roman"/>
          <w:b/>
          <w:bCs/>
          <w:sz w:val="28"/>
          <w:szCs w:val="28"/>
        </w:rPr>
      </w:pPr>
    </w:p>
    <w:p w14:paraId="00000011" w14:textId="77777777" w:rsidR="003C20AD"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Jiani Lu </w:t>
      </w:r>
    </w:p>
    <w:p w14:paraId="00000012" w14:textId="77777777" w:rsidR="003C20AD"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Saint Paul Diocesan Jr/Sr High School</w:t>
      </w:r>
    </w:p>
    <w:p w14:paraId="00000013" w14:textId="77777777" w:rsidR="003C20AD"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8/31/2026</w:t>
      </w:r>
      <w:r>
        <w:br w:type="page"/>
      </w:r>
    </w:p>
    <w:p w14:paraId="00000014" w14:textId="77777777" w:rsidR="003C20AD"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Abstract</w:t>
      </w:r>
    </w:p>
    <w:p w14:paraId="00000015" w14:textId="481E47DB" w:rsidR="003C20AD"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rPr>
        <w:tab/>
      </w:r>
      <w:r>
        <w:rPr>
          <w:rFonts w:ascii="Times New Roman" w:eastAsia="Times New Roman" w:hAnsi="Times New Roman" w:cs="Times New Roman"/>
          <w:sz w:val="24"/>
          <w:szCs w:val="24"/>
        </w:rPr>
        <w:t xml:space="preserve">Generative AI (GAI) is now widely used among students, raising concerns about its impact on learning. This paper examines whether delegating cognition to AI is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traditional cognitive offloading or qualitatively different from </w:t>
      </w:r>
      <w:r w:rsidR="002D2525">
        <w:rPr>
          <w:rFonts w:ascii="Times New Roman" w:eastAsia="Times New Roman" w:hAnsi="Times New Roman" w:cs="Times New Roman"/>
          <w:sz w:val="24"/>
          <w:szCs w:val="24"/>
        </w:rPr>
        <w:t>it, and</w:t>
      </w:r>
      <w:r>
        <w:rPr>
          <w:rFonts w:ascii="Times New Roman" w:eastAsia="Times New Roman" w:hAnsi="Times New Roman" w:cs="Times New Roman"/>
          <w:sz w:val="24"/>
          <w:szCs w:val="24"/>
        </w:rPr>
        <w:t xml:space="preserve"> how this distinction influences educational outcomes. Evidence shows that metacognitive evaluations play a role in shaping learners’ offloading decisions, paralleling conventional offloading. However, GAI also enables learners to delegate aspects of metacognitive control, potentially shifting cognitive agency to AI. A critical distinction emerges between dependent offloading and autonomous offloading: the former involves passive acceptance of AI output, while the latter involves actively engaging with AI as a scaffold. While both can be beneficial in the short term, dependent offloading risks causing cognitive de-skilling and reducing critical thinking, whereas autonomous offloading preserves intrinsic motivation. Moreover, AI’s highly plausible output can constitute misleading metacognitive cues and an illusory sense of competence, leading to overreliance. The paper conceptualizes AI delegation as a metacognitive choice and highlights the need for teaching interventions that promote autonomous offloading and train learners to recognize misleading metacognitive cues.</w:t>
      </w:r>
    </w:p>
    <w:p w14:paraId="00000016" w14:textId="77777777" w:rsidR="003C20AD" w:rsidRDefault="003C20AD">
      <w:pPr>
        <w:rPr>
          <w:rFonts w:ascii="Times New Roman" w:eastAsia="Times New Roman" w:hAnsi="Times New Roman" w:cs="Times New Roman"/>
          <w:sz w:val="24"/>
          <w:szCs w:val="24"/>
        </w:rPr>
      </w:pPr>
    </w:p>
    <w:p w14:paraId="00000017" w14:textId="77777777" w:rsidR="003C20AD"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Keywords</w:t>
      </w:r>
      <w:r>
        <w:rPr>
          <w:rFonts w:ascii="Times New Roman" w:eastAsia="Times New Roman" w:hAnsi="Times New Roman" w:cs="Times New Roman"/>
          <w:sz w:val="24"/>
          <w:szCs w:val="24"/>
        </w:rPr>
        <w:t>: Generative AI, cognitive offloading, metacognitive agency, Artificial Intelligence learning</w:t>
      </w:r>
    </w:p>
    <w:p w14:paraId="00000018" w14:textId="77777777" w:rsidR="003C20AD" w:rsidRDefault="003C20AD">
      <w:pPr>
        <w:spacing w:line="480" w:lineRule="auto"/>
        <w:rPr>
          <w:rFonts w:ascii="Times New Roman" w:eastAsia="Times New Roman" w:hAnsi="Times New Roman" w:cs="Times New Roman"/>
          <w:sz w:val="24"/>
          <w:szCs w:val="24"/>
        </w:rPr>
      </w:pPr>
    </w:p>
    <w:p w14:paraId="00000019" w14:textId="77777777" w:rsidR="003C20AD" w:rsidRDefault="003C20AD">
      <w:pPr>
        <w:spacing w:line="480" w:lineRule="auto"/>
        <w:rPr>
          <w:rFonts w:ascii="Times New Roman" w:eastAsia="Times New Roman" w:hAnsi="Times New Roman" w:cs="Times New Roman"/>
          <w:sz w:val="24"/>
          <w:szCs w:val="24"/>
        </w:rPr>
      </w:pPr>
    </w:p>
    <w:p w14:paraId="0000001A" w14:textId="77777777" w:rsidR="003C20AD" w:rsidRDefault="003C20AD">
      <w:pPr>
        <w:spacing w:line="480" w:lineRule="auto"/>
        <w:rPr>
          <w:rFonts w:ascii="Times New Roman" w:eastAsia="Times New Roman" w:hAnsi="Times New Roman" w:cs="Times New Roman"/>
          <w:sz w:val="24"/>
          <w:szCs w:val="24"/>
        </w:rPr>
      </w:pPr>
    </w:p>
    <w:p w14:paraId="0000001B" w14:textId="77777777" w:rsidR="003C20AD" w:rsidRDefault="003C20AD">
      <w:pPr>
        <w:rPr>
          <w:rFonts w:ascii="Times New Roman" w:eastAsia="Times New Roman" w:hAnsi="Times New Roman" w:cs="Times New Roman"/>
          <w:sz w:val="24"/>
          <w:szCs w:val="24"/>
        </w:rPr>
      </w:pPr>
    </w:p>
    <w:p w14:paraId="0000001C" w14:textId="77777777" w:rsidR="003C20AD" w:rsidRDefault="003C20AD">
      <w:pPr>
        <w:rPr>
          <w:rFonts w:ascii="Times New Roman" w:eastAsia="Times New Roman" w:hAnsi="Times New Roman" w:cs="Times New Roman"/>
          <w:sz w:val="24"/>
          <w:szCs w:val="24"/>
        </w:rPr>
      </w:pPr>
    </w:p>
    <w:p w14:paraId="0000001D" w14:textId="77777777" w:rsidR="003C20AD" w:rsidRDefault="003C20AD">
      <w:pPr>
        <w:rPr>
          <w:rFonts w:ascii="Times New Roman" w:eastAsia="Times New Roman" w:hAnsi="Times New Roman" w:cs="Times New Roman"/>
          <w:sz w:val="24"/>
          <w:szCs w:val="24"/>
        </w:rPr>
      </w:pPr>
    </w:p>
    <w:p w14:paraId="0000001E" w14:textId="77777777" w:rsidR="003C20AD" w:rsidRDefault="003C20AD">
      <w:pPr>
        <w:spacing w:after="160" w:line="480" w:lineRule="auto"/>
        <w:jc w:val="both"/>
        <w:rPr>
          <w:rFonts w:ascii="Times New Roman" w:eastAsia="Times New Roman" w:hAnsi="Times New Roman" w:cs="Times New Roman"/>
          <w:sz w:val="24"/>
          <w:szCs w:val="24"/>
        </w:rPr>
      </w:pPr>
    </w:p>
    <w:p w14:paraId="0000001F" w14:textId="54139929" w:rsidR="003C20AD" w:rsidRDefault="00000000">
      <w:pPr>
        <w:spacing w:after="16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Artificial Intelligence is no longer an emerging technology. According to the </w:t>
      </w:r>
      <w:r>
        <w:rPr>
          <w:rFonts w:ascii="Times New Roman" w:eastAsia="Times New Roman" w:hAnsi="Times New Roman" w:cs="Times New Roman"/>
          <w:i/>
          <w:iCs/>
          <w:sz w:val="24"/>
          <w:szCs w:val="24"/>
        </w:rPr>
        <w:t>Student Generative AI Survey</w:t>
      </w:r>
      <w:r>
        <w:rPr>
          <w:rFonts w:ascii="Times New Roman" w:eastAsia="Times New Roman" w:hAnsi="Times New Roman" w:cs="Times New Roman"/>
          <w:sz w:val="24"/>
          <w:szCs w:val="24"/>
        </w:rPr>
        <w:t xml:space="preserve"> published by the Higher Education Policy Institute (Stephenson &amp; Armstrong, 2026), roughly 95% of surveyed undergraduates in the UK reported using generative AI (GAI) in some form, and 94% used it to help with assessed assignments. AI’s </w:t>
      </w:r>
      <w:proofErr w:type="spellStart"/>
      <w:r>
        <w:rPr>
          <w:rFonts w:ascii="Times New Roman" w:eastAsia="Times New Roman" w:hAnsi="Times New Roman" w:cs="Times New Roman"/>
          <w:sz w:val="24"/>
          <w:szCs w:val="24"/>
        </w:rPr>
        <w:t>popularisation</w:t>
      </w:r>
      <w:proofErr w:type="spellEnd"/>
      <w:r>
        <w:rPr>
          <w:rFonts w:ascii="Times New Roman" w:eastAsia="Times New Roman" w:hAnsi="Times New Roman" w:cs="Times New Roman"/>
          <w:sz w:val="24"/>
          <w:szCs w:val="24"/>
        </w:rPr>
        <w:t xml:space="preserve"> has sparked debates over its effects on learners, with students reporting both benefits and concerns. Among surveyed U.S. teenagers, 66% say it helps them understand their schoolwork rather than simply finish it faster. Meanwhile, other students believe that AI leads to fewer original ideas and less deep learning (Common Sense Media, 2026). Either way, students’ use of GAI to delegate some of the cognitive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involved in learning resembles cognitive offloading, defined as “the use of physical action to alter the information processing requirements of a task so as to reduce cognitive demand” (Risko &amp; Gilbert, 2016, p. 1). It was a common </w:t>
      </w:r>
      <w:r w:rsidR="00B07A90">
        <w:rPr>
          <w:rFonts w:ascii="Times New Roman" w:eastAsia="Times New Roman" w:hAnsi="Times New Roman" w:cs="Times New Roman"/>
          <w:sz w:val="24"/>
          <w:szCs w:val="24"/>
        </w:rPr>
        <w:t>behavior</w:t>
      </w:r>
      <w:r>
        <w:rPr>
          <w:rFonts w:ascii="Times New Roman" w:eastAsia="Times New Roman" w:hAnsi="Times New Roman" w:cs="Times New Roman"/>
          <w:sz w:val="24"/>
          <w:szCs w:val="24"/>
        </w:rPr>
        <w:t xml:space="preserve"> in learning long before the adoption of digital technologies, from writing to-do lists and notes to using an abacus to facilitate calculation. The paper argues that Generative AI extends cognitive offloading into metacognitive agency, creating a critical distinction between dependent and autonomous offloading. While both can improve short-term performance, dependent offloading risks cognitive de-skilling through misleading metacognitive cues and an illusory sense of competence, whereas autonomous offloading preserves these gains. This analysis conceptualizes AI delegation as a metacognitive choice, highlighting the significance of preserving individuals’ critical thinking and autonomy.</w:t>
      </w:r>
    </w:p>
    <w:p w14:paraId="00000020" w14:textId="77777777" w:rsidR="003C20AD" w:rsidRDefault="00000000">
      <w:pPr>
        <w:spacing w:after="160"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traditional cognitive offloading, learners’ delegation of cognitive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to Generative AI is also regulated by metacognitive evaluations. Learners’ decisions about whether, when, and what to offload are more often shaped by weighing task demands against their perceived abilities, rather than by the objective difficulty of the tasks alone (Risko &amp; Gilbert, 2026). For example, Boldt and Gilbert (2019) found that participants with lower confidence in their unaided memory were more likely to set external reminders after controlling </w:t>
      </w:r>
      <w:r>
        <w:rPr>
          <w:rFonts w:ascii="Times New Roman" w:eastAsia="Times New Roman" w:hAnsi="Times New Roman" w:cs="Times New Roman"/>
          <w:sz w:val="24"/>
          <w:szCs w:val="24"/>
        </w:rPr>
        <w:lastRenderedPageBreak/>
        <w:t>for actual memory performance, regardless of whether the strategy was instructed or spontaneous. Individuals also routinely evaluate both mental capacities of themselves and those of extended mental systems (Risko &amp; Gilbert, 2016, p. 684), including other agents who are perceived as sentient and intelligent. Armitage and Redshaw (2025, p. 957) found that participants tend to infer potential helpers’ cognitive competence by observing their performance in relevant memory tasks, which informs their “social offloading decisions” as they seek help more frequently from the strong-memory helper. In the study, participants’ choices over the two virtual helpers are independent of task difficulty, their own cognitive abilities, and even metacognitive confidence (Armitage &amp; Redshaw, 2025). Research on the use of generative AI also highlights the metacognitive demands of “automation strategy,” which involves monitoring and controlling “whether, when, and how” AI is integrated into a workflow (</w:t>
      </w:r>
      <w:proofErr w:type="spellStart"/>
      <w:r>
        <w:rPr>
          <w:rFonts w:ascii="Times New Roman" w:eastAsia="Times New Roman" w:hAnsi="Times New Roman" w:cs="Times New Roman"/>
          <w:sz w:val="24"/>
          <w:szCs w:val="24"/>
        </w:rPr>
        <w:t>Tankelevitch</w:t>
      </w:r>
      <w:proofErr w:type="spellEnd"/>
      <w:r>
        <w:rPr>
          <w:rFonts w:ascii="Times New Roman" w:eastAsia="Times New Roman" w:hAnsi="Times New Roman" w:cs="Times New Roman"/>
          <w:sz w:val="24"/>
          <w:szCs w:val="24"/>
        </w:rPr>
        <w:t xml:space="preserve"> et al., 2024). It suggests that delegating cognitive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to AI is continuous with traditional offloading in both purpose and regulation. </w:t>
      </w:r>
    </w:p>
    <w:p w14:paraId="00000021" w14:textId="77777777" w:rsidR="003C20AD" w:rsidRDefault="00000000">
      <w:pPr>
        <w:spacing w:after="16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generative AI enables learners to delegate aspects of metacognitive control, which could be qualitatively different from traditional cognitive offloading. Specifically, using GenAI involves metacognitive processes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those involved when a manager delegates tasks to a team (</w:t>
      </w:r>
      <w:proofErr w:type="spellStart"/>
      <w:r>
        <w:rPr>
          <w:rFonts w:ascii="Times New Roman" w:eastAsia="Times New Roman" w:hAnsi="Times New Roman" w:cs="Times New Roman"/>
          <w:sz w:val="24"/>
          <w:szCs w:val="24"/>
        </w:rPr>
        <w:t>Tankelevitch</w:t>
      </w:r>
      <w:proofErr w:type="spellEnd"/>
      <w:r>
        <w:rPr>
          <w:rFonts w:ascii="Times New Roman" w:eastAsia="Times New Roman" w:hAnsi="Times New Roman" w:cs="Times New Roman"/>
          <w:sz w:val="24"/>
          <w:szCs w:val="24"/>
        </w:rPr>
        <w:t xml:space="preserve"> et al., 2024, p. 2). Unlike a reminder or calculator that typically performs a fixed operation, GenAI can participate in planning tasks, selecting strategies, and evaluating the results. These are among the metacognitive processes by which learners ordinarily monitor and control their object-level cognition. According to Fan et al. (2024), students who use ChatGPT for essay revision repeatedly shifted between revising their work and consulting the AI, whereas students supported by a human expert were more likely to return to the reading materials and to move back and forth between reviewing task requirements and evaluating their own work. It could suggest that the learners have offloaded parts of learning regulation to the AI. Parallel to this idea, Zhu et al. (2026) coined the term “cognitive agency </w:t>
      </w:r>
      <w:r>
        <w:rPr>
          <w:rFonts w:ascii="Times New Roman" w:eastAsia="Times New Roman" w:hAnsi="Times New Roman" w:cs="Times New Roman"/>
          <w:sz w:val="24"/>
          <w:szCs w:val="24"/>
        </w:rPr>
        <w:lastRenderedPageBreak/>
        <w:t>transfer” to explain how learners shift the locus of control over metacognitive processes from themselves to the AI system. In this sense, the processes governing offloading can themselves become objects of delegation, which is the basis on which AI delegation could become qualitatively different from conventional forms of offloading.</w:t>
      </w:r>
      <w:r>
        <w:rPr>
          <w:rFonts w:ascii="Times New Roman" w:eastAsia="Times New Roman" w:hAnsi="Times New Roman" w:cs="Times New Roman"/>
          <w:sz w:val="24"/>
          <w:szCs w:val="24"/>
        </w:rPr>
        <w:tab/>
      </w:r>
    </w:p>
    <w:p w14:paraId="00000022" w14:textId="0DC42659" w:rsidR="003C20AD" w:rsidRDefault="00000000">
      <w:pPr>
        <w:spacing w:after="16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the educational impacts of AI for learners are potentially influenced by the division of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between humans and machine learning models. To illustrate, the distinction between dependent offloading and autonomous offloading affects how people assess the use of AI. While dependent offloading serves as a passive delegation where users automatically adopt AI output as their final answer without careful evaluation, autonomous offloading serves as an active engagement where users treat AI as a scaffold to enrich their own critical thinking (Zhu et al., 2026, p. 2).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 xml:space="preserve">, these two approaches to AI integration may both be beneficial since, with less effort, tasks could be completed faster and to a higher standard. Nevertheless, in the long run, dependent cognitive offloading may degrade individuals’ intrinsic motivation by weakening basic psychological needs for autonomy and competence. Autonomous cognitive offloading, conversely, tends to preserve intrinsic motivation through learners’ maintenance of self-control of critical thinking skills and expectation of their work (Zhu et al., 2026, p. 2). Extending this analysis to classroom performance, Bastani et al. (2025) observed a consistent result in their experiment. They divided students into three groups: GPT Base, GPT Tutor, and without GPT use. The finding shows that even though both forms of AI increased assisted performance, the version that left more of the problem-solving process with students avoided the subsequent learning penalty. AI can therefore function either more like a scaffold or more like a surrogate, depending on how cognitive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is allocated. This result is also consistent with Fan et al. (2024). Hence, whether AI replaces cognitive and metacognitive activity that is itself necessary for </w:t>
      </w:r>
      <w:r w:rsidR="002D2525">
        <w:rPr>
          <w:rFonts w:ascii="Times New Roman" w:eastAsia="Times New Roman" w:hAnsi="Times New Roman" w:cs="Times New Roman"/>
          <w:sz w:val="24"/>
          <w:szCs w:val="24"/>
        </w:rPr>
        <w:t>learning or</w:t>
      </w:r>
      <w:r>
        <w:rPr>
          <w:rFonts w:ascii="Times New Roman" w:eastAsia="Times New Roman" w:hAnsi="Times New Roman" w:cs="Times New Roman"/>
          <w:sz w:val="24"/>
          <w:szCs w:val="24"/>
        </w:rPr>
        <w:t xml:space="preserve"> instead frees resources while leaving learners responsible for directing and evaluating their learning, leads to the evaluation of what students gain and lose. </w:t>
      </w:r>
    </w:p>
    <w:p w14:paraId="00000023" w14:textId="4214DFCA" w:rsidR="003C20AD" w:rsidRDefault="00000000">
      <w:pPr>
        <w:spacing w:after="16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possible counterargument is that learners’ metacognitive monitoring is not readily delegated to AI, meaning that learners can still identify gaps in their own knowledge. </w:t>
      </w:r>
      <w:r w:rsidR="002D2525">
        <w:rPr>
          <w:rFonts w:ascii="Times New Roman" w:eastAsia="Times New Roman" w:hAnsi="Times New Roman" w:cs="Times New Roman"/>
          <w:sz w:val="24"/>
          <w:szCs w:val="24"/>
        </w:rPr>
        <w:t>Consequently, AI</w:t>
      </w:r>
      <w:r>
        <w:rPr>
          <w:rFonts w:ascii="Times New Roman" w:eastAsia="Times New Roman" w:hAnsi="Times New Roman" w:cs="Times New Roman"/>
          <w:sz w:val="24"/>
          <w:szCs w:val="24"/>
        </w:rPr>
        <w:t xml:space="preserve"> offloading does not necessarily lead to erroneous metacognitive evaluation. That said, awareness of its limitations still may not reduce the longer-term cost of overreliance on AI models. As seen in the previous evidence, Bastani et al. (2025) revealed that some students fail to perceive how AI can impede their thinking, as evidenced by their belief that copying AI-generated answers is harmless to their learning. Furthermore, their self-reported perception of the effects of GPT is too heavily optimistic even though students in the GPT Base group performed worse than the control and GPT Tutor group (Bastani et al., 2025, p. 4). This divergence suggests that </w:t>
      </w:r>
      <w:r w:rsidR="002D2525">
        <w:rPr>
          <w:rFonts w:ascii="Times New Roman" w:eastAsia="Times New Roman" w:hAnsi="Times New Roman" w:cs="Times New Roman"/>
          <w:sz w:val="24"/>
          <w:szCs w:val="24"/>
        </w:rPr>
        <w:t>learners</w:t>
      </w:r>
      <w:r>
        <w:rPr>
          <w:rFonts w:ascii="Times New Roman" w:eastAsia="Times New Roman" w:hAnsi="Times New Roman" w:cs="Times New Roman"/>
          <w:sz w:val="24"/>
          <w:szCs w:val="24"/>
        </w:rPr>
        <w:t xml:space="preserve"> may develop an illusory sense of competence, which could blind learners to potential cognitive de-skilling over time. Given that reliance stems from an internal sense of confidence instead of rational analysis, individuals tend to offload tasks even when they know the model is imperfect. Ultimately, it may be associated with potential de-skilling and stagnated cognitive development (</w:t>
      </w:r>
      <w:proofErr w:type="spellStart"/>
      <w:r>
        <w:rPr>
          <w:rFonts w:ascii="Times New Roman" w:eastAsia="Times New Roman" w:hAnsi="Times New Roman" w:cs="Times New Roman"/>
          <w:sz w:val="24"/>
          <w:szCs w:val="24"/>
        </w:rPr>
        <w:t>Tankelevitch</w:t>
      </w:r>
      <w:proofErr w:type="spellEnd"/>
      <w:r>
        <w:rPr>
          <w:rFonts w:ascii="Times New Roman" w:eastAsia="Times New Roman" w:hAnsi="Times New Roman" w:cs="Times New Roman"/>
          <w:sz w:val="24"/>
          <w:szCs w:val="24"/>
        </w:rPr>
        <w:t xml:space="preserve"> et al., 2024, p. 11).</w:t>
      </w:r>
    </w:p>
    <w:p w14:paraId="00000024" w14:textId="77777777" w:rsidR="003C20AD" w:rsidRDefault="00000000">
      <w:pPr>
        <w:spacing w:after="16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some may argue that biased metacognitive evaluation has long existed, independent of the emergence of AI. According to </w:t>
      </w:r>
      <w:proofErr w:type="spellStart"/>
      <w:r>
        <w:rPr>
          <w:rFonts w:ascii="Times New Roman" w:eastAsia="Times New Roman" w:hAnsi="Times New Roman" w:cs="Times New Roman"/>
          <w:sz w:val="24"/>
          <w:szCs w:val="24"/>
        </w:rPr>
        <w:t>Koriat</w:t>
      </w:r>
      <w:proofErr w:type="spellEnd"/>
      <w:r>
        <w:rPr>
          <w:rFonts w:ascii="Times New Roman" w:eastAsia="Times New Roman" w:hAnsi="Times New Roman" w:cs="Times New Roman"/>
          <w:sz w:val="24"/>
          <w:szCs w:val="24"/>
        </w:rPr>
        <w:t xml:space="preserve"> (1997), humans cannot directly measure their knowledge. Instead, they tend to rely on observable or measurable cues such as perceived ease of processing, familiarity, and accessibility to form judgements of learning (JOL), some of which are unreliable and could diverge systematically from actual performances. Nevertheless, AI models could make learners more vulnerable to biases since they provide extremely smooth signals to exacerbate these complacency biases. The answer generated by AI, fittingly, is highly plausible and coherent reasoning, constituting a misleading metacognitive cue. For example, in Teng et al. (2026), 111 novice medical students displayed a lower diagnostic accuracy but greater self-confidence in their judgments when exposed to </w:t>
      </w:r>
      <w:r>
        <w:rPr>
          <w:rFonts w:ascii="Times New Roman" w:eastAsia="Times New Roman" w:hAnsi="Times New Roman" w:cs="Times New Roman"/>
          <w:sz w:val="24"/>
          <w:szCs w:val="24"/>
        </w:rPr>
        <w:lastRenderedPageBreak/>
        <w:t>AI-generated misinformation. As such, this demonstrates that plausible and coherent AI-generated reasoning can become a misleading metacognitive cue, producing high confidence even when performance deteriorates.</w:t>
      </w:r>
    </w:p>
    <w:p w14:paraId="00000025" w14:textId="77777777" w:rsidR="003C20AD" w:rsidRDefault="00000000">
      <w:pPr>
        <w:spacing w:after="16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Generative AI extends cognitive offloading into the field of metacognitive agency. AI can serve either as a powerful supportive scaffold or a cognitive surrogate based on how learners allocate cognitive labor. Since AI’s highly fluent output involves creating misleading metacognitive cues and fostering an illusory sense of competence, overreliance on it may lead to long-term risks including cognitive de-skilling. This analysis conceptualizes AI delegation as a metacognitive choice and highlights the significance of preserving individuals’ critical thinking and autonomy, thereby offering a new perspective on learning with AI. Future research should explore teaching interventions that promote autonomous offloading rather than dependent offloading. It should also investigate how learners can be trained to recognize misleading metacognitive cues from AI-generated texts.</w:t>
      </w:r>
    </w:p>
    <w:p w14:paraId="00000026" w14:textId="77777777" w:rsidR="003C20AD" w:rsidRDefault="003C20AD">
      <w:pPr>
        <w:spacing w:after="160" w:line="480" w:lineRule="auto"/>
        <w:jc w:val="both"/>
        <w:rPr>
          <w:rFonts w:ascii="Times New Roman" w:eastAsia="Times New Roman" w:hAnsi="Times New Roman" w:cs="Times New Roman"/>
          <w:sz w:val="24"/>
          <w:szCs w:val="24"/>
        </w:rPr>
      </w:pPr>
    </w:p>
    <w:p w14:paraId="00000027" w14:textId="77777777" w:rsidR="003C20AD" w:rsidRDefault="003C20AD">
      <w:pPr>
        <w:spacing w:after="160" w:line="480" w:lineRule="auto"/>
        <w:jc w:val="both"/>
        <w:rPr>
          <w:rFonts w:ascii="Times New Roman" w:eastAsia="Times New Roman" w:hAnsi="Times New Roman" w:cs="Times New Roman"/>
          <w:sz w:val="24"/>
          <w:szCs w:val="24"/>
        </w:rPr>
      </w:pPr>
    </w:p>
    <w:p w14:paraId="00000028" w14:textId="77777777" w:rsidR="003C20AD" w:rsidRDefault="003C20AD">
      <w:pPr>
        <w:spacing w:after="160" w:line="480" w:lineRule="auto"/>
        <w:jc w:val="both"/>
        <w:rPr>
          <w:rFonts w:ascii="Times New Roman" w:eastAsia="Times New Roman" w:hAnsi="Times New Roman" w:cs="Times New Roman"/>
          <w:sz w:val="24"/>
          <w:szCs w:val="24"/>
        </w:rPr>
      </w:pPr>
    </w:p>
    <w:p w14:paraId="00000029" w14:textId="77777777" w:rsidR="003C20AD" w:rsidRDefault="003C20AD">
      <w:pPr>
        <w:spacing w:after="160" w:line="480" w:lineRule="auto"/>
        <w:jc w:val="both"/>
        <w:rPr>
          <w:rFonts w:ascii="Times New Roman" w:eastAsia="Times New Roman" w:hAnsi="Times New Roman" w:cs="Times New Roman"/>
          <w:sz w:val="24"/>
          <w:szCs w:val="24"/>
        </w:rPr>
      </w:pPr>
    </w:p>
    <w:p w14:paraId="0000002A" w14:textId="77777777" w:rsidR="003C20AD" w:rsidRDefault="003C20AD">
      <w:pPr>
        <w:spacing w:after="160" w:line="480" w:lineRule="auto"/>
        <w:jc w:val="both"/>
        <w:rPr>
          <w:rFonts w:ascii="Times New Roman" w:eastAsia="Times New Roman" w:hAnsi="Times New Roman" w:cs="Times New Roman"/>
          <w:color w:val="38761D"/>
          <w:sz w:val="24"/>
          <w:szCs w:val="24"/>
        </w:rPr>
      </w:pPr>
    </w:p>
    <w:p w14:paraId="0000002B" w14:textId="77777777" w:rsidR="003C20AD" w:rsidRDefault="003C20AD">
      <w:pPr>
        <w:spacing w:after="160" w:line="480" w:lineRule="auto"/>
        <w:jc w:val="both"/>
        <w:rPr>
          <w:rFonts w:ascii="Times New Roman" w:eastAsia="Times New Roman" w:hAnsi="Times New Roman" w:cs="Times New Roman"/>
          <w:color w:val="38761D"/>
          <w:sz w:val="24"/>
          <w:szCs w:val="24"/>
        </w:rPr>
      </w:pPr>
    </w:p>
    <w:p w14:paraId="0000002C" w14:textId="77777777" w:rsidR="003C20AD" w:rsidRDefault="003C20AD">
      <w:pPr>
        <w:spacing w:after="160" w:line="480" w:lineRule="auto"/>
        <w:jc w:val="center"/>
        <w:rPr>
          <w:rFonts w:ascii="Times New Roman" w:eastAsia="Times New Roman" w:hAnsi="Times New Roman" w:cs="Times New Roman"/>
          <w:sz w:val="24"/>
          <w:szCs w:val="24"/>
        </w:rPr>
      </w:pPr>
    </w:p>
    <w:p w14:paraId="713F795C" w14:textId="77777777" w:rsidR="00CA7CDE" w:rsidRDefault="00CA7CDE">
      <w:pPr>
        <w:spacing w:after="160" w:line="480" w:lineRule="auto"/>
        <w:jc w:val="center"/>
        <w:rPr>
          <w:rFonts w:ascii="Times New Roman" w:eastAsia="Times New Roman" w:hAnsi="Times New Roman" w:cs="Times New Roman"/>
          <w:sz w:val="24"/>
          <w:szCs w:val="24"/>
        </w:rPr>
      </w:pPr>
    </w:p>
    <w:p w14:paraId="774926B0" w14:textId="77777777" w:rsidR="00CA7CDE" w:rsidRDefault="00CA7CDE">
      <w:pPr>
        <w:spacing w:after="160" w:line="480" w:lineRule="auto"/>
        <w:jc w:val="center"/>
        <w:rPr>
          <w:rFonts w:ascii="Times New Roman" w:eastAsia="Times New Roman" w:hAnsi="Times New Roman" w:cs="Times New Roman"/>
          <w:sz w:val="24"/>
          <w:szCs w:val="24"/>
        </w:rPr>
      </w:pPr>
    </w:p>
    <w:p w14:paraId="0000002D" w14:textId="2B1F9FFB" w:rsidR="003C20AD" w:rsidRDefault="00000000">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0000002E"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Armitage, K. L., &amp; Redshaw, J. (2024). Can you help me? Using others to offload cognition. </w:t>
      </w:r>
      <w:r>
        <w:rPr>
          <w:rFonts w:ascii="Times New Roman" w:eastAsia="Times New Roman" w:hAnsi="Times New Roman" w:cs="Times New Roman"/>
          <w:i/>
          <w:iCs/>
          <w:sz w:val="24"/>
          <w:szCs w:val="24"/>
        </w:rPr>
        <w:t>Memory &amp; Cognition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53</w:t>
      </w:r>
      <w:r>
        <w:rPr>
          <w:rFonts w:ascii="Times New Roman" w:eastAsia="Times New Roman" w:hAnsi="Times New Roman" w:cs="Times New Roman"/>
          <w:sz w:val="24"/>
          <w:szCs w:val="24"/>
        </w:rPr>
        <w:t xml:space="preserve">(3), 946–959. </w:t>
      </w:r>
      <w:hyperlink r:id="rId4">
        <w:r>
          <w:rPr>
            <w:rFonts w:ascii="Times New Roman" w:eastAsia="Times New Roman" w:hAnsi="Times New Roman" w:cs="Times New Roman"/>
            <w:color w:val="1155CC"/>
            <w:sz w:val="24"/>
            <w:szCs w:val="24"/>
            <w:u w:val="single"/>
          </w:rPr>
          <w:t>https://doi.org/10.375</w:t>
        </w:r>
        <w:r>
          <w:rPr>
            <w:rFonts w:ascii="Times New Roman" w:eastAsia="Times New Roman" w:hAnsi="Times New Roman" w:cs="Times New Roman"/>
            <w:color w:val="1155CC"/>
            <w:sz w:val="24"/>
            <w:szCs w:val="24"/>
            <w:u w:val="single"/>
          </w:rPr>
          <w:t>8</w:t>
        </w:r>
        <w:r>
          <w:rPr>
            <w:rFonts w:ascii="Times New Roman" w:eastAsia="Times New Roman" w:hAnsi="Times New Roman" w:cs="Times New Roman"/>
            <w:color w:val="1155CC"/>
            <w:sz w:val="24"/>
            <w:szCs w:val="24"/>
            <w:u w:val="single"/>
          </w:rPr>
          <w:t>/s13421-024-01621-9</w:t>
        </w:r>
      </w:hyperlink>
    </w:p>
    <w:p w14:paraId="0000002F"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Bastani, H., Bastani, O., Sungu, A., Ge, H., </w:t>
      </w:r>
      <w:proofErr w:type="spellStart"/>
      <w:r>
        <w:rPr>
          <w:rFonts w:ascii="Times New Roman" w:eastAsia="Times New Roman" w:hAnsi="Times New Roman" w:cs="Times New Roman"/>
          <w:sz w:val="24"/>
          <w:szCs w:val="24"/>
        </w:rPr>
        <w:t>Kabakcı</w:t>
      </w:r>
      <w:proofErr w:type="spellEnd"/>
      <w:r>
        <w:rPr>
          <w:rFonts w:ascii="Times New Roman" w:eastAsia="Times New Roman" w:hAnsi="Times New Roman" w:cs="Times New Roman"/>
          <w:sz w:val="24"/>
          <w:szCs w:val="24"/>
        </w:rPr>
        <w:t xml:space="preserve">, Ö., &amp; Mariman, R. (2025). Generative AI without guardrails can harm learning: Evidence from high school mathematics. </w:t>
      </w:r>
      <w:r>
        <w:rPr>
          <w:rFonts w:ascii="Times New Roman" w:eastAsia="Times New Roman" w:hAnsi="Times New Roman" w:cs="Times New Roman"/>
          <w:i/>
          <w:iCs/>
          <w:sz w:val="24"/>
          <w:szCs w:val="24"/>
        </w:rPr>
        <w:t>Proceedings of the National Academy of Sciences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122</w:t>
      </w:r>
      <w:r>
        <w:rPr>
          <w:rFonts w:ascii="Times New Roman" w:eastAsia="Times New Roman" w:hAnsi="Times New Roman" w:cs="Times New Roman"/>
          <w:sz w:val="24"/>
          <w:szCs w:val="24"/>
        </w:rPr>
        <w:t xml:space="preserve">(26). </w:t>
      </w:r>
      <w:hyperlink r:id="rId5">
        <w:r>
          <w:rPr>
            <w:rFonts w:ascii="Times New Roman" w:eastAsia="Times New Roman" w:hAnsi="Times New Roman" w:cs="Times New Roman"/>
            <w:color w:val="1155CC"/>
            <w:sz w:val="24"/>
            <w:szCs w:val="24"/>
            <w:u w:val="single"/>
          </w:rPr>
          <w:t>https://doi.org/10.1073/pnas.2422633122</w:t>
        </w:r>
      </w:hyperlink>
    </w:p>
    <w:p w14:paraId="00000030"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Boldt, A., &amp; Gilbert, S. J. (2019). Confidence guides spontaneous cognitive offloading. </w:t>
      </w:r>
      <w:r>
        <w:rPr>
          <w:rFonts w:ascii="Times New Roman" w:eastAsia="Times New Roman" w:hAnsi="Times New Roman" w:cs="Times New Roman"/>
          <w:i/>
          <w:iCs/>
          <w:sz w:val="24"/>
          <w:szCs w:val="24"/>
        </w:rPr>
        <w:t>Cognitive Research Principles and Implications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 xml:space="preserve">(1), 45. </w:t>
      </w:r>
      <w:hyperlink r:id="rId6">
        <w:r>
          <w:rPr>
            <w:rFonts w:ascii="Times New Roman" w:eastAsia="Times New Roman" w:hAnsi="Times New Roman" w:cs="Times New Roman"/>
            <w:color w:val="1155CC"/>
            <w:sz w:val="24"/>
            <w:szCs w:val="24"/>
            <w:u w:val="single"/>
          </w:rPr>
          <w:t>https://doi.org/</w:t>
        </w:r>
        <w:r>
          <w:rPr>
            <w:rFonts w:ascii="Times New Roman" w:eastAsia="Times New Roman" w:hAnsi="Times New Roman" w:cs="Times New Roman"/>
            <w:color w:val="1155CC"/>
            <w:sz w:val="24"/>
            <w:szCs w:val="24"/>
            <w:u w:val="single"/>
          </w:rPr>
          <w:t>1</w:t>
        </w:r>
        <w:r>
          <w:rPr>
            <w:rFonts w:ascii="Times New Roman" w:eastAsia="Times New Roman" w:hAnsi="Times New Roman" w:cs="Times New Roman"/>
            <w:color w:val="1155CC"/>
            <w:sz w:val="24"/>
            <w:szCs w:val="24"/>
            <w:u w:val="single"/>
          </w:rPr>
          <w:t>0.1186/s41235-019-0195-y</w:t>
        </w:r>
      </w:hyperlink>
      <w:r>
        <w:rPr>
          <w:rFonts w:ascii="Times New Roman" w:eastAsia="Times New Roman" w:hAnsi="Times New Roman" w:cs="Times New Roman"/>
          <w:sz w:val="24"/>
          <w:szCs w:val="24"/>
        </w:rPr>
        <w:t xml:space="preserve"> </w:t>
      </w:r>
    </w:p>
    <w:p w14:paraId="00000031"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Teens who use AI for schoolwork are handing off critical </w:t>
      </w:r>
      <w:proofErr w:type="gramStart"/>
      <w:r>
        <w:rPr>
          <w:rFonts w:ascii="Times New Roman" w:eastAsia="Times New Roman" w:hAnsi="Times New Roman" w:cs="Times New Roman"/>
          <w:i/>
          <w:iCs/>
          <w:sz w:val="24"/>
          <w:szCs w:val="24"/>
        </w:rPr>
        <w:t>thinking,</w:t>
      </w:r>
      <w:proofErr w:type="gramEnd"/>
      <w:r>
        <w:rPr>
          <w:rFonts w:ascii="Times New Roman" w:eastAsia="Times New Roman" w:hAnsi="Times New Roman" w:cs="Times New Roman"/>
          <w:i/>
          <w:iCs/>
          <w:sz w:val="24"/>
          <w:szCs w:val="24"/>
        </w:rPr>
        <w:t xml:space="preserve"> Common Sense Media Research finds</w:t>
      </w:r>
      <w:r>
        <w:rPr>
          <w:rFonts w:ascii="Times New Roman" w:eastAsia="Times New Roman" w:hAnsi="Times New Roman" w:cs="Times New Roman"/>
          <w:sz w:val="24"/>
          <w:szCs w:val="24"/>
        </w:rPr>
        <w:t xml:space="preserve">. (2026). Common Sense Media. </w:t>
      </w:r>
      <w:hyperlink r:id="rId7">
        <w:r>
          <w:rPr>
            <w:rFonts w:ascii="Times New Roman" w:eastAsia="Times New Roman" w:hAnsi="Times New Roman" w:cs="Times New Roman"/>
            <w:color w:val="1155CC"/>
            <w:sz w:val="24"/>
            <w:szCs w:val="24"/>
            <w:u w:val="single"/>
          </w:rPr>
          <w:t>https://www.commonsensemedia.org/press-releases/teens-who-use-ai-for-schoolwork-are-handing-off-critical-thinking-common-sense-media-research-finds</w:t>
        </w:r>
      </w:hyperlink>
    </w:p>
    <w:p w14:paraId="00000032"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 Y., Tang, L., Le, H., Shen, K., Tan, S., Zhao, Y., Shen, Y., Li, X., &amp; Dragan Gašević. (2024). Beware of metacognitive laziness: Effects of generative artificial intelligence on learning motivation, processes, and performance. </w:t>
      </w:r>
      <w:r>
        <w:rPr>
          <w:rFonts w:ascii="Times New Roman" w:eastAsia="Times New Roman" w:hAnsi="Times New Roman" w:cs="Times New Roman"/>
          <w:i/>
          <w:iCs/>
          <w:sz w:val="24"/>
          <w:szCs w:val="24"/>
        </w:rPr>
        <w:t>British Journal of Educational Technology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56</w:t>
      </w:r>
      <w:r>
        <w:rPr>
          <w:rFonts w:ascii="Times New Roman" w:eastAsia="Times New Roman" w:hAnsi="Times New Roman" w:cs="Times New Roman"/>
          <w:sz w:val="24"/>
          <w:szCs w:val="24"/>
        </w:rPr>
        <w:t xml:space="preserve">(2). </w:t>
      </w:r>
      <w:hyperlink r:id="rId8">
        <w:r>
          <w:rPr>
            <w:rFonts w:ascii="Times New Roman" w:eastAsia="Times New Roman" w:hAnsi="Times New Roman" w:cs="Times New Roman"/>
            <w:color w:val="1155CC"/>
            <w:sz w:val="24"/>
            <w:szCs w:val="24"/>
            <w:u w:val="single"/>
          </w:rPr>
          <w:t>https://doi.org/10.1111/bjet.13544</w:t>
        </w:r>
      </w:hyperlink>
    </w:p>
    <w:p w14:paraId="00000033"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Koriat</w:t>
      </w:r>
      <w:proofErr w:type="spellEnd"/>
      <w:r>
        <w:rPr>
          <w:rFonts w:ascii="Times New Roman" w:eastAsia="Times New Roman" w:hAnsi="Times New Roman" w:cs="Times New Roman"/>
          <w:sz w:val="24"/>
          <w:szCs w:val="24"/>
        </w:rPr>
        <w:t xml:space="preserve">, A. (1997). Monitoring one’s own knowledge during study: A cue-utilization approach to judgments of learning. </w:t>
      </w:r>
      <w:r>
        <w:rPr>
          <w:rFonts w:ascii="Times New Roman" w:eastAsia="Times New Roman" w:hAnsi="Times New Roman" w:cs="Times New Roman"/>
          <w:i/>
          <w:iCs/>
          <w:sz w:val="24"/>
          <w:szCs w:val="24"/>
        </w:rPr>
        <w:t>Journal of Experimental Psychology: General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126</w:t>
      </w:r>
      <w:r>
        <w:rPr>
          <w:rFonts w:ascii="Times New Roman" w:eastAsia="Times New Roman" w:hAnsi="Times New Roman" w:cs="Times New Roman"/>
          <w:sz w:val="24"/>
          <w:szCs w:val="24"/>
        </w:rPr>
        <w:t xml:space="preserve">(4), 349–370. </w:t>
      </w:r>
      <w:hyperlink r:id="rId9">
        <w:r>
          <w:rPr>
            <w:rFonts w:ascii="Times New Roman" w:eastAsia="Times New Roman" w:hAnsi="Times New Roman" w:cs="Times New Roman"/>
            <w:color w:val="1155CC"/>
            <w:sz w:val="24"/>
            <w:szCs w:val="24"/>
            <w:u w:val="single"/>
          </w:rPr>
          <w:t>https://doi.org/10.1037/0096-3445.126.4.349</w:t>
        </w:r>
      </w:hyperlink>
    </w:p>
    <w:p w14:paraId="00000034"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Risko, E. F., &amp; Gilbert, S. J. (2016). Cognitive offloading. </w:t>
      </w:r>
      <w:r>
        <w:rPr>
          <w:rFonts w:ascii="Times New Roman" w:eastAsia="Times New Roman" w:hAnsi="Times New Roman" w:cs="Times New Roman"/>
          <w:i/>
          <w:iCs/>
          <w:sz w:val="24"/>
          <w:szCs w:val="24"/>
        </w:rPr>
        <w:t>Trends in Cognitive Sciences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20</w:t>
      </w:r>
      <w:r>
        <w:rPr>
          <w:rFonts w:ascii="Times New Roman" w:eastAsia="Times New Roman" w:hAnsi="Times New Roman" w:cs="Times New Roman"/>
          <w:sz w:val="24"/>
          <w:szCs w:val="24"/>
        </w:rPr>
        <w:t xml:space="preserve">(9), 676–688. </w:t>
      </w:r>
      <w:hyperlink r:id="rId10">
        <w:r>
          <w:rPr>
            <w:rFonts w:ascii="Times New Roman" w:eastAsia="Times New Roman" w:hAnsi="Times New Roman" w:cs="Times New Roman"/>
            <w:color w:val="1155CC"/>
            <w:sz w:val="24"/>
            <w:szCs w:val="24"/>
            <w:u w:val="single"/>
          </w:rPr>
          <w:t>https://doi.org/10.1016/j.tics.2016.07.002</w:t>
        </w:r>
      </w:hyperlink>
    </w:p>
    <w:p w14:paraId="00000035" w14:textId="77777777" w:rsidR="003C20AD" w:rsidRDefault="00000000" w:rsidP="00B07A90">
      <w:pPr>
        <w:spacing w:line="480" w:lineRule="auto"/>
        <w:ind w:left="480" w:hangingChars="200" w:hanging="480"/>
        <w:rPr>
          <w:rFonts w:ascii="Times New Roman" w:eastAsia="Times New Roman" w:hAnsi="Times New Roman" w:cs="Times New Roman"/>
          <w:color w:val="38761D"/>
          <w:sz w:val="24"/>
          <w:szCs w:val="24"/>
        </w:rPr>
      </w:pPr>
      <w:r>
        <w:rPr>
          <w:rFonts w:ascii="Times New Roman" w:eastAsia="Times New Roman" w:hAnsi="Times New Roman" w:cs="Times New Roman"/>
          <w:sz w:val="24"/>
          <w:szCs w:val="24"/>
        </w:rPr>
        <w:lastRenderedPageBreak/>
        <w:t xml:space="preserve">Stephenson, R., &amp; Armstrong, C. (2026, March 12). </w:t>
      </w:r>
      <w:r>
        <w:rPr>
          <w:rFonts w:ascii="Times New Roman" w:eastAsia="Times New Roman" w:hAnsi="Times New Roman" w:cs="Times New Roman"/>
          <w:i/>
          <w:iCs/>
          <w:sz w:val="24"/>
          <w:szCs w:val="24"/>
        </w:rPr>
        <w:t>Student generative artificial intelligence survey 2026</w:t>
      </w:r>
      <w:r>
        <w:rPr>
          <w:rFonts w:ascii="Times New Roman" w:eastAsia="Times New Roman" w:hAnsi="Times New Roman" w:cs="Times New Roman"/>
          <w:sz w:val="24"/>
          <w:szCs w:val="24"/>
        </w:rPr>
        <w:t xml:space="preserve"> (HEPI Report No. 199). Higher Education Policy Institute. </w:t>
      </w:r>
      <w:hyperlink r:id="rId11">
        <w:r>
          <w:rPr>
            <w:rFonts w:ascii="Times New Roman" w:eastAsia="Times New Roman" w:hAnsi="Times New Roman" w:cs="Times New Roman"/>
            <w:color w:val="1155CC"/>
            <w:sz w:val="24"/>
            <w:szCs w:val="24"/>
            <w:u w:val="single"/>
          </w:rPr>
          <w:t>https://www.hepi.ac.uk/reports/student-generative-ai-survey-2026/</w:t>
        </w:r>
      </w:hyperlink>
    </w:p>
    <w:p w14:paraId="00000036"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Tankelevitch</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Kewenig</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Simkute</w:t>
      </w:r>
      <w:proofErr w:type="spellEnd"/>
      <w:r>
        <w:rPr>
          <w:rFonts w:ascii="Times New Roman" w:eastAsia="Times New Roman" w:hAnsi="Times New Roman" w:cs="Times New Roman"/>
          <w:sz w:val="24"/>
          <w:szCs w:val="24"/>
        </w:rPr>
        <w:t xml:space="preserve">, A., Scott, A. E., Sarkar, A., Sellen, A., &amp; Rintel, S. (2024). The Metacognitive Demands and Opportunities of Generative AI. </w:t>
      </w:r>
      <w:r>
        <w:rPr>
          <w:rFonts w:ascii="Times New Roman" w:eastAsia="Times New Roman" w:hAnsi="Times New Roman" w:cs="Times New Roman"/>
          <w:i/>
          <w:iCs/>
          <w:sz w:val="24"/>
          <w:szCs w:val="24"/>
        </w:rPr>
        <w:t>Proceedings of the CHI Conference on Human Factors in Computing Systems</w:t>
      </w:r>
      <w:r>
        <w:rPr>
          <w:rFonts w:ascii="Times New Roman" w:eastAsia="Times New Roman" w:hAnsi="Times New Roman" w:cs="Times New Roman"/>
          <w:sz w:val="24"/>
          <w:szCs w:val="24"/>
        </w:rPr>
        <w:t xml:space="preserve">, 1–24. </w:t>
      </w:r>
      <w:hyperlink r:id="rId12">
        <w:r>
          <w:rPr>
            <w:rFonts w:ascii="Times New Roman" w:eastAsia="Times New Roman" w:hAnsi="Times New Roman" w:cs="Times New Roman"/>
            <w:color w:val="1155CC"/>
            <w:sz w:val="24"/>
            <w:szCs w:val="24"/>
            <w:u w:val="single"/>
          </w:rPr>
          <w:t>https://doi.org/10.1145/3613904.3642902</w:t>
        </w:r>
      </w:hyperlink>
      <w:r>
        <w:rPr>
          <w:rFonts w:ascii="Times New Roman" w:eastAsia="Times New Roman" w:hAnsi="Times New Roman" w:cs="Times New Roman"/>
          <w:sz w:val="24"/>
          <w:szCs w:val="24"/>
        </w:rPr>
        <w:t xml:space="preserve"> </w:t>
      </w:r>
    </w:p>
    <w:p w14:paraId="00000037" w14:textId="77777777" w:rsidR="003C20AD" w:rsidRDefault="00000000" w:rsidP="00B07A90">
      <w:pPr>
        <w:spacing w:line="480" w:lineRule="auto"/>
        <w:ind w:left="480" w:hangingChars="200" w:hanging="480"/>
        <w:rPr>
          <w:rFonts w:ascii="Times New Roman" w:eastAsia="Times New Roman" w:hAnsi="Times New Roman" w:cs="Times New Roman"/>
          <w:color w:val="38761D"/>
          <w:sz w:val="24"/>
          <w:szCs w:val="24"/>
        </w:rPr>
      </w:pPr>
      <w:r>
        <w:rPr>
          <w:rFonts w:ascii="Times New Roman" w:eastAsia="Times New Roman" w:hAnsi="Times New Roman" w:cs="Times New Roman"/>
          <w:sz w:val="24"/>
          <w:szCs w:val="24"/>
        </w:rPr>
        <w:t xml:space="preserve">Teng, Da, Tan, L., Cao, Q., Xia, Y., Zhang, N., Li, J., &amp; Zhao, D. (2026). Impact of AI misinformation on diagnostic accuracy and confidence calibration in novice medical students. </w:t>
      </w:r>
      <w:proofErr w:type="spellStart"/>
      <w:r>
        <w:rPr>
          <w:rFonts w:ascii="Times New Roman" w:eastAsia="Times New Roman" w:hAnsi="Times New Roman" w:cs="Times New Roman"/>
          <w:i/>
          <w:iCs/>
          <w:sz w:val="24"/>
          <w:szCs w:val="24"/>
        </w:rPr>
        <w:t>Npj</w:t>
      </w:r>
      <w:proofErr w:type="spellEnd"/>
      <w:r>
        <w:rPr>
          <w:rFonts w:ascii="Times New Roman" w:eastAsia="Times New Roman" w:hAnsi="Times New Roman" w:cs="Times New Roman"/>
          <w:i/>
          <w:iCs/>
          <w:sz w:val="24"/>
          <w:szCs w:val="24"/>
        </w:rPr>
        <w:t xml:space="preserve"> Digital Medicine</w:t>
      </w:r>
      <w:r>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1155CC"/>
            <w:sz w:val="24"/>
            <w:szCs w:val="24"/>
            <w:u w:val="single"/>
          </w:rPr>
          <w:t>https://doi.org/10.1038/s41746-026-02547-z</w:t>
        </w:r>
      </w:hyperlink>
    </w:p>
    <w:p w14:paraId="00000038" w14:textId="77777777" w:rsidR="003C20AD" w:rsidRDefault="00000000" w:rsidP="00B07A90">
      <w:pPr>
        <w:spacing w:line="480" w:lineRule="auto"/>
        <w:ind w:left="480" w:hangingChars="20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Zhu, Q., Li, X., Dong, Y., Chang, P., &amp; Fan, M. (2026b). Not all cognitive offloading is equal: Distinguishing dependent and autonomous offloading to generative AI. </w:t>
      </w:r>
      <w:r>
        <w:rPr>
          <w:rFonts w:ascii="Times New Roman" w:eastAsia="Times New Roman" w:hAnsi="Times New Roman" w:cs="Times New Roman"/>
          <w:i/>
          <w:iCs/>
          <w:sz w:val="24"/>
          <w:szCs w:val="24"/>
        </w:rPr>
        <w:t>Frontiers in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w:t>
      </w:r>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155CC"/>
            <w:sz w:val="24"/>
            <w:szCs w:val="24"/>
            <w:u w:val="single"/>
          </w:rPr>
          <w:t>https://doi.org/10.3389/fpsyg.2026.1878629</w:t>
        </w:r>
      </w:hyperlink>
    </w:p>
    <w:p w14:paraId="00000039" w14:textId="77777777" w:rsidR="003C20AD" w:rsidRDefault="003C20AD">
      <w:pPr>
        <w:rPr>
          <w:rFonts w:hint="eastAsia"/>
        </w:rPr>
      </w:pPr>
    </w:p>
    <w:sectPr w:rsidR="003C20A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4CF2C8C-2B5D-A344-982B-0670C3A82781}"/>
    <w:embedItalic r:id="rId2" w:fontKey="{DDB9C55C-FAB3-CB41-A6E9-947F9AF1A02A}"/>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3" w:fontKey="{AE07B858-8D36-1647-BCBE-3E65149E3369}"/>
    <w:embedBold r:id="rId4" w:fontKey="{C12A6D10-BC2C-F14C-9E01-6A10A2C92912}"/>
    <w:embedItalic r:id="rId5" w:fontKey="{4A6388FC-E62D-C342-9750-760030FAF0E2}"/>
  </w:font>
  <w:font w:name="Calibri">
    <w:panose1 w:val="020F0502020204030204"/>
    <w:charset w:val="00"/>
    <w:family w:val="modern"/>
    <w:pitch w:val="variable"/>
    <w:sig w:usb0="00000003" w:usb1="00000000" w:usb2="00000000" w:usb3="00000000" w:csb0="00000001" w:csb1="00000000"/>
    <w:embedRegular r:id="rId6" w:fontKey="{4BA18AB0-B275-2847-9E2B-A198D88568EA}"/>
  </w:font>
  <w:font w:name="Cambria">
    <w:panose1 w:val="02040503050406030204"/>
    <w:charset w:val="00"/>
    <w:family w:val="roman"/>
    <w:pitch w:val="variable"/>
    <w:sig w:usb0="E00002FF" w:usb1="400004FF" w:usb2="00000000" w:usb3="00000000" w:csb0="0000019F" w:csb1="00000000"/>
    <w:embedRegular r:id="rId7" w:fontKey="{2F8894E5-B858-9842-B4B2-E61EB38E05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0AD"/>
    <w:rsid w:val="002D2525"/>
    <w:rsid w:val="003A18C7"/>
    <w:rsid w:val="003C20AD"/>
    <w:rsid w:val="005E53F7"/>
    <w:rsid w:val="00907A60"/>
    <w:rsid w:val="0093027C"/>
    <w:rsid w:val="00B07A90"/>
    <w:rsid w:val="00CA7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D5FD43"/>
  <w15:docId w15:val="{731C7A48-838D-1149-ACCD-59F3C7444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11/bjet.13544" TargetMode="External"/><Relationship Id="rId13" Type="http://schemas.openxmlformats.org/officeDocument/2006/relationships/hyperlink" Target="https://doi.org/10.1038/s41746-026-02547-z" TargetMode="External"/><Relationship Id="rId3" Type="http://schemas.openxmlformats.org/officeDocument/2006/relationships/webSettings" Target="webSettings.xml"/><Relationship Id="rId7" Type="http://schemas.openxmlformats.org/officeDocument/2006/relationships/hyperlink" Target="https://www.commonsensemedia.org/press-releases/teens-who-use-ai-for-schoolwork-are-handing-off-critical-thinking-common-sense-media-research-finds" TargetMode="External"/><Relationship Id="rId12" Type="http://schemas.openxmlformats.org/officeDocument/2006/relationships/hyperlink" Target="https://doi.org/10.1145/3613904.364290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186/s41235-019-0195-y" TargetMode="External"/><Relationship Id="rId11" Type="http://schemas.openxmlformats.org/officeDocument/2006/relationships/hyperlink" Target="https://www.hepi.ac.uk/reports/student-generative-ai-survey-2026/" TargetMode="External"/><Relationship Id="rId5" Type="http://schemas.openxmlformats.org/officeDocument/2006/relationships/hyperlink" Target="https://doi.org/10.1073/pnas.2422633122" TargetMode="External"/><Relationship Id="rId15" Type="http://schemas.openxmlformats.org/officeDocument/2006/relationships/fontTable" Target="fontTable.xml"/><Relationship Id="rId10" Type="http://schemas.openxmlformats.org/officeDocument/2006/relationships/hyperlink" Target="https://doi.org/10.1016/j.tics.2016.07.002" TargetMode="External"/><Relationship Id="rId4" Type="http://schemas.openxmlformats.org/officeDocument/2006/relationships/hyperlink" Target="https://doi.org/10.3758/s13421-024-01621-9" TargetMode="External"/><Relationship Id="rId9" Type="http://schemas.openxmlformats.org/officeDocument/2006/relationships/hyperlink" Target="https://doi.org/10.1037/0096-3445.126.4.349" TargetMode="External"/><Relationship Id="rId14" Type="http://schemas.openxmlformats.org/officeDocument/2006/relationships/hyperlink" Target="https://doi.org/10.3389/fpsyg.2026.187862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6265</Words>
  <Characters>8836</Characters>
  <Application>Microsoft Office Word</Application>
  <DocSecurity>0</DocSecurity>
  <Lines>384</Lines>
  <Paragraphs>232</Paragraphs>
  <ScaleCrop>false</ScaleCrop>
  <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c57537</cp:lastModifiedBy>
  <cp:revision>2</cp:revision>
  <cp:lastPrinted>2026-09-01T14:43:00Z</cp:lastPrinted>
  <dcterms:created xsi:type="dcterms:W3CDTF">2026-09-01T14:54:00Z</dcterms:created>
  <dcterms:modified xsi:type="dcterms:W3CDTF">2026-09-01T14:54:00Z</dcterms:modified>
</cp:coreProperties>
</file>