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1BEE" w14:textId="77777777" w:rsidR="006215D0" w:rsidRDefault="00000000">
      <w:pPr>
        <w:shd w:val="clear" w:color="auto" w:fill="1B3A6B"/>
        <w:spacing w:before="480" w:after="80"/>
        <w:ind w:left="200" w:right="200"/>
        <w:jc w:val="center"/>
      </w:pPr>
      <w:r>
        <w:rPr>
          <w:b/>
          <w:bCs/>
          <w:color w:val="FFFFFF"/>
          <w:sz w:val="52"/>
          <w:szCs w:val="52"/>
        </w:rPr>
        <w:t>A.M.I CONSULTING</w:t>
      </w:r>
    </w:p>
    <w:p w14:paraId="5B635326" w14:textId="77777777" w:rsidR="006215D0" w:rsidRDefault="00000000">
      <w:pPr>
        <w:shd w:val="clear" w:color="auto" w:fill="1B3A6B"/>
        <w:spacing w:after="480"/>
        <w:ind w:left="200" w:right="200"/>
        <w:jc w:val="center"/>
      </w:pPr>
      <w:r>
        <w:rPr>
          <w:i/>
          <w:iCs/>
          <w:color w:val="A8C4E0"/>
          <w:sz w:val="22"/>
          <w:szCs w:val="22"/>
        </w:rPr>
        <w:t>Anticiper  ·  Modéliser  ·  Industrialiser</w:t>
      </w:r>
    </w:p>
    <w:p w14:paraId="0C79C2E8" w14:textId="77777777" w:rsidR="006215D0" w:rsidRDefault="00000000">
      <w:pPr>
        <w:spacing w:before="400" w:after="120"/>
        <w:jc w:val="center"/>
      </w:pPr>
      <w:r>
        <w:rPr>
          <w:b/>
          <w:bCs/>
          <w:color w:val="1B3A6B"/>
          <w:sz w:val="48"/>
          <w:szCs w:val="48"/>
        </w:rPr>
        <w:t>NOS CAS CLIENTS</w:t>
      </w:r>
    </w:p>
    <w:p w14:paraId="3636F98D" w14:textId="68F60B16" w:rsidR="006215D0" w:rsidRDefault="00856119">
      <w:pPr>
        <w:spacing w:after="60"/>
        <w:jc w:val="center"/>
      </w:pPr>
      <w:r>
        <w:rPr>
          <w:i/>
          <w:iCs/>
          <w:color w:val="666666"/>
          <w:sz w:val="22"/>
          <w:szCs w:val="22"/>
        </w:rPr>
        <w:t>6</w:t>
      </w:r>
      <w:r w:rsidR="00000000">
        <w:rPr>
          <w:i/>
          <w:iCs/>
          <w:color w:val="666666"/>
          <w:sz w:val="22"/>
          <w:szCs w:val="22"/>
        </w:rPr>
        <w:t xml:space="preserve"> missions détaillées — Industrie, Défense, Assurance</w:t>
      </w:r>
    </w:p>
    <w:p w14:paraId="3DE4AF65" w14:textId="092995C1" w:rsidR="00856119" w:rsidRPr="00856119" w:rsidRDefault="00000000" w:rsidP="00856119">
      <w:pPr>
        <w:spacing w:after="600"/>
        <w:jc w:val="center"/>
        <w:rPr>
          <w:i/>
          <w:iCs/>
          <w:color w:val="999999"/>
          <w:sz w:val="18"/>
          <w:szCs w:val="18"/>
        </w:rPr>
      </w:pPr>
      <w:r>
        <w:rPr>
          <w:i/>
          <w:iCs/>
          <w:color w:val="999999"/>
          <w:sz w:val="18"/>
          <w:szCs w:val="18"/>
        </w:rPr>
        <w:t>Tous les clients sont anonymisés conformément à nos engagements de confidentialité</w:t>
      </w:r>
    </w:p>
    <w:p w14:paraId="4CBF9835" w14:textId="77777777" w:rsidR="006215D0" w:rsidRDefault="006215D0">
      <w:pPr>
        <w:spacing w:before="400" w:after="60"/>
      </w:pPr>
    </w:p>
    <w:p w14:paraId="6D3EF5D4" w14:textId="77777777" w:rsidR="006215D0" w:rsidRDefault="00000000">
      <w:pPr>
        <w:shd w:val="clear" w:color="auto" w:fill="D6E4F7"/>
        <w:spacing w:after="80"/>
      </w:pPr>
      <w:r>
        <w:rPr>
          <w:b/>
          <w:bCs/>
          <w:color w:val="2E6DB4"/>
          <w:sz w:val="18"/>
          <w:szCs w:val="18"/>
        </w:rPr>
        <w:t xml:space="preserve"> Comptabilité </w:t>
      </w:r>
    </w:p>
    <w:p w14:paraId="2369B849" w14:textId="0A581348" w:rsidR="006215D0" w:rsidRDefault="00000000">
      <w:pPr>
        <w:spacing w:after="60"/>
      </w:pPr>
      <w:r>
        <w:rPr>
          <w:b/>
          <w:bCs/>
          <w:color w:val="2E6DB4"/>
          <w:sz w:val="18"/>
          <w:szCs w:val="18"/>
        </w:rPr>
        <w:t>CAS CLIENT N°0</w:t>
      </w:r>
      <w:r w:rsidR="00856119">
        <w:rPr>
          <w:b/>
          <w:bCs/>
          <w:color w:val="2E6DB4"/>
          <w:sz w:val="18"/>
          <w:szCs w:val="18"/>
        </w:rPr>
        <w:t>5</w:t>
      </w:r>
    </w:p>
    <w:p w14:paraId="29CF7C26" w14:textId="77777777" w:rsidR="006215D0" w:rsidRDefault="00000000">
      <w:pPr>
        <w:spacing w:after="200"/>
      </w:pPr>
      <w:r>
        <w:rPr>
          <w:b/>
          <w:bCs/>
          <w:color w:val="1B3A6B"/>
          <w:sz w:val="30"/>
          <w:szCs w:val="30"/>
        </w:rPr>
        <w:t>Comptabilité technique &amp; transformation digitale dans le secteur de la réassurance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000"/>
      </w:tblGrid>
      <w:tr w:rsidR="006215D0" w14:paraId="6DDF7FF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A770D" w14:textId="77777777" w:rsidR="006215D0" w:rsidRDefault="00000000">
            <w:r>
              <w:rPr>
                <w:b/>
                <w:bCs/>
                <w:color w:val="1B3A6B"/>
                <w:sz w:val="18"/>
                <w:szCs w:val="18"/>
              </w:rPr>
              <w:t>Secteur</w:t>
            </w:r>
          </w:p>
        </w:tc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5FEDF" w14:textId="77777777" w:rsidR="006215D0" w:rsidRDefault="00000000">
            <w:r>
              <w:rPr>
                <w:sz w:val="18"/>
                <w:szCs w:val="18"/>
              </w:rPr>
              <w:t>Assurance / Réassurance</w:t>
            </w:r>
          </w:p>
        </w:tc>
      </w:tr>
      <w:tr w:rsidR="006215D0" w14:paraId="6B7CB45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DD19F" w14:textId="77777777" w:rsidR="006215D0" w:rsidRDefault="00000000">
            <w:r>
              <w:rPr>
                <w:b/>
                <w:bCs/>
                <w:color w:val="1B3A6B"/>
                <w:sz w:val="18"/>
                <w:szCs w:val="18"/>
              </w:rPr>
              <w:t>Client</w:t>
            </w:r>
          </w:p>
        </w:tc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F89F8" w14:textId="77777777" w:rsidR="006215D0" w:rsidRDefault="00000000">
            <w:r>
              <w:rPr>
                <w:sz w:val="18"/>
                <w:szCs w:val="18"/>
              </w:rPr>
              <w:t>Groupe de réassurance international + mutuelle professionnelle — anonymisés</w:t>
            </w:r>
          </w:p>
        </w:tc>
      </w:tr>
      <w:tr w:rsidR="006215D0" w14:paraId="329D98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ECE10" w14:textId="77777777" w:rsidR="006215D0" w:rsidRDefault="00000000">
            <w:r>
              <w:rPr>
                <w:b/>
                <w:bCs/>
                <w:color w:val="1B3A6B"/>
                <w:sz w:val="18"/>
                <w:szCs w:val="18"/>
              </w:rPr>
              <w:t>Durée</w:t>
            </w:r>
          </w:p>
        </w:tc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403AA" w14:textId="77777777" w:rsidR="006215D0" w:rsidRDefault="00000000">
            <w:r>
              <w:rPr>
                <w:sz w:val="18"/>
                <w:szCs w:val="18"/>
              </w:rPr>
              <w:t>24 mois puis mission complémentaire</w:t>
            </w:r>
          </w:p>
        </w:tc>
      </w:tr>
      <w:tr w:rsidR="006215D0" w14:paraId="1253184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B9262" w14:textId="77777777" w:rsidR="006215D0" w:rsidRDefault="00000000">
            <w:r>
              <w:rPr>
                <w:b/>
                <w:bCs/>
                <w:color w:val="1B3A6B"/>
                <w:sz w:val="18"/>
                <w:szCs w:val="18"/>
              </w:rPr>
              <w:t>Profil</w:t>
            </w:r>
          </w:p>
        </w:tc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BAEF1" w14:textId="77777777" w:rsidR="006215D0" w:rsidRDefault="00000000">
            <w:r>
              <w:rPr>
                <w:sz w:val="18"/>
                <w:szCs w:val="18"/>
              </w:rPr>
              <w:t>Consultante Comptable — Mastère Contrôle de gestion, expert SAP/CEGID/Qualiac/Sage</w:t>
            </w:r>
          </w:p>
        </w:tc>
      </w:tr>
    </w:tbl>
    <w:p w14:paraId="18D68B7A" w14:textId="77777777" w:rsidR="006215D0" w:rsidRDefault="006215D0">
      <w:pPr>
        <w:spacing w:before="160" w:after="40"/>
      </w:pPr>
    </w:p>
    <w:p w14:paraId="79B17639" w14:textId="77777777" w:rsidR="006215D0" w:rsidRDefault="00000000">
      <w:pPr>
        <w:shd w:val="clear" w:color="auto" w:fill="2E6DB4"/>
        <w:spacing w:before="240" w:after="80"/>
      </w:pPr>
      <w:r>
        <w:rPr>
          <w:b/>
          <w:bCs/>
          <w:color w:val="FFFFFF"/>
          <w:sz w:val="20"/>
          <w:szCs w:val="20"/>
        </w:rPr>
        <w:t xml:space="preserve">  Résultats obtenus</w:t>
      </w:r>
    </w:p>
    <w:p w14:paraId="28115DAC" w14:textId="77777777" w:rsidR="006215D0" w:rsidRDefault="006215D0">
      <w:pPr>
        <w:spacing w:before="80" w:after="6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6"/>
        <w:gridCol w:w="3067"/>
        <w:gridCol w:w="3067"/>
      </w:tblGrid>
      <w:tr w:rsidR="006215D0" w14:paraId="48231D35" w14:textId="77777777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4357CA" w14:textId="77777777" w:rsidR="006215D0" w:rsidRDefault="00000000">
            <w:pPr>
              <w:jc w:val="center"/>
            </w:pPr>
            <w:r>
              <w:rPr>
                <w:b/>
                <w:bCs/>
                <w:color w:val="2E6DB4"/>
                <w:sz w:val="28"/>
                <w:szCs w:val="28"/>
              </w:rPr>
              <w:t>Clôtures</w:t>
            </w:r>
          </w:p>
          <w:p w14:paraId="5B8BC516" w14:textId="77777777" w:rsidR="006215D0" w:rsidRDefault="00000000">
            <w:pPr>
              <w:spacing w:before="40"/>
              <w:jc w:val="center"/>
            </w:pPr>
            <w:r>
              <w:rPr>
                <w:color w:val="555555"/>
                <w:sz w:val="17"/>
                <w:szCs w:val="17"/>
              </w:rPr>
              <w:t>fiabilisées</w:t>
            </w:r>
          </w:p>
        </w:tc>
        <w:tc>
          <w:tcPr>
            <w:tcW w:w="3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C14BBA1" w14:textId="77777777" w:rsidR="006215D0" w:rsidRDefault="00000000">
            <w:pPr>
              <w:jc w:val="center"/>
            </w:pPr>
            <w:r>
              <w:rPr>
                <w:b/>
                <w:bCs/>
                <w:color w:val="2E6DB4"/>
                <w:sz w:val="28"/>
                <w:szCs w:val="28"/>
              </w:rPr>
              <w:t>Migration CEGID</w:t>
            </w:r>
          </w:p>
          <w:p w14:paraId="626ED2C6" w14:textId="77777777" w:rsidR="006215D0" w:rsidRDefault="00000000">
            <w:pPr>
              <w:spacing w:before="40"/>
              <w:jc w:val="center"/>
            </w:pPr>
            <w:r>
              <w:rPr>
                <w:color w:val="555555"/>
                <w:sz w:val="17"/>
                <w:szCs w:val="17"/>
              </w:rPr>
              <w:t>réussie</w:t>
            </w:r>
          </w:p>
        </w:tc>
        <w:tc>
          <w:tcPr>
            <w:tcW w:w="3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098D41D" w14:textId="77777777" w:rsidR="006215D0" w:rsidRDefault="00000000">
            <w:pPr>
              <w:jc w:val="center"/>
            </w:pPr>
            <w:r>
              <w:rPr>
                <w:b/>
                <w:bCs/>
                <w:color w:val="2E6DB4"/>
                <w:sz w:val="28"/>
                <w:szCs w:val="28"/>
              </w:rPr>
              <w:t>Reporting</w:t>
            </w:r>
          </w:p>
          <w:p w14:paraId="120E42BE" w14:textId="77777777" w:rsidR="006215D0" w:rsidRDefault="00000000">
            <w:pPr>
              <w:spacing w:before="40"/>
              <w:jc w:val="center"/>
            </w:pPr>
            <w:r>
              <w:rPr>
                <w:color w:val="555555"/>
                <w:sz w:val="17"/>
                <w:szCs w:val="17"/>
              </w:rPr>
              <w:t>dans les délais</w:t>
            </w:r>
          </w:p>
        </w:tc>
      </w:tr>
    </w:tbl>
    <w:p w14:paraId="06245E36" w14:textId="77777777" w:rsidR="006215D0" w:rsidRDefault="006215D0">
      <w:pPr>
        <w:spacing w:before="60" w:after="60"/>
      </w:pPr>
    </w:p>
    <w:p w14:paraId="3C3EFCEF" w14:textId="77777777" w:rsidR="006215D0" w:rsidRDefault="00000000">
      <w:pPr>
        <w:shd w:val="clear" w:color="auto" w:fill="2E6DB4"/>
        <w:spacing w:before="240" w:after="80"/>
      </w:pPr>
      <w:r>
        <w:rPr>
          <w:b/>
          <w:bCs/>
          <w:color w:val="FFFFFF"/>
          <w:sz w:val="20"/>
          <w:szCs w:val="20"/>
        </w:rPr>
        <w:t xml:space="preserve">  Contexte &amp; problématique</w:t>
      </w:r>
    </w:p>
    <w:p w14:paraId="577A22F5" w14:textId="77777777" w:rsidR="006215D0" w:rsidRDefault="006215D0">
      <w:pPr>
        <w:spacing w:before="80" w:after="60"/>
      </w:pPr>
    </w:p>
    <w:p w14:paraId="039BEB72" w14:textId="77777777" w:rsidR="006215D0" w:rsidRDefault="00000000">
      <w:pPr>
        <w:spacing w:before="40" w:after="40"/>
      </w:pPr>
      <w:r>
        <w:rPr>
          <w:color w:val="333333"/>
        </w:rPr>
        <w:t>Deux missions consécutives à fort enjeu : d'abord fiabiliser la comptabilité technique d'un groupe de réassurance international (justification des comptes, validation des résultats trimestriels) ; ensuite accompagner une mutuelle professionnelle dans sa migration vers un nouvel outil comptable (CEGID), en assurant la continuité opérationnelle et la formation des équipes.</w:t>
      </w:r>
    </w:p>
    <w:p w14:paraId="0FA4311C" w14:textId="77777777" w:rsidR="006215D0" w:rsidRDefault="006215D0">
      <w:pPr>
        <w:spacing w:before="60" w:after="40"/>
      </w:pPr>
    </w:p>
    <w:p w14:paraId="28FCB798" w14:textId="77777777" w:rsidR="006215D0" w:rsidRDefault="00000000">
      <w:pPr>
        <w:shd w:val="clear" w:color="auto" w:fill="2E6DB4"/>
        <w:spacing w:before="240" w:after="80"/>
      </w:pPr>
      <w:r>
        <w:rPr>
          <w:b/>
          <w:bCs/>
          <w:color w:val="FFFFFF"/>
          <w:sz w:val="20"/>
          <w:szCs w:val="20"/>
        </w:rPr>
        <w:t xml:space="preserve">  Approche AMI Consulting</w:t>
      </w:r>
    </w:p>
    <w:p w14:paraId="021C1372" w14:textId="77777777" w:rsidR="006215D0" w:rsidRDefault="006215D0">
      <w:pPr>
        <w:spacing w:before="80" w:after="60"/>
      </w:pPr>
    </w:p>
    <w:p w14:paraId="0A22ABFF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Justification et analyse des comptes de réassurance (acceptation et cession)</w:t>
      </w:r>
    </w:p>
    <w:p w14:paraId="6F2D163A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Analyse des soldes, primes, sinistres et portefeuille étranger</w:t>
      </w:r>
    </w:p>
    <w:p w14:paraId="2FBA8F92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Validation des comptes de résultats trimestriels et annuels</w:t>
      </w:r>
    </w:p>
    <w:p w14:paraId="23229CF2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Analyse des conditions contractuelles de réassurance</w:t>
      </w:r>
    </w:p>
    <w:p w14:paraId="01EBBFA4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Mise en place de la trame d'import vers le nouvel outil CEGID</w:t>
      </w:r>
    </w:p>
    <w:p w14:paraId="4C23B43E" w14:textId="77777777" w:rsidR="006215D0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color w:val="333333"/>
        </w:rPr>
        <w:t>Intégration des données (décomptes, estimations, factures) et transformation des fichiers</w:t>
      </w:r>
    </w:p>
    <w:p w14:paraId="10C69B2D" w14:textId="77777777" w:rsidR="006215D0" w:rsidRDefault="006215D0">
      <w:pPr>
        <w:spacing w:before="160" w:after="40"/>
      </w:pPr>
    </w:p>
    <w:p w14:paraId="2E3BC000" w14:textId="77777777" w:rsidR="006215D0" w:rsidRDefault="00000000">
      <w:pPr>
        <w:shd w:val="clear" w:color="auto" w:fill="F7F9FC"/>
        <w:spacing w:before="100" w:after="100"/>
        <w:ind w:left="240" w:right="240"/>
      </w:pPr>
      <w:r>
        <w:rPr>
          <w:i/>
          <w:iCs/>
          <w:color w:val="444444"/>
        </w:rPr>
        <w:t>La capacité à intervenir simultanément sur la dimension technique (comptabilité de réassurance) et la dimension transformation (migration outil) démontre la polyvalence des consultants AMI Consulting dans le secteur assurance.</w:t>
      </w:r>
    </w:p>
    <w:p w14:paraId="454191BF" w14:textId="77777777" w:rsidR="006215D0" w:rsidRDefault="006215D0">
      <w:pPr>
        <w:spacing w:before="200" w:after="80"/>
      </w:pPr>
    </w:p>
    <w:p w14:paraId="7F812CBE" w14:textId="77777777" w:rsidR="006215D0" w:rsidRDefault="00000000">
      <w:pPr>
        <w:pBdr>
          <w:top w:val="single" w:sz="1" w:space="0" w:color="DDDDDD"/>
        </w:pBdr>
        <w:spacing w:before="120"/>
        <w:jc w:val="center"/>
      </w:pPr>
      <w:r>
        <w:rPr>
          <w:i/>
          <w:iCs/>
          <w:color w:val="AAAAAA"/>
          <w:sz w:val="15"/>
          <w:szCs w:val="15"/>
        </w:rPr>
        <w:t xml:space="preserve">AMI Consulting  —  19 rue d'Athènes, 75009 Paris  |  www.ami-consulting.fr  |  Certifié </w:t>
      </w:r>
      <w:proofErr w:type="spellStart"/>
      <w:r>
        <w:rPr>
          <w:i/>
          <w:iCs/>
          <w:color w:val="AAAAAA"/>
          <w:sz w:val="15"/>
          <w:szCs w:val="15"/>
        </w:rPr>
        <w:t>Qualiopi</w:t>
      </w:r>
      <w:proofErr w:type="spellEnd"/>
    </w:p>
    <w:sectPr w:rsidR="006215D0">
      <w:pgSz w:w="11906" w:h="16838"/>
      <w:pgMar w:top="900" w:right="1200" w:bottom="9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262"/>
    <w:multiLevelType w:val="hybridMultilevel"/>
    <w:tmpl w:val="D8D4D116"/>
    <w:lvl w:ilvl="0" w:tplc="BE707C32">
      <w:start w:val="1"/>
      <w:numFmt w:val="bullet"/>
      <w:lvlText w:val="●"/>
      <w:lvlJc w:val="left"/>
      <w:pPr>
        <w:ind w:left="720" w:hanging="360"/>
      </w:pPr>
    </w:lvl>
    <w:lvl w:ilvl="1" w:tplc="1DBAC6CA">
      <w:start w:val="1"/>
      <w:numFmt w:val="bullet"/>
      <w:lvlText w:val="○"/>
      <w:lvlJc w:val="left"/>
      <w:pPr>
        <w:ind w:left="1440" w:hanging="360"/>
      </w:pPr>
    </w:lvl>
    <w:lvl w:ilvl="2" w:tplc="ACDE4264">
      <w:start w:val="1"/>
      <w:numFmt w:val="bullet"/>
      <w:lvlText w:val="■"/>
      <w:lvlJc w:val="left"/>
      <w:pPr>
        <w:ind w:left="2160" w:hanging="360"/>
      </w:pPr>
    </w:lvl>
    <w:lvl w:ilvl="3" w:tplc="889C5170">
      <w:start w:val="1"/>
      <w:numFmt w:val="bullet"/>
      <w:lvlText w:val="●"/>
      <w:lvlJc w:val="left"/>
      <w:pPr>
        <w:ind w:left="2880" w:hanging="360"/>
      </w:pPr>
    </w:lvl>
    <w:lvl w:ilvl="4" w:tplc="90F481C8">
      <w:start w:val="1"/>
      <w:numFmt w:val="bullet"/>
      <w:lvlText w:val="○"/>
      <w:lvlJc w:val="left"/>
      <w:pPr>
        <w:ind w:left="3600" w:hanging="360"/>
      </w:pPr>
    </w:lvl>
    <w:lvl w:ilvl="5" w:tplc="639CD2CA">
      <w:start w:val="1"/>
      <w:numFmt w:val="bullet"/>
      <w:lvlText w:val="■"/>
      <w:lvlJc w:val="left"/>
      <w:pPr>
        <w:ind w:left="4320" w:hanging="360"/>
      </w:pPr>
    </w:lvl>
    <w:lvl w:ilvl="6" w:tplc="38044B84">
      <w:start w:val="1"/>
      <w:numFmt w:val="bullet"/>
      <w:lvlText w:val="●"/>
      <w:lvlJc w:val="left"/>
      <w:pPr>
        <w:ind w:left="5040" w:hanging="360"/>
      </w:pPr>
    </w:lvl>
    <w:lvl w:ilvl="7" w:tplc="73B6A340">
      <w:start w:val="1"/>
      <w:numFmt w:val="bullet"/>
      <w:lvlText w:val="●"/>
      <w:lvlJc w:val="left"/>
      <w:pPr>
        <w:ind w:left="5760" w:hanging="360"/>
      </w:pPr>
    </w:lvl>
    <w:lvl w:ilvl="8" w:tplc="5BC05E4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8B6E29"/>
    <w:multiLevelType w:val="hybridMultilevel"/>
    <w:tmpl w:val="C17EA142"/>
    <w:lvl w:ilvl="0" w:tplc="F2B21EC2">
      <w:start w:val="1"/>
      <w:numFmt w:val="bullet"/>
      <w:lvlText w:val="•"/>
      <w:lvlJc w:val="left"/>
      <w:pPr>
        <w:ind w:left="720" w:hanging="360"/>
      </w:pPr>
    </w:lvl>
    <w:lvl w:ilvl="1" w:tplc="7356198A">
      <w:numFmt w:val="decimal"/>
      <w:lvlText w:val=""/>
      <w:lvlJc w:val="left"/>
    </w:lvl>
    <w:lvl w:ilvl="2" w:tplc="136EA38E">
      <w:numFmt w:val="decimal"/>
      <w:lvlText w:val=""/>
      <w:lvlJc w:val="left"/>
    </w:lvl>
    <w:lvl w:ilvl="3" w:tplc="1D5EDE8C">
      <w:numFmt w:val="decimal"/>
      <w:lvlText w:val=""/>
      <w:lvlJc w:val="left"/>
    </w:lvl>
    <w:lvl w:ilvl="4" w:tplc="607621D0">
      <w:numFmt w:val="decimal"/>
      <w:lvlText w:val=""/>
      <w:lvlJc w:val="left"/>
    </w:lvl>
    <w:lvl w:ilvl="5" w:tplc="98BCD9EC">
      <w:numFmt w:val="decimal"/>
      <w:lvlText w:val=""/>
      <w:lvlJc w:val="left"/>
    </w:lvl>
    <w:lvl w:ilvl="6" w:tplc="EDFA3CD0">
      <w:numFmt w:val="decimal"/>
      <w:lvlText w:val=""/>
      <w:lvlJc w:val="left"/>
    </w:lvl>
    <w:lvl w:ilvl="7" w:tplc="8604C4CE">
      <w:numFmt w:val="decimal"/>
      <w:lvlText w:val=""/>
      <w:lvlJc w:val="left"/>
    </w:lvl>
    <w:lvl w:ilvl="8" w:tplc="CD92EA6C">
      <w:numFmt w:val="decimal"/>
      <w:lvlText w:val=""/>
      <w:lvlJc w:val="left"/>
    </w:lvl>
  </w:abstractNum>
  <w:num w:numId="1" w16cid:durableId="669716156">
    <w:abstractNumId w:val="0"/>
    <w:lvlOverride w:ilvl="0">
      <w:startOverride w:val="1"/>
    </w:lvlOverride>
  </w:num>
  <w:num w:numId="2" w16cid:durableId="15538858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D0"/>
    <w:rsid w:val="006215D0"/>
    <w:rsid w:val="00856119"/>
    <w:rsid w:val="0087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2B19"/>
  <w15:docId w15:val="{0855B2D3-882F-48FD-AF1D-757B7AAF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1593</Characters>
  <Application>Microsoft Office Word</Application>
  <DocSecurity>0</DocSecurity>
  <Lines>54</Lines>
  <Paragraphs>39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Stéphane Saada</cp:lastModifiedBy>
  <cp:revision>2</cp:revision>
  <dcterms:created xsi:type="dcterms:W3CDTF">2026-06-28T12:52:00Z</dcterms:created>
  <dcterms:modified xsi:type="dcterms:W3CDTF">2026-06-28T13:33:00Z</dcterms:modified>
</cp:coreProperties>
</file>