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383A" w14:textId="77777777" w:rsidR="002649F9" w:rsidRDefault="00000000">
      <w:pPr>
        <w:shd w:val="clear" w:color="auto" w:fill="1B3A6B"/>
        <w:spacing w:before="480" w:after="80"/>
        <w:ind w:left="200" w:right="200"/>
        <w:jc w:val="center"/>
      </w:pPr>
      <w:r>
        <w:rPr>
          <w:b/>
          <w:bCs/>
          <w:color w:val="FFFFFF"/>
          <w:sz w:val="52"/>
          <w:szCs w:val="52"/>
        </w:rPr>
        <w:t>A.M.I CONSULTING</w:t>
      </w:r>
    </w:p>
    <w:p w14:paraId="64CCD246" w14:textId="77777777" w:rsidR="002649F9" w:rsidRDefault="00000000">
      <w:pPr>
        <w:shd w:val="clear" w:color="auto" w:fill="1B3A6B"/>
        <w:spacing w:after="480"/>
        <w:ind w:left="200" w:right="200"/>
        <w:jc w:val="center"/>
      </w:pPr>
      <w:r>
        <w:rPr>
          <w:i/>
          <w:iCs/>
          <w:color w:val="A8C4E0"/>
          <w:sz w:val="22"/>
          <w:szCs w:val="22"/>
        </w:rPr>
        <w:t>Anticiper  ·  Modéliser  ·  Industrialiser</w:t>
      </w:r>
    </w:p>
    <w:p w14:paraId="20ABB307" w14:textId="77777777" w:rsidR="002649F9" w:rsidRDefault="00000000">
      <w:pPr>
        <w:spacing w:before="400" w:after="120"/>
        <w:jc w:val="center"/>
      </w:pPr>
      <w:r>
        <w:rPr>
          <w:b/>
          <w:bCs/>
          <w:color w:val="1B3A6B"/>
          <w:sz w:val="48"/>
          <w:szCs w:val="48"/>
        </w:rPr>
        <w:t>NOS CAS CLIENTS</w:t>
      </w:r>
    </w:p>
    <w:p w14:paraId="75FFE716" w14:textId="3CF5A042" w:rsidR="002649F9" w:rsidRDefault="00093844">
      <w:pPr>
        <w:spacing w:after="60"/>
        <w:jc w:val="center"/>
      </w:pPr>
      <w:r>
        <w:rPr>
          <w:i/>
          <w:iCs/>
          <w:color w:val="666666"/>
          <w:sz w:val="22"/>
          <w:szCs w:val="22"/>
        </w:rPr>
        <w:t>6</w:t>
      </w:r>
      <w:r w:rsidR="00000000">
        <w:rPr>
          <w:i/>
          <w:iCs/>
          <w:color w:val="666666"/>
          <w:sz w:val="22"/>
          <w:szCs w:val="22"/>
        </w:rPr>
        <w:t xml:space="preserve"> missions détaillées — Industrie, Défense, Assurance</w:t>
      </w:r>
    </w:p>
    <w:p w14:paraId="37302D24" w14:textId="7B488E01" w:rsidR="002649F9" w:rsidRPr="00614D8F" w:rsidRDefault="00000000" w:rsidP="00614D8F">
      <w:pPr>
        <w:spacing w:after="600"/>
        <w:jc w:val="center"/>
        <w:rPr>
          <w:i/>
          <w:iCs/>
          <w:color w:val="999999"/>
          <w:sz w:val="18"/>
          <w:szCs w:val="18"/>
        </w:rPr>
      </w:pPr>
      <w:r>
        <w:rPr>
          <w:i/>
          <w:iCs/>
          <w:color w:val="999999"/>
          <w:sz w:val="18"/>
          <w:szCs w:val="18"/>
        </w:rPr>
        <w:t>Tous les clients sont anonymisés conformément à nos engagements de confidentialité</w:t>
      </w:r>
    </w:p>
    <w:p w14:paraId="7AC32E2A" w14:textId="6B92D6D5" w:rsidR="002649F9" w:rsidRDefault="00000000">
      <w:pPr>
        <w:pageBreakBefore/>
      </w:pPr>
      <w:r>
        <w:lastRenderedPageBreak/>
        <w:br/>
      </w:r>
    </w:p>
    <w:p w14:paraId="55A45CF1" w14:textId="77777777" w:rsidR="002649F9" w:rsidRDefault="00000000">
      <w:pPr>
        <w:shd w:val="clear" w:color="auto" w:fill="D6E4F7"/>
        <w:spacing w:after="80"/>
      </w:pPr>
      <w:r>
        <w:rPr>
          <w:b/>
          <w:bCs/>
          <w:color w:val="2E6DB4"/>
          <w:sz w:val="18"/>
          <w:szCs w:val="18"/>
        </w:rPr>
        <w:t xml:space="preserve"> Actuariat Vie </w:t>
      </w:r>
    </w:p>
    <w:p w14:paraId="1D8E7EE4" w14:textId="7B3A5341" w:rsidR="002649F9" w:rsidRDefault="00000000">
      <w:pPr>
        <w:spacing w:after="60"/>
      </w:pPr>
      <w:r>
        <w:rPr>
          <w:b/>
          <w:bCs/>
          <w:color w:val="2E6DB4"/>
          <w:sz w:val="18"/>
          <w:szCs w:val="18"/>
        </w:rPr>
        <w:t>CAS CLIENT N°0</w:t>
      </w:r>
      <w:r w:rsidR="00614D8F">
        <w:rPr>
          <w:b/>
          <w:bCs/>
          <w:color w:val="2E6DB4"/>
          <w:sz w:val="18"/>
          <w:szCs w:val="18"/>
        </w:rPr>
        <w:t>6</w:t>
      </w:r>
    </w:p>
    <w:p w14:paraId="7EA6B589" w14:textId="77777777" w:rsidR="002649F9" w:rsidRDefault="00000000">
      <w:pPr>
        <w:spacing w:after="200"/>
      </w:pPr>
      <w:r>
        <w:rPr>
          <w:b/>
          <w:bCs/>
          <w:color w:val="1B3A6B"/>
          <w:sz w:val="30"/>
          <w:szCs w:val="30"/>
        </w:rPr>
        <w:t>Modélisation actuarielle &amp; provisionnement pour un assureur vie (Solvabilité II)</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000"/>
      </w:tblGrid>
      <w:tr w:rsidR="002649F9" w14:paraId="0AA56FC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20" w:type="dxa"/>
              <w:bottom w:w="80" w:type="dxa"/>
              <w:right w:w="120" w:type="dxa"/>
            </w:tcMar>
          </w:tcPr>
          <w:p w14:paraId="5C8F3843" w14:textId="77777777" w:rsidR="002649F9" w:rsidRDefault="00000000">
            <w:r>
              <w:rPr>
                <w:b/>
                <w:bCs/>
                <w:color w:val="1B3A6B"/>
                <w:sz w:val="18"/>
                <w:szCs w:val="18"/>
              </w:rPr>
              <w:t>Secteur</w:t>
            </w:r>
          </w:p>
        </w:tc>
        <w:tc>
          <w:tcPr>
            <w:tcW w:w="7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6E46F7" w14:textId="77777777" w:rsidR="002649F9" w:rsidRDefault="00000000">
            <w:r>
              <w:rPr>
                <w:sz w:val="18"/>
                <w:szCs w:val="18"/>
              </w:rPr>
              <w:t>Assurance Vie</w:t>
            </w:r>
          </w:p>
        </w:tc>
      </w:tr>
      <w:tr w:rsidR="002649F9" w14:paraId="654FEB2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20" w:type="dxa"/>
              <w:bottom w:w="80" w:type="dxa"/>
              <w:right w:w="120" w:type="dxa"/>
            </w:tcMar>
          </w:tcPr>
          <w:p w14:paraId="07BD5366" w14:textId="77777777" w:rsidR="002649F9" w:rsidRDefault="00000000">
            <w:r>
              <w:rPr>
                <w:b/>
                <w:bCs/>
                <w:color w:val="1B3A6B"/>
                <w:sz w:val="18"/>
                <w:szCs w:val="18"/>
              </w:rPr>
              <w:t>Client</w:t>
            </w:r>
          </w:p>
        </w:tc>
        <w:tc>
          <w:tcPr>
            <w:tcW w:w="7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353571" w14:textId="77777777" w:rsidR="002649F9" w:rsidRDefault="00000000">
            <w:r>
              <w:rPr>
                <w:sz w:val="18"/>
                <w:szCs w:val="18"/>
              </w:rPr>
              <w:t>Compagnie d'assurance vie — Top 10 français — anonymisé</w:t>
            </w:r>
          </w:p>
        </w:tc>
      </w:tr>
      <w:tr w:rsidR="002649F9" w14:paraId="672B19E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20" w:type="dxa"/>
              <w:bottom w:w="80" w:type="dxa"/>
              <w:right w:w="120" w:type="dxa"/>
            </w:tcMar>
          </w:tcPr>
          <w:p w14:paraId="45FDB686" w14:textId="77777777" w:rsidR="002649F9" w:rsidRDefault="00000000">
            <w:r>
              <w:rPr>
                <w:b/>
                <w:bCs/>
                <w:color w:val="1B3A6B"/>
                <w:sz w:val="18"/>
                <w:szCs w:val="18"/>
              </w:rPr>
              <w:t>Durée</w:t>
            </w:r>
          </w:p>
        </w:tc>
        <w:tc>
          <w:tcPr>
            <w:tcW w:w="7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500DB8" w14:textId="77777777" w:rsidR="002649F9" w:rsidRDefault="00000000">
            <w:r>
              <w:rPr>
                <w:sz w:val="18"/>
                <w:szCs w:val="18"/>
              </w:rPr>
              <w:t>18 mois</w:t>
            </w:r>
          </w:p>
        </w:tc>
      </w:tr>
      <w:tr w:rsidR="002649F9" w14:paraId="4CE5802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20" w:type="dxa"/>
              <w:bottom w:w="80" w:type="dxa"/>
              <w:right w:w="120" w:type="dxa"/>
            </w:tcMar>
          </w:tcPr>
          <w:p w14:paraId="7B8E308C" w14:textId="77777777" w:rsidR="002649F9" w:rsidRDefault="00000000">
            <w:r>
              <w:rPr>
                <w:b/>
                <w:bCs/>
                <w:color w:val="1B3A6B"/>
                <w:sz w:val="18"/>
                <w:szCs w:val="18"/>
              </w:rPr>
              <w:t>Profil</w:t>
            </w:r>
          </w:p>
        </w:tc>
        <w:tc>
          <w:tcPr>
            <w:tcW w:w="7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96572" w14:textId="77777777" w:rsidR="002649F9" w:rsidRDefault="00000000">
            <w:r>
              <w:rPr>
                <w:sz w:val="18"/>
                <w:szCs w:val="18"/>
              </w:rPr>
              <w:t>Actuaire — Diplômé IA, expert Solvabilité II, Python/R/Prophet</w:t>
            </w:r>
          </w:p>
        </w:tc>
      </w:tr>
    </w:tbl>
    <w:p w14:paraId="1B7366A4" w14:textId="77777777" w:rsidR="002649F9" w:rsidRDefault="002649F9">
      <w:pPr>
        <w:spacing w:before="160" w:after="40"/>
      </w:pPr>
    </w:p>
    <w:p w14:paraId="353553B5" w14:textId="77777777" w:rsidR="002649F9" w:rsidRDefault="00000000">
      <w:pPr>
        <w:shd w:val="clear" w:color="auto" w:fill="2E6DB4"/>
        <w:spacing w:before="240" w:after="80"/>
      </w:pPr>
      <w:r>
        <w:rPr>
          <w:b/>
          <w:bCs/>
          <w:color w:val="FFFFFF"/>
          <w:sz w:val="20"/>
          <w:szCs w:val="20"/>
        </w:rPr>
        <w:t xml:space="preserve">  Résultats obtenus</w:t>
      </w:r>
    </w:p>
    <w:p w14:paraId="59D90E16" w14:textId="77777777" w:rsidR="002649F9" w:rsidRDefault="002649F9">
      <w:pPr>
        <w:spacing w:before="80" w:after="6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6"/>
        <w:gridCol w:w="3067"/>
        <w:gridCol w:w="3067"/>
      </w:tblGrid>
      <w:tr w:rsidR="002649F9" w14:paraId="7EF0989A" w14:textId="77777777">
        <w:tblPrEx>
          <w:tblCellMar>
            <w:top w:w="0" w:type="dxa"/>
            <w:bottom w:w="0" w:type="dxa"/>
          </w:tblCellMar>
        </w:tblPrEx>
        <w:tc>
          <w:tcPr>
            <w:tcW w:w="3066" w:type="dxa"/>
            <w:tcBorders>
              <w:top w:val="single" w:sz="1" w:space="0" w:color="CCCCCC"/>
              <w:left w:val="single" w:sz="1" w:space="0" w:color="CCCCCC"/>
              <w:bottom w:val="single" w:sz="1" w:space="0" w:color="CCCCCC"/>
              <w:right w:val="single" w:sz="1" w:space="0" w:color="CCCCCC"/>
            </w:tcBorders>
            <w:shd w:val="clear" w:color="auto" w:fill="D6E4F7"/>
            <w:tcMar>
              <w:top w:w="120" w:type="dxa"/>
              <w:left w:w="140" w:type="dxa"/>
              <w:bottom w:w="120" w:type="dxa"/>
              <w:right w:w="140" w:type="dxa"/>
            </w:tcMar>
          </w:tcPr>
          <w:p w14:paraId="76FE38D5" w14:textId="77777777" w:rsidR="002649F9" w:rsidRDefault="00000000">
            <w:pPr>
              <w:jc w:val="center"/>
            </w:pPr>
            <w:r>
              <w:rPr>
                <w:b/>
                <w:bCs/>
                <w:color w:val="2E6DB4"/>
                <w:sz w:val="28"/>
                <w:szCs w:val="28"/>
              </w:rPr>
              <w:t>−23%</w:t>
            </w:r>
          </w:p>
          <w:p w14:paraId="11D7313A" w14:textId="77777777" w:rsidR="002649F9" w:rsidRDefault="00000000">
            <w:pPr>
              <w:spacing w:before="40"/>
              <w:jc w:val="center"/>
            </w:pPr>
            <w:r>
              <w:rPr>
                <w:color w:val="555555"/>
                <w:sz w:val="17"/>
                <w:szCs w:val="17"/>
              </w:rPr>
              <w:t>sur le SCR calculé</w:t>
            </w:r>
          </w:p>
        </w:tc>
        <w:tc>
          <w:tcPr>
            <w:tcW w:w="3066" w:type="dxa"/>
            <w:tcBorders>
              <w:top w:val="single" w:sz="1" w:space="0" w:color="CCCCCC"/>
              <w:left w:val="single" w:sz="1" w:space="0" w:color="CCCCCC"/>
              <w:bottom w:val="single" w:sz="1" w:space="0" w:color="CCCCCC"/>
              <w:right w:val="single" w:sz="1" w:space="0" w:color="CCCCCC"/>
            </w:tcBorders>
            <w:shd w:val="clear" w:color="auto" w:fill="D6E4F7"/>
            <w:tcMar>
              <w:top w:w="120" w:type="dxa"/>
              <w:left w:w="140" w:type="dxa"/>
              <w:bottom w:w="120" w:type="dxa"/>
              <w:right w:w="140" w:type="dxa"/>
            </w:tcMar>
          </w:tcPr>
          <w:p w14:paraId="07883CA4" w14:textId="77777777" w:rsidR="002649F9" w:rsidRDefault="00000000">
            <w:pPr>
              <w:jc w:val="center"/>
            </w:pPr>
            <w:r>
              <w:rPr>
                <w:b/>
                <w:bCs/>
                <w:color w:val="2E6DB4"/>
                <w:sz w:val="28"/>
                <w:szCs w:val="28"/>
              </w:rPr>
              <w:t>Validation ACPR</w:t>
            </w:r>
          </w:p>
          <w:p w14:paraId="108B0665" w14:textId="77777777" w:rsidR="002649F9" w:rsidRDefault="00000000">
            <w:pPr>
              <w:spacing w:before="40"/>
              <w:jc w:val="center"/>
            </w:pPr>
            <w:r>
              <w:rPr>
                <w:color w:val="555555"/>
                <w:sz w:val="17"/>
                <w:szCs w:val="17"/>
              </w:rPr>
              <w:t>obtenue sans réserve</w:t>
            </w:r>
          </w:p>
        </w:tc>
        <w:tc>
          <w:tcPr>
            <w:tcW w:w="3066" w:type="dxa"/>
            <w:tcBorders>
              <w:top w:val="single" w:sz="1" w:space="0" w:color="CCCCCC"/>
              <w:left w:val="single" w:sz="1" w:space="0" w:color="CCCCCC"/>
              <w:bottom w:val="single" w:sz="1" w:space="0" w:color="CCCCCC"/>
              <w:right w:val="single" w:sz="1" w:space="0" w:color="CCCCCC"/>
            </w:tcBorders>
            <w:shd w:val="clear" w:color="auto" w:fill="D6E4F7"/>
            <w:tcMar>
              <w:top w:w="120" w:type="dxa"/>
              <w:left w:w="140" w:type="dxa"/>
              <w:bottom w:w="120" w:type="dxa"/>
              <w:right w:w="140" w:type="dxa"/>
            </w:tcMar>
          </w:tcPr>
          <w:p w14:paraId="4081079D" w14:textId="77777777" w:rsidR="002649F9" w:rsidRDefault="00000000">
            <w:pPr>
              <w:jc w:val="center"/>
            </w:pPr>
            <w:r>
              <w:rPr>
                <w:b/>
                <w:bCs/>
                <w:color w:val="2E6DB4"/>
                <w:sz w:val="28"/>
                <w:szCs w:val="28"/>
              </w:rPr>
              <w:t>Modèle</w:t>
            </w:r>
          </w:p>
          <w:p w14:paraId="310DF158" w14:textId="77777777" w:rsidR="002649F9" w:rsidRDefault="00000000">
            <w:pPr>
              <w:spacing w:before="40"/>
              <w:jc w:val="center"/>
            </w:pPr>
            <w:r>
              <w:rPr>
                <w:color w:val="555555"/>
                <w:sz w:val="17"/>
                <w:szCs w:val="17"/>
              </w:rPr>
              <w:t>industrialisé &amp; auditable</w:t>
            </w:r>
          </w:p>
        </w:tc>
      </w:tr>
    </w:tbl>
    <w:p w14:paraId="6F1B51C4" w14:textId="77777777" w:rsidR="002649F9" w:rsidRDefault="002649F9">
      <w:pPr>
        <w:spacing w:before="60" w:after="60"/>
      </w:pPr>
    </w:p>
    <w:p w14:paraId="061CB5EE" w14:textId="77777777" w:rsidR="002649F9" w:rsidRDefault="00000000">
      <w:pPr>
        <w:shd w:val="clear" w:color="auto" w:fill="2E6DB4"/>
        <w:spacing w:before="240" w:after="80"/>
      </w:pPr>
      <w:r>
        <w:rPr>
          <w:b/>
          <w:bCs/>
          <w:color w:val="FFFFFF"/>
          <w:sz w:val="20"/>
          <w:szCs w:val="20"/>
        </w:rPr>
        <w:t xml:space="preserve">  Contexte &amp; problématique</w:t>
      </w:r>
    </w:p>
    <w:p w14:paraId="167C2A54" w14:textId="77777777" w:rsidR="002649F9" w:rsidRDefault="002649F9">
      <w:pPr>
        <w:spacing w:before="80" w:after="60"/>
      </w:pPr>
    </w:p>
    <w:p w14:paraId="34709B34" w14:textId="77777777" w:rsidR="002649F9" w:rsidRDefault="00000000">
      <w:pPr>
        <w:spacing w:before="40" w:after="40"/>
      </w:pPr>
      <w:r>
        <w:rPr>
          <w:color w:val="333333"/>
        </w:rPr>
        <w:t>Dans le cadre des exigences Solvabilité II, un assureur vie devait refondre son modèle de provisionnement Best Estimate Liabilities (BEL) et fiabiliser son calcul du SCR (Solvency Capital Requirement). Les modèles existants, développés sous Excel, manquaient de robustesse, de traçabilité réglementaire et ne permettaient pas les calculs de sensibilité nécessaires aux décisions stratégiques.</w:t>
      </w:r>
    </w:p>
    <w:p w14:paraId="5EFEE6B1" w14:textId="77777777" w:rsidR="002649F9" w:rsidRDefault="002649F9">
      <w:pPr>
        <w:spacing w:before="60" w:after="40"/>
      </w:pPr>
    </w:p>
    <w:p w14:paraId="73E4F51B" w14:textId="77777777" w:rsidR="002649F9" w:rsidRDefault="00000000">
      <w:pPr>
        <w:shd w:val="clear" w:color="auto" w:fill="2E6DB4"/>
        <w:spacing w:before="240" w:after="80"/>
      </w:pPr>
      <w:r>
        <w:rPr>
          <w:b/>
          <w:bCs/>
          <w:color w:val="FFFFFF"/>
          <w:sz w:val="20"/>
          <w:szCs w:val="20"/>
        </w:rPr>
        <w:t xml:space="preserve">  Approche AMI Consulting</w:t>
      </w:r>
    </w:p>
    <w:p w14:paraId="319C00B9" w14:textId="77777777" w:rsidR="002649F9" w:rsidRDefault="002649F9">
      <w:pPr>
        <w:spacing w:before="80" w:after="60"/>
      </w:pPr>
    </w:p>
    <w:p w14:paraId="48D4930C" w14:textId="77777777" w:rsidR="002649F9" w:rsidRDefault="00000000">
      <w:pPr>
        <w:pStyle w:val="Paragraphedeliste"/>
        <w:numPr>
          <w:ilvl w:val="0"/>
          <w:numId w:val="2"/>
        </w:numPr>
        <w:spacing w:before="30" w:after="30"/>
      </w:pPr>
      <w:r>
        <w:rPr>
          <w:color w:val="333333"/>
        </w:rPr>
        <w:t>Audit et diagnostic du modèle de provisionnement existant</w:t>
      </w:r>
    </w:p>
    <w:p w14:paraId="1E1A0509" w14:textId="77777777" w:rsidR="002649F9" w:rsidRDefault="00000000">
      <w:pPr>
        <w:pStyle w:val="Paragraphedeliste"/>
        <w:numPr>
          <w:ilvl w:val="0"/>
          <w:numId w:val="2"/>
        </w:numPr>
        <w:spacing w:before="30" w:after="30"/>
      </w:pPr>
      <w:r>
        <w:rPr>
          <w:color w:val="333333"/>
        </w:rPr>
        <w:t>Refonte du modèle BEL en Python avec tests unitaires et documentation complète</w:t>
      </w:r>
    </w:p>
    <w:p w14:paraId="673FDD4B" w14:textId="77777777" w:rsidR="002649F9" w:rsidRDefault="00000000">
      <w:pPr>
        <w:pStyle w:val="Paragraphedeliste"/>
        <w:numPr>
          <w:ilvl w:val="0"/>
          <w:numId w:val="2"/>
        </w:numPr>
        <w:spacing w:before="30" w:after="30"/>
      </w:pPr>
      <w:r>
        <w:rPr>
          <w:color w:val="333333"/>
        </w:rPr>
        <w:t>Développement d'un module de calcul du SCR marché et SCR souscription vie</w:t>
      </w:r>
    </w:p>
    <w:p w14:paraId="18197AD6" w14:textId="77777777" w:rsidR="002649F9" w:rsidRDefault="00000000">
      <w:pPr>
        <w:pStyle w:val="Paragraphedeliste"/>
        <w:numPr>
          <w:ilvl w:val="0"/>
          <w:numId w:val="2"/>
        </w:numPr>
        <w:spacing w:before="30" w:after="30"/>
      </w:pPr>
      <w:r>
        <w:rPr>
          <w:color w:val="333333"/>
        </w:rPr>
        <w:t>Mise en place d'un processus de validation indépendante (back-testing, stress tests)</w:t>
      </w:r>
    </w:p>
    <w:p w14:paraId="248A2F7F" w14:textId="77777777" w:rsidR="002649F9" w:rsidRDefault="00000000">
      <w:pPr>
        <w:pStyle w:val="Paragraphedeliste"/>
        <w:numPr>
          <w:ilvl w:val="0"/>
          <w:numId w:val="2"/>
        </w:numPr>
        <w:spacing w:before="30" w:after="30"/>
      </w:pPr>
      <w:r>
        <w:rPr>
          <w:color w:val="333333"/>
        </w:rPr>
        <w:t>Formation des équipes internes aux nouveaux outils et méthodologies</w:t>
      </w:r>
    </w:p>
    <w:p w14:paraId="644CE71D" w14:textId="77777777" w:rsidR="002649F9" w:rsidRDefault="00000000">
      <w:pPr>
        <w:pStyle w:val="Paragraphedeliste"/>
        <w:numPr>
          <w:ilvl w:val="0"/>
          <w:numId w:val="2"/>
        </w:numPr>
        <w:spacing w:before="30" w:after="30"/>
      </w:pPr>
      <w:r>
        <w:rPr>
          <w:color w:val="333333"/>
        </w:rPr>
        <w:t>Rédaction de la documentation actuarielle réglementaire (ORSA, rapport actuariel)</w:t>
      </w:r>
    </w:p>
    <w:p w14:paraId="754B246A" w14:textId="77777777" w:rsidR="002649F9" w:rsidRDefault="002649F9">
      <w:pPr>
        <w:spacing w:before="160" w:after="40"/>
      </w:pPr>
    </w:p>
    <w:p w14:paraId="5EC0F163" w14:textId="77777777" w:rsidR="002649F9" w:rsidRDefault="00000000">
      <w:pPr>
        <w:shd w:val="clear" w:color="auto" w:fill="F7F9FC"/>
        <w:spacing w:before="100" w:after="100"/>
        <w:ind w:left="240" w:right="240"/>
      </w:pPr>
      <w:r>
        <w:rPr>
          <w:i/>
          <w:iCs/>
          <w:color w:val="444444"/>
        </w:rPr>
        <w:t>Le passage d'un modèle Excel artisanal à un outil Python industrialisé a non seulement amélioré la précision du provisionnement, mais a également réduit significativement le temps de production des reportings réglementaires trimestriels.</w:t>
      </w:r>
    </w:p>
    <w:p w14:paraId="2AF95EF9" w14:textId="77777777" w:rsidR="002649F9" w:rsidRDefault="002649F9">
      <w:pPr>
        <w:spacing w:before="200" w:after="80"/>
      </w:pPr>
    </w:p>
    <w:p w14:paraId="3BBD4189" w14:textId="77777777" w:rsidR="002649F9" w:rsidRDefault="00000000">
      <w:pPr>
        <w:pBdr>
          <w:top w:val="single" w:sz="1" w:space="0" w:color="DDDDDD"/>
        </w:pBdr>
        <w:spacing w:before="120"/>
        <w:jc w:val="center"/>
      </w:pPr>
      <w:r>
        <w:rPr>
          <w:i/>
          <w:iCs/>
          <w:color w:val="AAAAAA"/>
          <w:sz w:val="15"/>
          <w:szCs w:val="15"/>
        </w:rPr>
        <w:t>AMI Consulting  —  19 rue d'Athènes, 75009 Paris  |  www.ami-consulting.fr  |  Certifié Qualiopi</w:t>
      </w:r>
    </w:p>
    <w:p w14:paraId="6687FEC2" w14:textId="77777777" w:rsidR="002649F9" w:rsidRDefault="00000000">
      <w:pPr>
        <w:pageBreakBefore/>
      </w:pPr>
      <w:r>
        <w:lastRenderedPageBreak/>
        <w:br/>
      </w:r>
    </w:p>
    <w:p w14:paraId="0A453817" w14:textId="77777777" w:rsidR="002649F9" w:rsidRDefault="002649F9">
      <w:pPr>
        <w:spacing w:before="400" w:after="60"/>
      </w:pPr>
    </w:p>
    <w:p w14:paraId="1C857524" w14:textId="31538144" w:rsidR="00614D8F" w:rsidRDefault="00000000" w:rsidP="00614D8F">
      <w:pPr>
        <w:shd w:val="clear" w:color="auto" w:fill="D6E4F7"/>
        <w:spacing w:after="80"/>
        <w:rPr>
          <w:i/>
          <w:iCs/>
          <w:color w:val="AAAAAA"/>
          <w:sz w:val="15"/>
          <w:szCs w:val="15"/>
        </w:rPr>
      </w:pPr>
      <w:r>
        <w:rPr>
          <w:b/>
          <w:bCs/>
          <w:color w:val="2E6DB4"/>
          <w:sz w:val="18"/>
          <w:szCs w:val="18"/>
        </w:rPr>
        <w:t xml:space="preserve"> </w:t>
      </w:r>
    </w:p>
    <w:p w14:paraId="5C1C6398" w14:textId="5C041FDB" w:rsidR="002649F9" w:rsidRDefault="00000000">
      <w:pPr>
        <w:pBdr>
          <w:top w:val="single" w:sz="1" w:space="0" w:color="DDDDDD"/>
        </w:pBdr>
        <w:spacing w:before="120"/>
        <w:jc w:val="center"/>
      </w:pPr>
      <w:r>
        <w:rPr>
          <w:i/>
          <w:iCs/>
          <w:color w:val="AAAAAA"/>
          <w:sz w:val="15"/>
          <w:szCs w:val="15"/>
        </w:rPr>
        <w:t>onsulting.fr  |  Certifié Qualiopi</w:t>
      </w:r>
    </w:p>
    <w:sectPr w:rsidR="002649F9">
      <w:headerReference w:type="default" r:id="rId7"/>
      <w:pgSz w:w="11906" w:h="16838"/>
      <w:pgMar w:top="900" w:right="1200" w:bottom="9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0B03" w14:textId="77777777" w:rsidR="0094485C" w:rsidRDefault="0094485C" w:rsidP="00093844">
      <w:r>
        <w:separator/>
      </w:r>
    </w:p>
  </w:endnote>
  <w:endnote w:type="continuationSeparator" w:id="0">
    <w:p w14:paraId="1C4003BA" w14:textId="77777777" w:rsidR="0094485C" w:rsidRDefault="0094485C" w:rsidP="0009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9978" w14:textId="77777777" w:rsidR="0094485C" w:rsidRDefault="0094485C" w:rsidP="00093844">
      <w:r>
        <w:separator/>
      </w:r>
    </w:p>
  </w:footnote>
  <w:footnote w:type="continuationSeparator" w:id="0">
    <w:p w14:paraId="77379CCA" w14:textId="77777777" w:rsidR="0094485C" w:rsidRDefault="0094485C" w:rsidP="0009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5B6A" w14:textId="1A790146" w:rsidR="00093844" w:rsidRDefault="00093844" w:rsidP="00093844">
    <w:pPr>
      <w:pBdr>
        <w:top w:val="single" w:sz="1" w:space="0" w:color="DDDDDD"/>
      </w:pBdr>
      <w:spacing w:before="120"/>
      <w:jc w:val="center"/>
    </w:pPr>
    <w:r>
      <w:rPr>
        <w:i/>
        <w:iCs/>
        <w:color w:val="AAAAAA"/>
        <w:sz w:val="15"/>
        <w:szCs w:val="15"/>
      </w:rPr>
      <w:t>AMI Consulting  —  19 rue d'Athènes, 75009 Paris  |  www.ami-consulting.fr  |  Certifié Qualiopi</w:t>
    </w:r>
  </w:p>
  <w:p w14:paraId="7CBC5165" w14:textId="77777777" w:rsidR="00093844" w:rsidRDefault="000938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3103B"/>
    <w:multiLevelType w:val="hybridMultilevel"/>
    <w:tmpl w:val="7360A1F8"/>
    <w:lvl w:ilvl="0" w:tplc="3E9EBB1C">
      <w:start w:val="1"/>
      <w:numFmt w:val="bullet"/>
      <w:lvlText w:val="●"/>
      <w:lvlJc w:val="left"/>
      <w:pPr>
        <w:ind w:left="720" w:hanging="360"/>
      </w:pPr>
    </w:lvl>
    <w:lvl w:ilvl="1" w:tplc="99A857D4">
      <w:start w:val="1"/>
      <w:numFmt w:val="bullet"/>
      <w:lvlText w:val="○"/>
      <w:lvlJc w:val="left"/>
      <w:pPr>
        <w:ind w:left="1440" w:hanging="360"/>
      </w:pPr>
    </w:lvl>
    <w:lvl w:ilvl="2" w:tplc="CA1E7EAC">
      <w:start w:val="1"/>
      <w:numFmt w:val="bullet"/>
      <w:lvlText w:val="■"/>
      <w:lvlJc w:val="left"/>
      <w:pPr>
        <w:ind w:left="2160" w:hanging="360"/>
      </w:pPr>
    </w:lvl>
    <w:lvl w:ilvl="3" w:tplc="0068FCEC">
      <w:start w:val="1"/>
      <w:numFmt w:val="bullet"/>
      <w:lvlText w:val="●"/>
      <w:lvlJc w:val="left"/>
      <w:pPr>
        <w:ind w:left="2880" w:hanging="360"/>
      </w:pPr>
    </w:lvl>
    <w:lvl w:ilvl="4" w:tplc="7C9002DC">
      <w:start w:val="1"/>
      <w:numFmt w:val="bullet"/>
      <w:lvlText w:val="○"/>
      <w:lvlJc w:val="left"/>
      <w:pPr>
        <w:ind w:left="3600" w:hanging="360"/>
      </w:pPr>
    </w:lvl>
    <w:lvl w:ilvl="5" w:tplc="EE3E4612">
      <w:start w:val="1"/>
      <w:numFmt w:val="bullet"/>
      <w:lvlText w:val="■"/>
      <w:lvlJc w:val="left"/>
      <w:pPr>
        <w:ind w:left="4320" w:hanging="360"/>
      </w:pPr>
    </w:lvl>
    <w:lvl w:ilvl="6" w:tplc="6E4CDADC">
      <w:start w:val="1"/>
      <w:numFmt w:val="bullet"/>
      <w:lvlText w:val="●"/>
      <w:lvlJc w:val="left"/>
      <w:pPr>
        <w:ind w:left="5040" w:hanging="360"/>
      </w:pPr>
    </w:lvl>
    <w:lvl w:ilvl="7" w:tplc="C83C3F36">
      <w:start w:val="1"/>
      <w:numFmt w:val="bullet"/>
      <w:lvlText w:val="●"/>
      <w:lvlJc w:val="left"/>
      <w:pPr>
        <w:ind w:left="5760" w:hanging="360"/>
      </w:pPr>
    </w:lvl>
    <w:lvl w:ilvl="8" w:tplc="7032CA7A">
      <w:start w:val="1"/>
      <w:numFmt w:val="bullet"/>
      <w:lvlText w:val="●"/>
      <w:lvlJc w:val="left"/>
      <w:pPr>
        <w:ind w:left="6480" w:hanging="360"/>
      </w:pPr>
    </w:lvl>
  </w:abstractNum>
  <w:abstractNum w:abstractNumId="1" w15:restartNumberingAfterBreak="0">
    <w:nsid w:val="724C17EC"/>
    <w:multiLevelType w:val="hybridMultilevel"/>
    <w:tmpl w:val="CEC02B2E"/>
    <w:lvl w:ilvl="0" w:tplc="DF288D58">
      <w:start w:val="1"/>
      <w:numFmt w:val="bullet"/>
      <w:lvlText w:val="•"/>
      <w:lvlJc w:val="left"/>
      <w:pPr>
        <w:ind w:left="720" w:hanging="360"/>
      </w:pPr>
    </w:lvl>
    <w:lvl w:ilvl="1" w:tplc="E63054F8">
      <w:numFmt w:val="decimal"/>
      <w:lvlText w:val=""/>
      <w:lvlJc w:val="left"/>
    </w:lvl>
    <w:lvl w:ilvl="2" w:tplc="1C4041D2">
      <w:numFmt w:val="decimal"/>
      <w:lvlText w:val=""/>
      <w:lvlJc w:val="left"/>
    </w:lvl>
    <w:lvl w:ilvl="3" w:tplc="6F28B5B6">
      <w:numFmt w:val="decimal"/>
      <w:lvlText w:val=""/>
      <w:lvlJc w:val="left"/>
    </w:lvl>
    <w:lvl w:ilvl="4" w:tplc="9AC890F8">
      <w:numFmt w:val="decimal"/>
      <w:lvlText w:val=""/>
      <w:lvlJc w:val="left"/>
    </w:lvl>
    <w:lvl w:ilvl="5" w:tplc="DBD079AA">
      <w:numFmt w:val="decimal"/>
      <w:lvlText w:val=""/>
      <w:lvlJc w:val="left"/>
    </w:lvl>
    <w:lvl w:ilvl="6" w:tplc="F556708A">
      <w:numFmt w:val="decimal"/>
      <w:lvlText w:val=""/>
      <w:lvlJc w:val="left"/>
    </w:lvl>
    <w:lvl w:ilvl="7" w:tplc="C9A0B258">
      <w:numFmt w:val="decimal"/>
      <w:lvlText w:val=""/>
      <w:lvlJc w:val="left"/>
    </w:lvl>
    <w:lvl w:ilvl="8" w:tplc="7758F56C">
      <w:numFmt w:val="decimal"/>
      <w:lvlText w:val=""/>
      <w:lvlJc w:val="left"/>
    </w:lvl>
  </w:abstractNum>
  <w:num w:numId="1" w16cid:durableId="1008098995">
    <w:abstractNumId w:val="0"/>
    <w:lvlOverride w:ilvl="0">
      <w:startOverride w:val="1"/>
    </w:lvlOverride>
  </w:num>
  <w:num w:numId="2" w16cid:durableId="1837863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F9"/>
    <w:rsid w:val="00093844"/>
    <w:rsid w:val="002649F9"/>
    <w:rsid w:val="00614D8F"/>
    <w:rsid w:val="0094485C"/>
    <w:rsid w:val="009D08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270B"/>
  <w15:docId w15:val="{2538FEDD-B264-48B7-85CD-12F041B9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9"/>
        <w:szCs w:val="19"/>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093844"/>
    <w:pPr>
      <w:tabs>
        <w:tab w:val="center" w:pos="4536"/>
        <w:tab w:val="right" w:pos="9072"/>
      </w:tabs>
    </w:pPr>
  </w:style>
  <w:style w:type="character" w:customStyle="1" w:styleId="En-tteCar">
    <w:name w:val="En-tête Car"/>
    <w:basedOn w:val="Policepardfaut"/>
    <w:link w:val="En-tte"/>
    <w:uiPriority w:val="99"/>
    <w:rsid w:val="00093844"/>
  </w:style>
  <w:style w:type="paragraph" w:styleId="Pieddepage">
    <w:name w:val="footer"/>
    <w:basedOn w:val="Normal"/>
    <w:link w:val="PieddepageCar"/>
    <w:uiPriority w:val="99"/>
    <w:unhideWhenUsed/>
    <w:rsid w:val="00093844"/>
    <w:pPr>
      <w:tabs>
        <w:tab w:val="center" w:pos="4536"/>
        <w:tab w:val="right" w:pos="9072"/>
      </w:tabs>
    </w:pPr>
  </w:style>
  <w:style w:type="character" w:customStyle="1" w:styleId="PieddepageCar">
    <w:name w:val="Pied de page Car"/>
    <w:basedOn w:val="Policepardfaut"/>
    <w:link w:val="Pieddepage"/>
    <w:uiPriority w:val="99"/>
    <w:rsid w:val="00093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1642</Characters>
  <Application>Microsoft Office Word</Application>
  <DocSecurity>0</DocSecurity>
  <Lines>56</Lines>
  <Paragraphs>39</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Stéphane Saada</cp:lastModifiedBy>
  <cp:revision>6</cp:revision>
  <dcterms:created xsi:type="dcterms:W3CDTF">2026-06-28T12:52:00Z</dcterms:created>
  <dcterms:modified xsi:type="dcterms:W3CDTF">2026-06-28T13:37:00Z</dcterms:modified>
</cp:coreProperties>
</file>