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Classification &amp; Matching Information IELTS Reading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 (P3)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Pacific navigation and voyaging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Research using twins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7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9">
            <w:pPr>
              <w:spacing w:after="160"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BÀI TẬP 3: The Role of Mothers in the Origins of Music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bookmarkStart w:colFirst="0" w:colLast="0" w:name="_heading=h.5ageut6xswc5" w:id="1"/>
      <w:bookmarkEnd w:id="1"/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-107946</wp:posOffset>
              </wp:positionV>
              <wp:extent cx="622300" cy="450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4032250</wp:posOffset>
              </wp:positionH>
              <wp:positionV relativeFrom="paragraph">
                <wp:posOffset>-107946</wp:posOffset>
              </wp:positionV>
              <wp:extent cx="622300" cy="450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4"/>
        <w:szCs w:val="14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https://www.ieltstutor.me/blog/bai-tap-dang-classification-matching-information-ielts-reading-phan-3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3790950</wp:posOffset>
              </wp:positionH>
              <wp:positionV relativeFrom="paragraph">
                <wp:posOffset>-120646</wp:posOffset>
              </wp:positionV>
              <wp:extent cx="617538" cy="450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3790950</wp:posOffset>
              </wp:positionH>
              <wp:positionV relativeFrom="paragraph">
                <wp:posOffset>-120646</wp:posOffset>
              </wp:positionV>
              <wp:extent cx="617538" cy="4508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538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https://www.ieltstutor.me/blog/bai-tap-dang-classification-matching-information-ielts-reading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                                                                                                                                                                              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CLASSIFICATION &amp; MATCHING INFORMATION IELTS READING</w:t>
      </w:r>
    </w:hyperlink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3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classification-matching-information-ielts-reading-phan-3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-phan-3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classification-matching-information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-phan-3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-phan-2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classification-matching-information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GMf2Q5D+RY6dDazZKhf2+oJeQ==">CgMxLjAyCGguZ2pkZ3hzMg5oLjVhZ2V1dDZ4c3djNTgAciExZ2tBZkVDRkZxMGc3VFhKZDhBS1A5al9MQXZyUEtuOFU=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