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D217" w14:textId="77777777" w:rsidR="007E7A98" w:rsidRDefault="00D82FA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Krajowy Plan Odbudowy (KPO): Komponent C – Transformacja cyfrowa</w:t>
      </w:r>
    </w:p>
    <w:p w14:paraId="558FB7FC" w14:textId="77777777" w:rsidR="007E7A98" w:rsidRDefault="007E7A98">
      <w:pPr>
        <w:spacing w:line="240" w:lineRule="auto"/>
        <w:jc w:val="both"/>
        <w:rPr>
          <w:b/>
          <w:sz w:val="24"/>
          <w:szCs w:val="24"/>
        </w:rPr>
      </w:pPr>
    </w:p>
    <w:p w14:paraId="05923384" w14:textId="77777777" w:rsidR="007E7A98" w:rsidRDefault="00D82FA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Uwagi i komentarze organizacji społecznych zajmujących się edukacją cyfrową: </w:t>
      </w:r>
    </w:p>
    <w:p w14:paraId="54CEF0D2" w14:textId="77777777" w:rsidR="007E7A98" w:rsidRDefault="00D82FA5">
      <w:pPr>
        <w:shd w:val="clear" w:color="auto" w:fill="FFFFFF"/>
        <w:spacing w:line="240" w:lineRule="auto"/>
        <w:jc w:val="both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Instytut Spraw Publicznych</w:t>
      </w:r>
    </w:p>
    <w:p w14:paraId="21F98607" w14:textId="77777777" w:rsidR="007E7A98" w:rsidRDefault="00D82FA5">
      <w:pPr>
        <w:shd w:val="clear" w:color="auto" w:fill="FFFFFF"/>
        <w:spacing w:line="240" w:lineRule="auto"/>
        <w:jc w:val="both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Fundacja Orange</w:t>
      </w:r>
    </w:p>
    <w:p w14:paraId="7C9776EF" w14:textId="77777777" w:rsidR="007E7A98" w:rsidRDefault="00D82FA5">
      <w:pPr>
        <w:shd w:val="clear" w:color="auto" w:fill="FFFFFF"/>
        <w:spacing w:line="240" w:lineRule="auto"/>
        <w:jc w:val="both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Fundacja Rozwoju Społeczeństwa Informacyjnego</w:t>
      </w:r>
    </w:p>
    <w:p w14:paraId="59BA9819" w14:textId="77777777" w:rsidR="007E7A98" w:rsidRDefault="00D82FA5">
      <w:pPr>
        <w:shd w:val="clear" w:color="auto" w:fill="FFFFFF"/>
        <w:spacing w:line="240" w:lineRule="auto"/>
        <w:jc w:val="both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Centrum Edukacji Obywatelskiej</w:t>
      </w:r>
    </w:p>
    <w:p w14:paraId="6669D8DD" w14:textId="77777777" w:rsidR="007E7A98" w:rsidRDefault="00D82FA5">
      <w:pPr>
        <w:shd w:val="clear" w:color="auto" w:fill="FFFFFF"/>
        <w:spacing w:line="240" w:lineRule="auto"/>
        <w:jc w:val="both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Fundacja Szkoła z Klasą</w:t>
      </w:r>
    </w:p>
    <w:p w14:paraId="05B171B4" w14:textId="77777777" w:rsidR="007E7A98" w:rsidRDefault="00D82FA5">
      <w:pPr>
        <w:shd w:val="clear" w:color="auto" w:fill="FFFFFF"/>
        <w:spacing w:line="240" w:lineRule="auto"/>
        <w:jc w:val="both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Stowarzyszenie Cyfrowy Dialog</w:t>
      </w:r>
    </w:p>
    <w:p w14:paraId="0363AA96" w14:textId="77777777" w:rsidR="007E7A98" w:rsidRDefault="00D82FA5">
      <w:pPr>
        <w:shd w:val="clear" w:color="auto" w:fill="FFFFFF"/>
        <w:spacing w:line="240" w:lineRule="auto"/>
        <w:jc w:val="both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Centrum Cyfrowe</w:t>
      </w:r>
    </w:p>
    <w:p w14:paraId="2193E5B4" w14:textId="77777777" w:rsidR="007E7A98" w:rsidRDefault="00D82FA5">
      <w:pPr>
        <w:shd w:val="clear" w:color="auto" w:fill="FFFFFF"/>
        <w:spacing w:line="240" w:lineRule="auto"/>
        <w:jc w:val="both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Fundacja Katalyst Education</w:t>
      </w:r>
    </w:p>
    <w:p w14:paraId="41E0007C" w14:textId="77777777" w:rsidR="007E7A98" w:rsidRDefault="007E7A98">
      <w:pPr>
        <w:spacing w:line="240" w:lineRule="auto"/>
        <w:jc w:val="both"/>
        <w:rPr>
          <w:b/>
          <w:sz w:val="24"/>
          <w:szCs w:val="24"/>
        </w:rPr>
      </w:pPr>
    </w:p>
    <w:p w14:paraId="497F6392" w14:textId="77777777" w:rsidR="007E7A98" w:rsidRDefault="007E7A98">
      <w:pPr>
        <w:spacing w:line="240" w:lineRule="auto"/>
        <w:jc w:val="both"/>
        <w:rPr>
          <w:sz w:val="20"/>
          <w:szCs w:val="20"/>
        </w:rPr>
      </w:pPr>
    </w:p>
    <w:p w14:paraId="371BBFAA" w14:textId="77777777" w:rsidR="007E7A98" w:rsidRDefault="00D82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Główne Wyzwania i Cele</w:t>
      </w:r>
    </w:p>
    <w:tbl>
      <w:tblPr>
        <w:tblStyle w:val="a"/>
        <w:tblW w:w="9629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7E7A98" w14:paraId="6B616F6A" w14:textId="77777777"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4BE9D" w14:textId="77777777" w:rsidR="007E7A98" w:rsidRDefault="00D82FA5">
            <w:pPr>
              <w:spacing w:line="240" w:lineRule="auto"/>
              <w:jc w:val="both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18"/>
                <w:szCs w:val="18"/>
                <w:u w:val="single"/>
              </w:rPr>
              <w:t>FRAGMENT KPO:</w:t>
            </w:r>
            <w:r>
              <w:rPr>
                <w:sz w:val="18"/>
                <w:szCs w:val="18"/>
              </w:rPr>
              <w:t xml:space="preserve"> Docelowym rozwiązaniem, które powinno być wdrożone do polskiego systemu edukacji, jest </w:t>
            </w:r>
            <w:r>
              <w:rPr>
                <w:b/>
                <w:sz w:val="18"/>
                <w:szCs w:val="18"/>
              </w:rPr>
              <w:t>model łączący model tradycyjny z możliwościami indywidualizacji i dopasowania nauczania, jakie dają narzędzia online włączone w proces nauczania w sposób przemyślany i poprawny metodycznie</w:t>
            </w:r>
            <w:r>
              <w:rPr>
                <w:sz w:val="18"/>
                <w:szCs w:val="18"/>
              </w:rPr>
              <w:t xml:space="preserve">. Stosowanie TIK (technologii informacyjno-komunikacyjnych) w edukacji daje ogromne możliwości oraz stanowi </w:t>
            </w:r>
            <w:r>
              <w:rPr>
                <w:b/>
                <w:sz w:val="18"/>
                <w:szCs w:val="18"/>
              </w:rPr>
              <w:t xml:space="preserve">sposób </w:t>
            </w:r>
            <w:r>
              <w:rPr>
                <w:b/>
                <w:sz w:val="18"/>
                <w:szCs w:val="18"/>
              </w:rPr>
              <w:br/>
              <w:t>na zaciekawienie i skupienie uwagi uczniów</w:t>
            </w:r>
            <w:r>
              <w:rPr>
                <w:sz w:val="18"/>
                <w:szCs w:val="18"/>
              </w:rPr>
              <w:t xml:space="preserve">, jest alternatywą dla stacjonarnych zajęć warsztatowych </w:t>
            </w:r>
            <w:r>
              <w:rPr>
                <w:sz w:val="18"/>
                <w:szCs w:val="18"/>
              </w:rPr>
              <w:br/>
              <w:t>i laboratoryjnych oraz przygotowuje do funkcjonowania w świecie „zdalnym” opartym o umiejętności cyfrowe. (</w:t>
            </w:r>
            <w:r>
              <w:rPr>
                <w:b/>
                <w:sz w:val="18"/>
                <w:szCs w:val="18"/>
              </w:rPr>
              <w:t>s. 135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13FC224F" w14:textId="77777777" w:rsidR="007E7A98" w:rsidRDefault="00D82FA5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Uwagi:</w:t>
      </w:r>
    </w:p>
    <w:p w14:paraId="4ABCDA49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Narzędzia online mają mniejszy sens jako wsparcie „tradycyjnego modelu nauczania”. Tradycyjny model oparty na </w:t>
      </w:r>
      <w:r>
        <w:rPr>
          <w:b/>
          <w:sz w:val="20"/>
          <w:szCs w:val="20"/>
        </w:rPr>
        <w:t>pracy indywidualnej, rywalizacji i odtwarzaniu „podanej” wiedzy</w:t>
      </w:r>
      <w:r>
        <w:rPr>
          <w:sz w:val="20"/>
          <w:szCs w:val="20"/>
        </w:rPr>
        <w:t xml:space="preserve"> jest </w:t>
      </w:r>
      <w:r>
        <w:rPr>
          <w:b/>
          <w:sz w:val="20"/>
          <w:szCs w:val="20"/>
        </w:rPr>
        <w:t>nieefektywny</w:t>
      </w:r>
      <w:r>
        <w:rPr>
          <w:sz w:val="20"/>
          <w:szCs w:val="20"/>
        </w:rPr>
        <w:t xml:space="preserve">, nie przygotowuje do funkcjonowania w nowoczesnym społeczeństwie i gospodarce i powinien zostać odrzucony. </w:t>
      </w:r>
      <w:r>
        <w:rPr>
          <w:b/>
          <w:sz w:val="20"/>
          <w:szCs w:val="20"/>
        </w:rPr>
        <w:t>Narzędzia cyfrowe</w:t>
      </w:r>
      <w:r>
        <w:rPr>
          <w:sz w:val="20"/>
          <w:szCs w:val="20"/>
        </w:rPr>
        <w:t xml:space="preserve"> w pełni ujawniają swój potencjał, jeśli </w:t>
      </w:r>
      <w:r>
        <w:rPr>
          <w:b/>
          <w:sz w:val="20"/>
          <w:szCs w:val="20"/>
        </w:rPr>
        <w:t>aktywizują uczniów,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wspierają współpracę</w:t>
      </w:r>
      <w:r>
        <w:rPr>
          <w:sz w:val="20"/>
          <w:szCs w:val="20"/>
        </w:rPr>
        <w:t xml:space="preserve"> (narzędzia chmurowe), </w:t>
      </w:r>
      <w:r>
        <w:rPr>
          <w:b/>
          <w:sz w:val="20"/>
          <w:szCs w:val="20"/>
        </w:rPr>
        <w:t>identyfikację i rozwiązywanie problemów w formie projektów</w:t>
      </w:r>
      <w:r>
        <w:rPr>
          <w:sz w:val="20"/>
          <w:szCs w:val="20"/>
        </w:rPr>
        <w:t xml:space="preserve"> (internet jako źródło informacji, aplikacje do tworzenia materiałów audio, video, blogów, itp.) czyli to, czego oczekują pracodawcy i co zapewnia aktywny udział w życiu społecznym.</w:t>
      </w:r>
    </w:p>
    <w:p w14:paraId="4A0EF517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bookmarkStart w:id="1" w:name="_30j0zll" w:colFirst="0" w:colLast="0"/>
      <w:bookmarkEnd w:id="1"/>
      <w:r>
        <w:rPr>
          <w:sz w:val="20"/>
          <w:szCs w:val="20"/>
        </w:rPr>
        <w:t xml:space="preserve">KPO posługuje się wizją </w:t>
      </w:r>
      <w:r>
        <w:rPr>
          <w:b/>
          <w:sz w:val="20"/>
          <w:szCs w:val="20"/>
        </w:rPr>
        <w:t>nauczania/uczenia się jako działania indywidualnego</w:t>
      </w:r>
      <w:r>
        <w:rPr>
          <w:sz w:val="20"/>
          <w:szCs w:val="20"/>
        </w:rPr>
        <w:t xml:space="preserve"> nauczycieli i uczniów. Pojawia się tu pojęcie “kapitału ludzkiego”, </w:t>
      </w:r>
      <w:r>
        <w:rPr>
          <w:b/>
          <w:sz w:val="20"/>
          <w:szCs w:val="20"/>
        </w:rPr>
        <w:t>brakuje jednak odniesienia do "kapitału społecznego"</w:t>
      </w:r>
      <w:r>
        <w:rPr>
          <w:sz w:val="20"/>
          <w:szCs w:val="20"/>
        </w:rPr>
        <w:t xml:space="preserve">, czyli </w:t>
      </w:r>
      <w:r>
        <w:rPr>
          <w:b/>
          <w:sz w:val="20"/>
          <w:szCs w:val="20"/>
        </w:rPr>
        <w:t>budowania sieci zaufania, więzi, zespołowego działania, w tym także wspólnego uczenia i nauczania</w:t>
      </w:r>
      <w:r>
        <w:rPr>
          <w:sz w:val="20"/>
          <w:szCs w:val="20"/>
        </w:rPr>
        <w:t xml:space="preserve">. Interwencje cyfrowe powinny być skierowane nie tylko do indywidualnych beneficjentów, ale do </w:t>
      </w:r>
      <w:r>
        <w:rPr>
          <w:b/>
          <w:sz w:val="20"/>
          <w:szCs w:val="20"/>
        </w:rPr>
        <w:t>wspólnot szkolnych</w:t>
      </w:r>
      <w:r>
        <w:rPr>
          <w:sz w:val="20"/>
          <w:szCs w:val="20"/>
        </w:rPr>
        <w:t xml:space="preserve"> - całej społeczności szkoły, samorządu uczniowskiego, rady pedagogicznej, w tym zespołów przedmiotowych, wychowawczych i zadaniowych, w pracy których narzędzia cyfrowe są szczególnie potrzebne i efektywne. Sprzęt, zasoby i e-kompetencje budowane w szkołach powinny też móc "pracować" na rzecz całych </w:t>
      </w:r>
      <w:r>
        <w:rPr>
          <w:b/>
          <w:sz w:val="20"/>
          <w:szCs w:val="20"/>
        </w:rPr>
        <w:t>społeczności lokalnych i ich instytucji</w:t>
      </w:r>
      <w:r>
        <w:rPr>
          <w:sz w:val="20"/>
          <w:szCs w:val="20"/>
        </w:rPr>
        <w:t xml:space="preserve"> (w tym biblioteki, żłobka itp.).</w:t>
      </w:r>
    </w:p>
    <w:p w14:paraId="3ADD53A4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Dodatkowo, z doświadczeń ostatnich lat, a w szczególności kryzysu COVID-19 widać, w jak </w:t>
      </w:r>
      <w:r>
        <w:rPr>
          <w:b/>
          <w:sz w:val="20"/>
          <w:szCs w:val="20"/>
        </w:rPr>
        <w:t>potężnym kryzysie psychicznym</w:t>
      </w:r>
      <w:r>
        <w:rPr>
          <w:sz w:val="20"/>
          <w:szCs w:val="20"/>
        </w:rPr>
        <w:t xml:space="preserve"> znaleźli się </w:t>
      </w:r>
      <w:r>
        <w:rPr>
          <w:b/>
          <w:sz w:val="20"/>
          <w:szCs w:val="20"/>
        </w:rPr>
        <w:t>nauczyciele, dyrekcje szkół oraz niepedagogiczni pracownicy oświaty</w:t>
      </w:r>
      <w:r>
        <w:rPr>
          <w:sz w:val="20"/>
          <w:szCs w:val="20"/>
        </w:rPr>
        <w:t xml:space="preserve">. Biorąc pod uwagę, że w omawianej transformacji zawody te odgrywać powinny kluczową rolę, ważne jest </w:t>
      </w:r>
      <w:r>
        <w:rPr>
          <w:b/>
          <w:sz w:val="20"/>
          <w:szCs w:val="20"/>
        </w:rPr>
        <w:t>uwzględnienie w politykach publicznych państwa celów nastawionych na wsparcie tych grup w zakresie radzenie sobie z kryzysem psychicznym, uwzględnienia psychospołecznych uwarunkowania wykonywanej przez nich pracy oraz budowania statusu społecznego</w:t>
      </w:r>
      <w:r>
        <w:rPr>
          <w:sz w:val="20"/>
          <w:szCs w:val="20"/>
        </w:rPr>
        <w:t>.</w:t>
      </w:r>
    </w:p>
    <w:p w14:paraId="57DE7DB6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Opozycja “tradycyjny vs cyfrowy model nauczania” jest przeżytkiem</w:t>
      </w:r>
      <w:r>
        <w:rPr>
          <w:sz w:val="20"/>
          <w:szCs w:val="20"/>
        </w:rPr>
        <w:t xml:space="preserve"> - opiera się na założeniu, że jedyną różnicą między tradycyjnym a nowoczesnym nauczaniem jest obecność (lub brak) technologii na lekcji. Tymczasem wiadomo, że nawet w modelu zdalnym można uczyć „tradycyjnie”- podawczo, z odtwórczymi aktywnościami i zadaniami. </w:t>
      </w:r>
    </w:p>
    <w:p w14:paraId="0D89A5BB" w14:textId="52340F5A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ma obecnie żadnego gotowego i dobrego dla wszystkich modelu łączącego nauczanie metodą tradycyjną ze zdalną, zwłaszcza w kontekście odbudowy i zwiększenia odporności społeczno-gospodarczej. Trzeba zdecydować, jakie cele edukacyjne i wychowawcze polskie szkolnictwo ma realizować w nadchodzących latach i sprawdzić, które podejścia pedagogiczne (w tym konstruktywizm</w:t>
      </w:r>
      <w:r w:rsidR="008A2C2B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oraz narzędzia (niecyfrowe i cyfrowe) będą tu najbardziej odpowiednie. Część tych rozwiązań dopiero powstaje i KPO powinno wspierać instytucje, w tym szkoły, sieci nauczycielskie oraz organizacje, które je tworzą i sprawdzają ich skuteczność. </w:t>
      </w:r>
    </w:p>
    <w:tbl>
      <w:tblPr>
        <w:tblStyle w:val="a0"/>
        <w:tblW w:w="9629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7E7A98" w14:paraId="6257CC40" w14:textId="77777777"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BF03" w14:textId="77777777" w:rsidR="007E7A98" w:rsidRDefault="00D82FA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u w:val="single"/>
              </w:rPr>
              <w:t>FRAGMENT KPO:</w:t>
            </w:r>
            <w:r>
              <w:rPr>
                <w:sz w:val="18"/>
                <w:szCs w:val="18"/>
              </w:rPr>
              <w:t xml:space="preserve"> CSR 2020 – Zalecenie 2: Podnoszenie umiejętności cyfrowych. Dalsze promowanie transformacji cyfrowej przedsiębiorstw i administracji publicznej. (</w:t>
            </w:r>
            <w:r>
              <w:rPr>
                <w:b/>
                <w:sz w:val="18"/>
                <w:szCs w:val="18"/>
              </w:rPr>
              <w:t>s. 136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5D439E52" w14:textId="77777777" w:rsidR="007E7A98" w:rsidRDefault="00D82FA5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Uwagi:</w:t>
      </w:r>
    </w:p>
    <w:p w14:paraId="061D9F49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Proponujemy wstawienie słowa „obywateli” ((...) Podnoszenie umiejętności cyfrowych </w:t>
      </w:r>
      <w:r>
        <w:rPr>
          <w:b/>
          <w:sz w:val="20"/>
          <w:szCs w:val="20"/>
        </w:rPr>
        <w:t xml:space="preserve">obywateli </w:t>
      </w:r>
      <w:r>
        <w:rPr>
          <w:sz w:val="20"/>
          <w:szCs w:val="20"/>
        </w:rPr>
        <w:t>(...)), które dopełnia grupę docelową podejmowanych działań.</w:t>
      </w:r>
    </w:p>
    <w:p w14:paraId="397471C9" w14:textId="77777777" w:rsidR="007E7A98" w:rsidRDefault="007E7A98">
      <w:pPr>
        <w:spacing w:after="120" w:line="240" w:lineRule="auto"/>
        <w:jc w:val="both"/>
        <w:rPr>
          <w:sz w:val="20"/>
          <w:szCs w:val="20"/>
        </w:rPr>
      </w:pPr>
    </w:p>
    <w:p w14:paraId="433E03B0" w14:textId="77777777" w:rsidR="007E7A98" w:rsidRDefault="00D82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C2.1. Zwiększenie skali zastosowań rozwiązań cyfrowych w sferze publicznej, gospodarce </w:t>
      </w:r>
      <w:r>
        <w:rPr>
          <w:b/>
          <w:color w:val="000000"/>
          <w:sz w:val="20"/>
          <w:szCs w:val="20"/>
        </w:rPr>
        <w:br/>
        <w:t>i społeczeństwie</w:t>
      </w:r>
    </w:p>
    <w:p w14:paraId="3D203E58" w14:textId="77777777" w:rsidR="007E7A98" w:rsidRDefault="00D82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C2.1.2. - Cyfrowa infrastruktura szkół</w:t>
      </w:r>
    </w:p>
    <w:p w14:paraId="190493C8" w14:textId="77777777" w:rsidR="007E7A98" w:rsidRDefault="007E7A98">
      <w:pPr>
        <w:spacing w:after="120" w:line="240" w:lineRule="auto"/>
        <w:jc w:val="both"/>
        <w:rPr>
          <w:b/>
          <w:sz w:val="20"/>
          <w:szCs w:val="20"/>
        </w:rPr>
      </w:pPr>
    </w:p>
    <w:tbl>
      <w:tblPr>
        <w:tblStyle w:val="a1"/>
        <w:tblW w:w="9629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7E7A98" w14:paraId="039A359C" w14:textId="77777777"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2304" w14:textId="77777777" w:rsidR="007E7A98" w:rsidRDefault="00D8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FRAGMENT KPO:</w:t>
            </w:r>
            <w:r>
              <w:rPr>
                <w:sz w:val="18"/>
                <w:szCs w:val="18"/>
              </w:rPr>
              <w:t xml:space="preserve"> Przyjęcie Programu Rozwoju Kompetencji Cyfrowych (</w:t>
            </w:r>
            <w:r>
              <w:rPr>
                <w:b/>
                <w:sz w:val="18"/>
                <w:szCs w:val="18"/>
              </w:rPr>
              <w:t>s.144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4E075D64" w14:textId="77777777" w:rsidR="007E7A98" w:rsidRDefault="00D82FA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Uwagi:</w:t>
      </w:r>
    </w:p>
    <w:p w14:paraId="0B969641" w14:textId="77777777" w:rsidR="007E7A98" w:rsidRDefault="00D82FA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Proponujemy uzupełnienie zapisu o „i indywidualnych aspiracji” oraz „i ich jednostek”: Celem Programu będzie osiągnięcie stałego wzrostu poziomu kompetencji cyfrowych przez zapewnienie każdemu w Polsce możliwości ich rozwoju stosownie do potrzeb </w:t>
      </w:r>
      <w:r>
        <w:rPr>
          <w:b/>
          <w:color w:val="000000"/>
          <w:sz w:val="20"/>
          <w:szCs w:val="20"/>
        </w:rPr>
        <w:t>i indywidualnych aspiracji</w:t>
      </w:r>
      <w:r>
        <w:rPr>
          <w:color w:val="000000"/>
          <w:sz w:val="20"/>
          <w:szCs w:val="20"/>
        </w:rPr>
        <w:t xml:space="preserve">. (...) W ramach reformy dotyczącej transformacji cyfrowej Program będzie realizowany w zakresie odnoszącym się do pracowników administracji publicznej, w tym JST </w:t>
      </w:r>
      <w:r>
        <w:rPr>
          <w:b/>
          <w:color w:val="000000"/>
          <w:sz w:val="20"/>
          <w:szCs w:val="20"/>
        </w:rPr>
        <w:t>i ich jednostek</w:t>
      </w:r>
      <w:r>
        <w:rPr>
          <w:color w:val="000000"/>
          <w:sz w:val="20"/>
          <w:szCs w:val="20"/>
        </w:rPr>
        <w:t>.</w:t>
      </w:r>
    </w:p>
    <w:p w14:paraId="2B0EF5AF" w14:textId="77777777" w:rsidR="007E7A98" w:rsidRDefault="007E7A9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color w:val="000000"/>
          <w:sz w:val="20"/>
          <w:szCs w:val="20"/>
        </w:rPr>
      </w:pPr>
    </w:p>
    <w:tbl>
      <w:tblPr>
        <w:tblStyle w:val="a2"/>
        <w:tblW w:w="9629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7E7A98" w14:paraId="2764A9D2" w14:textId="77777777"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0BA5" w14:textId="77777777" w:rsidR="007E7A98" w:rsidRDefault="00D8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FRAGMENT KPO:</w:t>
            </w:r>
            <w:r>
              <w:rPr>
                <w:sz w:val="18"/>
                <w:szCs w:val="18"/>
              </w:rPr>
              <w:t xml:space="preserve"> Reforma powinna doprowadzić do zapewnienia wszystkim szkołom i placówkom oświatowym odpowiedniego </w:t>
            </w:r>
            <w:r>
              <w:rPr>
                <w:b/>
                <w:sz w:val="18"/>
                <w:szCs w:val="18"/>
              </w:rPr>
              <w:t>stopnia nasycenia sprzętem</w:t>
            </w:r>
            <w:r>
              <w:rPr>
                <w:sz w:val="18"/>
                <w:szCs w:val="18"/>
              </w:rPr>
              <w:t xml:space="preserve">, co najmniej w zakresie umożliwiającym wszystkim nauczycielom </w:t>
            </w:r>
            <w:r>
              <w:rPr>
                <w:sz w:val="18"/>
                <w:szCs w:val="18"/>
              </w:rPr>
              <w:br/>
              <w:t>w szkołach podstawowych i ponadpodstawowych wykonywanie zadań za pomocą udostępnionego im sprzętu służbowego, a także pracę na sprzęcie komputerowym w każdej sali lekcyjnej w kilkuosobowych grupach uczniów. Przyjęcie polityki cyfryzacji edukacji przez RM planowane jest na IV kw. 2021 r. (</w:t>
            </w:r>
            <w:r>
              <w:rPr>
                <w:b/>
                <w:sz w:val="18"/>
                <w:szCs w:val="18"/>
              </w:rPr>
              <w:t>s.144</w:t>
            </w:r>
            <w:r>
              <w:rPr>
                <w:sz w:val="18"/>
                <w:szCs w:val="18"/>
              </w:rPr>
              <w:t>)</w:t>
            </w:r>
          </w:p>
          <w:p w14:paraId="686FA74F" w14:textId="77777777" w:rsidR="007E7A98" w:rsidRDefault="00D82FA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Opracowanie standardów planowane jest na III kw. 2021 r.</w:t>
            </w:r>
          </w:p>
          <w:p w14:paraId="1E7270F8" w14:textId="77777777" w:rsidR="007E7A98" w:rsidRDefault="00D82FA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Wsparcie w ramach interwencji udzielane będzie w postaci bezzwrotnego dofinansowania. Nie przewiduje się trybu konkursowego ani projektów indykatywnych. Inwestycja będzie realizowana w trybie </w:t>
            </w:r>
            <w:r>
              <w:rPr>
                <w:b/>
                <w:sz w:val="18"/>
                <w:szCs w:val="18"/>
              </w:rPr>
              <w:t>centralnych zakupów sprzętu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i oprogramowania albo w systemie grantowym (udostępniania środków na przeprowadzenie zakupów poszczególnych organom prowadzącym placówki oświatowe). (</w:t>
            </w:r>
            <w:r>
              <w:rPr>
                <w:b/>
                <w:sz w:val="18"/>
                <w:szCs w:val="18"/>
              </w:rPr>
              <w:t>s. 148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5BD39AF4" w14:textId="77777777" w:rsidR="007E7A98" w:rsidRDefault="00D82FA5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Uwagi:</w:t>
      </w:r>
    </w:p>
    <w:p w14:paraId="5FEC6F49" w14:textId="77777777" w:rsidR="007E7A98" w:rsidRDefault="00D82FA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Zredukowanie polityki cyfryzacji edukacji do kwestii nasycenia sprzętem jest nietrafne</w:t>
      </w:r>
      <w:r>
        <w:rPr>
          <w:b/>
          <w:sz w:val="20"/>
          <w:szCs w:val="20"/>
        </w:rPr>
        <w:t xml:space="preserve"> i </w:t>
      </w:r>
      <w:r>
        <w:rPr>
          <w:sz w:val="20"/>
          <w:szCs w:val="20"/>
        </w:rPr>
        <w:t xml:space="preserve">nie daje żadnej gwarancji poprawy jakości doświadczeń edukacyjnych uczennic i uczniów. </w:t>
      </w:r>
      <w:r>
        <w:rPr>
          <w:b/>
          <w:sz w:val="20"/>
          <w:szCs w:val="20"/>
        </w:rPr>
        <w:t>Nasycenie sprzętem nie przełoży się na oczekiwane zmiany w systemie edukacji</w:t>
      </w:r>
      <w:r>
        <w:rPr>
          <w:sz w:val="20"/>
          <w:szCs w:val="20"/>
        </w:rPr>
        <w:t xml:space="preserve">. Dokument rządowy o charakterze kierunkowym powinien obejmować również: </w:t>
      </w:r>
    </w:p>
    <w:p w14:paraId="0C762BE6" w14:textId="77777777" w:rsidR="007E7A98" w:rsidRDefault="00D82FA5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określenie docelowego </w:t>
      </w:r>
      <w:r>
        <w:rPr>
          <w:b/>
          <w:sz w:val="20"/>
          <w:szCs w:val="20"/>
        </w:rPr>
        <w:t>miejsca edukacji zdalnej i hybrydowej</w:t>
      </w:r>
      <w:r>
        <w:rPr>
          <w:sz w:val="20"/>
          <w:szCs w:val="20"/>
        </w:rPr>
        <w:t xml:space="preserve"> w polskim systemie edukacji (wizja oczekiwanej przyszłości);</w:t>
      </w:r>
    </w:p>
    <w:p w14:paraId="2C7ECB02" w14:textId="77777777" w:rsidR="007E7A98" w:rsidRDefault="00D82FA5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zarys </w:t>
      </w:r>
      <w:r>
        <w:rPr>
          <w:b/>
          <w:sz w:val="20"/>
          <w:szCs w:val="20"/>
        </w:rPr>
        <w:t>dydaktyki edukacji zdalnej oraz hybrydowej</w:t>
      </w:r>
      <w:r>
        <w:rPr>
          <w:sz w:val="20"/>
          <w:szCs w:val="20"/>
        </w:rPr>
        <w:t xml:space="preserve"> lub sposób jej wypracowania przez praktyków </w:t>
      </w:r>
      <w:r>
        <w:rPr>
          <w:sz w:val="20"/>
          <w:szCs w:val="20"/>
        </w:rPr>
        <w:br/>
        <w:t>i badaczy;</w:t>
      </w:r>
    </w:p>
    <w:p w14:paraId="173EC4E6" w14:textId="77777777" w:rsidR="007E7A98" w:rsidRDefault="00D82FA5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kompetencje nauczycieli</w:t>
      </w:r>
      <w:r>
        <w:rPr>
          <w:sz w:val="20"/>
          <w:szCs w:val="20"/>
        </w:rPr>
        <w:t xml:space="preserve"> w zakresie prowadzenia edukacji hybrydowej i zdalnej;</w:t>
      </w:r>
    </w:p>
    <w:p w14:paraId="5E1475BB" w14:textId="77777777" w:rsidR="007E7A98" w:rsidRDefault="00D82FA5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kompetencje dyrektorów</w:t>
      </w:r>
      <w:r>
        <w:rPr>
          <w:sz w:val="20"/>
          <w:szCs w:val="20"/>
        </w:rPr>
        <w:t xml:space="preserve"> w zakresie zdalnego zarządzania szkołą i zarządzania edukacją zdalną </w:t>
      </w:r>
      <w:r>
        <w:rPr>
          <w:sz w:val="20"/>
          <w:szCs w:val="20"/>
        </w:rPr>
        <w:br/>
        <w:t>i hybrydową (np. w zakresie nadzoru);</w:t>
      </w:r>
    </w:p>
    <w:p w14:paraId="51F58064" w14:textId="77777777" w:rsidR="007E7A98" w:rsidRDefault="00D82FA5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ramowe </w:t>
      </w:r>
      <w:r>
        <w:rPr>
          <w:b/>
          <w:sz w:val="20"/>
          <w:szCs w:val="20"/>
        </w:rPr>
        <w:t>zasady wykorzystania technologii cyfrowych w edukacji</w:t>
      </w:r>
      <w:r>
        <w:rPr>
          <w:sz w:val="20"/>
          <w:szCs w:val="20"/>
        </w:rPr>
        <w:t>;</w:t>
      </w:r>
    </w:p>
    <w:p w14:paraId="524B6706" w14:textId="77777777" w:rsidR="007E7A98" w:rsidRDefault="00D82FA5">
      <w:pPr>
        <w:numPr>
          <w:ilvl w:val="0"/>
          <w:numId w:val="2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określenie </w:t>
      </w:r>
      <w:r>
        <w:rPr>
          <w:b/>
          <w:sz w:val="20"/>
          <w:szCs w:val="20"/>
        </w:rPr>
        <w:t>osób odpowiedzialnych za utrzymanie szkolnej infrastruktury</w:t>
      </w:r>
      <w:r>
        <w:rPr>
          <w:sz w:val="20"/>
          <w:szCs w:val="20"/>
        </w:rPr>
        <w:t xml:space="preserve"> cyfrowej i sposobów finansowania ich pracy.</w:t>
      </w:r>
    </w:p>
    <w:p w14:paraId="31BC4432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Należałoby zatem </w:t>
      </w:r>
      <w:r>
        <w:rPr>
          <w:b/>
          <w:sz w:val="20"/>
          <w:szCs w:val="20"/>
        </w:rPr>
        <w:t>powiązać zakup sprzętu z rozwojem kompetencji cyfrowych</w:t>
      </w:r>
      <w:r>
        <w:rPr>
          <w:sz w:val="20"/>
          <w:szCs w:val="20"/>
        </w:rPr>
        <w:t xml:space="preserve">, a także kompetencji pedagogicznych i psychologicznych - w tym, jak w rozsądny i zdrowy sposób używać nowych technologii (trudne doświadczenie „nauki zdalnej”). Potrzebne są również </w:t>
      </w:r>
      <w:r>
        <w:rPr>
          <w:b/>
          <w:sz w:val="20"/>
          <w:szCs w:val="20"/>
        </w:rPr>
        <w:t>rozwiązania elastyczne</w:t>
      </w:r>
      <w:r>
        <w:rPr>
          <w:sz w:val="20"/>
          <w:szCs w:val="20"/>
        </w:rPr>
        <w:t xml:space="preserve">, umożliwiające pracę </w:t>
      </w:r>
      <w:r>
        <w:rPr>
          <w:b/>
          <w:sz w:val="20"/>
          <w:szCs w:val="20"/>
        </w:rPr>
        <w:t xml:space="preserve"> uczniów</w:t>
      </w:r>
      <w:r>
        <w:rPr>
          <w:sz w:val="20"/>
          <w:szCs w:val="20"/>
        </w:rPr>
        <w:t xml:space="preserve"> na </w:t>
      </w:r>
      <w:r>
        <w:rPr>
          <w:b/>
          <w:sz w:val="20"/>
          <w:szCs w:val="20"/>
        </w:rPr>
        <w:t xml:space="preserve">własnym sprzęcie </w:t>
      </w:r>
      <w:r>
        <w:rPr>
          <w:sz w:val="20"/>
          <w:szCs w:val="20"/>
        </w:rPr>
        <w:t xml:space="preserve">(BYOD – bring your own device) i </w:t>
      </w:r>
      <w:r>
        <w:rPr>
          <w:b/>
          <w:sz w:val="20"/>
          <w:szCs w:val="20"/>
        </w:rPr>
        <w:t>modele pracy w takiej poszerzonej formule</w:t>
      </w:r>
      <w:r>
        <w:rPr>
          <w:sz w:val="20"/>
          <w:szCs w:val="20"/>
        </w:rPr>
        <w:t>.</w:t>
      </w:r>
    </w:p>
    <w:p w14:paraId="1E91050A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dokumencie pominięto zupełnie kwestię wspomnianej wcześniej </w:t>
      </w:r>
      <w:r>
        <w:rPr>
          <w:b/>
          <w:sz w:val="20"/>
          <w:szCs w:val="20"/>
        </w:rPr>
        <w:t>pedagogiki cyfrowej</w:t>
      </w:r>
      <w:r>
        <w:rPr>
          <w:sz w:val="20"/>
          <w:szCs w:val="20"/>
        </w:rPr>
        <w:t xml:space="preserve"> oraz związanych z nią nowych dydaktycznych kompetencji nauczycieli/edukatorów. Konieczne jest wypracowanie </w:t>
      </w:r>
      <w:r>
        <w:rPr>
          <w:b/>
          <w:sz w:val="20"/>
          <w:szCs w:val="20"/>
        </w:rPr>
        <w:t>nowych rozwiązań dydaktycznych, które pozwalają realizować cele nauczania w formie zdalnej i hybrydowej</w:t>
      </w:r>
      <w:r>
        <w:rPr>
          <w:sz w:val="20"/>
          <w:szCs w:val="20"/>
        </w:rPr>
        <w:t xml:space="preserve">, a następnie upowszechnienie ich wśród nauczycieli, którzy nie są w stanie samodzielnie stworzyć takich rozwiązań. Inna dydaktyka jest kluczowym elementem warunkującym efektywne wykorzystanie narzędzi cyfrowych w procesach edukacyjnych. </w:t>
      </w:r>
    </w:p>
    <w:p w14:paraId="3C7B0010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Chodzi m.in. o nowe sposoby organizacji pracy z klasą, nauczania i interakcji z uczniami, prezentowania treści edukacyjnych na różnych platformach, korzystania na zajęciach z e-podręczników, materiałów filmowych, audio, i innych zasobów, oceniania i motywowania, zadawania i recenzowania prac domowych, prowadzenia dyskusji klasowej czy pracy projektowej. Kompetencje te rozwijają się w sposób „kroczący”, na bieżąco, m.in. w toku własnych udanych i nieudanych prób, na podstawie samooceny oraz informacji zwrotnych uzyskiwanych od uczniów, innych nauczycieli, dyrekcji oraz rodziców. Taki proces uczenia się -nauczycieli, szkół i całego systemu -  wymaga </w:t>
      </w:r>
      <w:r>
        <w:rPr>
          <w:b/>
          <w:sz w:val="20"/>
          <w:szCs w:val="20"/>
        </w:rPr>
        <w:t xml:space="preserve">zebrania dotychczasowych dobrych wzorów i praktyk oraz wypracowania kilku modeli pracy -  dla edukacji przedszkolnej, wczesnoszkolnej, klas IV-VIII, szkół </w:t>
      </w:r>
      <w:r>
        <w:rPr>
          <w:b/>
          <w:sz w:val="20"/>
          <w:szCs w:val="20"/>
        </w:rPr>
        <w:lastRenderedPageBreak/>
        <w:t>średnich</w:t>
      </w:r>
      <w:r>
        <w:rPr>
          <w:sz w:val="20"/>
          <w:szCs w:val="20"/>
        </w:rPr>
        <w:t xml:space="preserve">. Szczególne ważne jest określenie możliwości, jakie edukacja cyfrowa stwarza w edukacji zawodowej. </w:t>
      </w:r>
      <w:r>
        <w:rPr>
          <w:b/>
          <w:sz w:val="20"/>
          <w:szCs w:val="20"/>
        </w:rPr>
        <w:t>Kompetencje szkół branżowych to jedna z barier rozwoju polskiej edukacji i gospodarki</w:t>
      </w:r>
      <w:r>
        <w:rPr>
          <w:sz w:val="20"/>
          <w:szCs w:val="20"/>
        </w:rPr>
        <w:t>.</w:t>
      </w:r>
    </w:p>
    <w:p w14:paraId="55BE3ED4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KPO musi wspierać dalsze systemowe i oddolne </w:t>
      </w:r>
      <w:r>
        <w:rPr>
          <w:b/>
          <w:sz w:val="20"/>
          <w:szCs w:val="20"/>
        </w:rPr>
        <w:t>działania w zakresie podnoszenia e-kompetencji nauczycieli oraz dyrektorów</w:t>
      </w:r>
      <w:r>
        <w:rPr>
          <w:sz w:val="20"/>
          <w:szCs w:val="20"/>
        </w:rPr>
        <w:t xml:space="preserve"> szkół.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Równolegle należy </w:t>
      </w:r>
      <w:r>
        <w:rPr>
          <w:b/>
          <w:sz w:val="20"/>
          <w:szCs w:val="20"/>
        </w:rPr>
        <w:t>rozwijać umiejętności wszystkich obecnych i potencjalnych szkolnych liderów/liderek edukacji cyfrowej</w:t>
      </w:r>
      <w:r>
        <w:rPr>
          <w:sz w:val="20"/>
          <w:szCs w:val="20"/>
        </w:rPr>
        <w:t xml:space="preserve"> - nie dotyczy to jedynie informatyków, ale po prostu dobrych, innowacyjnych nauczycieli wszystkich przedmiotów, także edukacji przedszkolnej, którzy mogą tworzyć </w:t>
      </w:r>
      <w:r>
        <w:rPr>
          <w:b/>
          <w:sz w:val="20"/>
          <w:szCs w:val="20"/>
        </w:rPr>
        <w:t>modele i dobre praktyki „nowej” edukacji</w:t>
      </w:r>
      <w:r>
        <w:rPr>
          <w:sz w:val="20"/>
          <w:szCs w:val="20"/>
        </w:rPr>
        <w:t xml:space="preserve">. </w:t>
      </w:r>
    </w:p>
    <w:p w14:paraId="7E7D1CC2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takim podejściu ważne jest nie tylko przekazywanie wiedzy, ale przede wszystkim kształcenie kompetencji kluczowych uczennic i uczniów - przedmiotowych, ponadprzedmiotowych i przekrojowych (współpracy, rozwiązywania problemów, krytycznego myślenia czy myślenia komputacyjnego). Nowa edukacja wymaga też </w:t>
      </w:r>
      <w:r>
        <w:rPr>
          <w:b/>
          <w:sz w:val="20"/>
          <w:szCs w:val="20"/>
        </w:rPr>
        <w:t>nowej formuły sprawdzania uczniowskich postępów, diagnozowania ich trudności, oceniania i motywowania</w:t>
      </w:r>
      <w:r>
        <w:rPr>
          <w:sz w:val="20"/>
          <w:szCs w:val="20"/>
        </w:rPr>
        <w:t xml:space="preserve"> oraz budowania relacji z wykorzystaniem nowych form komunikacji i wsparcia. </w:t>
      </w:r>
    </w:p>
    <w:p w14:paraId="20C54533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KPO nie uwzględnia niestety </w:t>
      </w:r>
      <w:r>
        <w:rPr>
          <w:b/>
          <w:sz w:val="20"/>
          <w:szCs w:val="20"/>
        </w:rPr>
        <w:t>zasobów cyfrowych</w:t>
      </w:r>
      <w:r>
        <w:rPr>
          <w:sz w:val="20"/>
          <w:szCs w:val="20"/>
        </w:rPr>
        <w:t xml:space="preserve"> jako </w:t>
      </w:r>
      <w:r>
        <w:rPr>
          <w:b/>
          <w:sz w:val="20"/>
          <w:szCs w:val="20"/>
        </w:rPr>
        <w:t>ważnego elementu efektywnej edukacji cyfrowej</w:t>
      </w:r>
      <w:r>
        <w:rPr>
          <w:sz w:val="20"/>
          <w:szCs w:val="20"/>
        </w:rPr>
        <w:t xml:space="preserve">. Obecnie powstają one głównie na platformach wydawnictw i są udostępniane odpłatnie. Materiały dotąd zamieszczone na platformach e-podręczniki i Scholaris nie spełniają oczekiwań nauczycieli/lek i uczniów. Potrzebne jest </w:t>
      </w:r>
      <w:r>
        <w:rPr>
          <w:b/>
          <w:sz w:val="20"/>
          <w:szCs w:val="20"/>
        </w:rPr>
        <w:t>wsparcie finansowe instytucji, które tworzą, gromadzą i/lub upowszechniają e-zasoby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W proponowanych działaniach brakuje kwestii związanych z </w:t>
      </w:r>
      <w:r>
        <w:rPr>
          <w:b/>
          <w:sz w:val="20"/>
          <w:szCs w:val="20"/>
        </w:rPr>
        <w:t>platformami</w:t>
      </w:r>
      <w:r>
        <w:rPr>
          <w:sz w:val="20"/>
          <w:szCs w:val="20"/>
        </w:rPr>
        <w:t xml:space="preserve"> i dostępem szkół do </w:t>
      </w:r>
      <w:r>
        <w:rPr>
          <w:b/>
          <w:sz w:val="20"/>
          <w:szCs w:val="20"/>
        </w:rPr>
        <w:t>rozwiązań chmurowych</w:t>
      </w:r>
      <w:r>
        <w:rPr>
          <w:sz w:val="20"/>
          <w:szCs w:val="20"/>
        </w:rPr>
        <w:t xml:space="preserve"> zawierających narzędzia do komunikacji i wspólnej pracy. Czy przyjęto założenie, że wszystkie szkoły już mają optymalne rozwiązania? </w:t>
      </w:r>
    </w:p>
    <w:p w14:paraId="4AFC7FC8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Konieczne jest </w:t>
      </w:r>
      <w:r>
        <w:rPr>
          <w:b/>
          <w:sz w:val="20"/>
          <w:szCs w:val="20"/>
        </w:rPr>
        <w:t xml:space="preserve">uwzględnienie specyfiki działań szkoleniowych i doradczych w zakresie kompetencji nauczycieli </w:t>
      </w:r>
      <w:r>
        <w:rPr>
          <w:sz w:val="20"/>
          <w:szCs w:val="20"/>
        </w:rPr>
        <w:t xml:space="preserve">w zapisach dotyczących wdrażania tej inwestycji. Należy również </w:t>
      </w:r>
      <w:r>
        <w:rPr>
          <w:b/>
          <w:sz w:val="20"/>
          <w:szCs w:val="20"/>
        </w:rPr>
        <w:t>wprowadzić procedurę konkursową</w:t>
      </w:r>
      <w:r>
        <w:rPr>
          <w:sz w:val="20"/>
          <w:szCs w:val="20"/>
        </w:rPr>
        <w:t xml:space="preserve"> jako opcję dystrybucji środków, a także </w:t>
      </w:r>
      <w:r>
        <w:rPr>
          <w:b/>
          <w:sz w:val="20"/>
          <w:szCs w:val="20"/>
        </w:rPr>
        <w:t>uwzględnić organizacji pozarządowe</w:t>
      </w:r>
      <w:r>
        <w:rPr>
          <w:sz w:val="20"/>
          <w:szCs w:val="20"/>
        </w:rPr>
        <w:t xml:space="preserve"> i </w:t>
      </w:r>
      <w:r>
        <w:rPr>
          <w:b/>
          <w:sz w:val="20"/>
          <w:szCs w:val="20"/>
        </w:rPr>
        <w:t>ośrodków doskonalenia</w:t>
      </w:r>
      <w:r>
        <w:rPr>
          <w:sz w:val="20"/>
          <w:szCs w:val="20"/>
        </w:rPr>
        <w:t xml:space="preserve"> jako podmioty realizujące działania szkoleniowe.</w:t>
      </w:r>
    </w:p>
    <w:p w14:paraId="53BEF5B8" w14:textId="77777777" w:rsidR="007E7A98" w:rsidRDefault="007E7A98">
      <w:pPr>
        <w:spacing w:after="120" w:line="240" w:lineRule="auto"/>
        <w:jc w:val="both"/>
        <w:rPr>
          <w:sz w:val="20"/>
          <w:szCs w:val="20"/>
        </w:rPr>
      </w:pPr>
    </w:p>
    <w:p w14:paraId="5FE57A6B" w14:textId="77777777" w:rsidR="007E7A98" w:rsidRDefault="007E7A98">
      <w:pPr>
        <w:spacing w:after="120" w:line="240" w:lineRule="auto"/>
        <w:jc w:val="both"/>
        <w:rPr>
          <w:sz w:val="20"/>
          <w:szCs w:val="20"/>
        </w:rPr>
      </w:pPr>
    </w:p>
    <w:p w14:paraId="01964E44" w14:textId="77777777" w:rsidR="007E7A98" w:rsidRDefault="00D82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C2.1.3. E-kompetencje</w:t>
      </w:r>
    </w:p>
    <w:tbl>
      <w:tblPr>
        <w:tblStyle w:val="a3"/>
        <w:tblW w:w="9629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7E7A98" w14:paraId="3F435A7D" w14:textId="77777777"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2FAF" w14:textId="77777777" w:rsidR="007E7A98" w:rsidRDefault="00D82FA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u w:val="single"/>
              </w:rPr>
              <w:t>FRAGMENT KPO:</w:t>
            </w:r>
            <w:r>
              <w:rPr>
                <w:sz w:val="18"/>
                <w:szCs w:val="18"/>
              </w:rPr>
              <w:t xml:space="preserve"> Cel (Objective): Podniesienie kompetencji cyfrowych obywateli, pracowników administracji publicznej, przedsiębiorców, nauczycieli i edukatorów, które daje szansę na utrzymanie aktywności gospodarczej </w:t>
            </w:r>
            <w:r>
              <w:rPr>
                <w:sz w:val="18"/>
                <w:szCs w:val="18"/>
              </w:rPr>
              <w:br/>
              <w:t>i normalnego funkcjonowania społeczeństwa i gospodarki. (</w:t>
            </w:r>
            <w:r>
              <w:rPr>
                <w:b/>
                <w:sz w:val="18"/>
                <w:szCs w:val="18"/>
              </w:rPr>
              <w:t>s. 149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15F353D7" w14:textId="77777777" w:rsidR="007E7A98" w:rsidRDefault="00D82FA5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Uwagi:</w:t>
      </w:r>
    </w:p>
    <w:p w14:paraId="32E41E32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Proponujemy uzupełnienie zapisu o „poprawę jakości życia” ((...) które daje szansę na </w:t>
      </w:r>
      <w:r>
        <w:rPr>
          <w:b/>
          <w:sz w:val="20"/>
          <w:szCs w:val="20"/>
        </w:rPr>
        <w:t>poprawę jakości życia</w:t>
      </w:r>
      <w:r>
        <w:rPr>
          <w:sz w:val="20"/>
          <w:szCs w:val="20"/>
        </w:rPr>
        <w:t>, utrzymanie aktywności gospodarczej (...)).</w:t>
      </w:r>
    </w:p>
    <w:p w14:paraId="74673BC1" w14:textId="77777777" w:rsidR="007E7A98" w:rsidRDefault="007E7A98">
      <w:pPr>
        <w:spacing w:after="120" w:line="240" w:lineRule="auto"/>
        <w:jc w:val="both"/>
        <w:rPr>
          <w:sz w:val="20"/>
          <w:szCs w:val="20"/>
        </w:rPr>
      </w:pPr>
    </w:p>
    <w:tbl>
      <w:tblPr>
        <w:tblStyle w:val="a4"/>
        <w:tblW w:w="9629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7E7A98" w14:paraId="4F298FF0" w14:textId="77777777"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41EA" w14:textId="77777777" w:rsidR="007E7A98" w:rsidRDefault="00D82FA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u w:val="single"/>
              </w:rPr>
              <w:t>FRAGMENT KPO:</w:t>
            </w:r>
            <w:r>
              <w:rPr>
                <w:sz w:val="18"/>
                <w:szCs w:val="18"/>
              </w:rPr>
              <w:t xml:space="preserve"> Charakterystyka (Nature, type, size of investment): Program przyspieszy proces cyfryzacji kraju. Realizowane działania zostaną skierowane do pracowników administracji publicznej i obywateli, pracowników przedsiębiorstw, w tym głównie MŚP i osób zagrożonych bezrobociem oraz edukatorów i nauczycieli. (</w:t>
            </w:r>
            <w:r>
              <w:rPr>
                <w:b/>
                <w:sz w:val="18"/>
                <w:szCs w:val="18"/>
              </w:rPr>
              <w:t>s. 149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0883D38A" w14:textId="77777777" w:rsidR="007E7A98" w:rsidRDefault="00D82FA5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Uwagi:</w:t>
      </w:r>
    </w:p>
    <w:p w14:paraId="44571772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Proponujemy uzupełnienie zapisu o „pracowników samorządowych instytucji kultury, bibliotek publicznych” ((...) zostaną skierowane do pracowników administracji publicznej i obywateli, </w:t>
      </w:r>
      <w:r>
        <w:rPr>
          <w:b/>
          <w:sz w:val="20"/>
          <w:szCs w:val="20"/>
        </w:rPr>
        <w:t>pracowników samorządowych instytucji kultury, bibliotek publicznych</w:t>
      </w:r>
      <w:r>
        <w:rPr>
          <w:sz w:val="20"/>
          <w:szCs w:val="20"/>
        </w:rPr>
        <w:t>, pracowników przedsiębiorstw (...)).</w:t>
      </w:r>
    </w:p>
    <w:p w14:paraId="5C2B40BC" w14:textId="77777777" w:rsidR="007E7A98" w:rsidRDefault="007E7A98">
      <w:pPr>
        <w:spacing w:after="120" w:line="240" w:lineRule="auto"/>
        <w:jc w:val="both"/>
        <w:rPr>
          <w:sz w:val="20"/>
          <w:szCs w:val="20"/>
        </w:rPr>
      </w:pPr>
    </w:p>
    <w:tbl>
      <w:tblPr>
        <w:tblStyle w:val="a5"/>
        <w:tblW w:w="9629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7E7A98" w14:paraId="20344ECC" w14:textId="77777777"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61B7" w14:textId="77777777" w:rsidR="007E7A98" w:rsidRDefault="00D82FA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u w:val="single"/>
              </w:rPr>
              <w:t>FRAGMENT KPO:</w:t>
            </w:r>
            <w:r>
              <w:rPr>
                <w:sz w:val="18"/>
                <w:szCs w:val="18"/>
              </w:rPr>
              <w:t xml:space="preserve"> W obszarze interwencji dotyczącym podniesienia kompetencji cyfrowych działania będą realizowane zgodnie z obszarami wskazanymi w Programie Rozwoju Kompetencji Cyfrowych (PRKC) jako wymagające interwencji. Jednym z nich jest </w:t>
            </w:r>
            <w:r>
              <w:rPr>
                <w:b/>
                <w:sz w:val="18"/>
                <w:szCs w:val="18"/>
              </w:rPr>
              <w:t>powołanie Centrum Rozwoju Kompetencji Cyfrowych</w:t>
            </w:r>
            <w:r>
              <w:rPr>
                <w:sz w:val="18"/>
                <w:szCs w:val="18"/>
              </w:rPr>
              <w:t xml:space="preserve"> złożonego z ekspertów, doradców, specjalistów w dziedzinie kompetencji cyfrowych i cyfryzacji, wspierającego proces tworzenia strategii, nadawania kierunków wdrażania zoptymalizowanych rozwiązań i działań w celu rozwoju kompetencji cyfrowych na wielu poziomach życia społeczno-gospodarczego. (</w:t>
            </w:r>
            <w:r>
              <w:rPr>
                <w:b/>
                <w:sz w:val="18"/>
                <w:szCs w:val="18"/>
              </w:rPr>
              <w:t>s. 149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11BFAD20" w14:textId="77777777" w:rsidR="007E7A98" w:rsidRDefault="00D82FA5">
      <w:pPr>
        <w:spacing w:before="120" w:after="120" w:line="240" w:lineRule="auto"/>
        <w:jc w:val="both"/>
        <w:rPr>
          <w:b/>
          <w:sz w:val="20"/>
          <w:szCs w:val="20"/>
          <w:shd w:val="clear" w:color="auto" w:fill="DD7E6B"/>
        </w:rPr>
      </w:pPr>
      <w:r>
        <w:rPr>
          <w:b/>
          <w:sz w:val="20"/>
          <w:szCs w:val="20"/>
        </w:rPr>
        <w:t>Uwagi:</w:t>
      </w:r>
    </w:p>
    <w:p w14:paraId="016153E9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Kompetencje i rola Centrum Rozwoju Kompetencji Cyfrowych we wdrażaniu PRKC nie są jasne. By mogło działać skutecznie, potrzebna jest </w:t>
      </w:r>
      <w:r>
        <w:rPr>
          <w:b/>
          <w:sz w:val="20"/>
          <w:szCs w:val="20"/>
        </w:rPr>
        <w:t>równowaga między centralną strategią a zdecentralizowanymi działaniami w konkretnych jednostkach</w:t>
      </w:r>
      <w:r>
        <w:rPr>
          <w:sz w:val="20"/>
          <w:szCs w:val="20"/>
        </w:rPr>
        <w:t xml:space="preserve"> prowadzących szkoły i samych szkołach - w tym system mini </w:t>
      </w:r>
      <w:r>
        <w:rPr>
          <w:sz w:val="20"/>
          <w:szCs w:val="20"/>
        </w:rPr>
        <w:lastRenderedPageBreak/>
        <w:t>grantów na działania zespołowe. Dlatego istnieje potrzeba sprecyzowania formuły i zakresu kompetencji tej instytucji.</w:t>
      </w:r>
    </w:p>
    <w:p w14:paraId="0DDCB65D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Formuła CRKC wydaje się zasadna jako </w:t>
      </w:r>
      <w:r>
        <w:rPr>
          <w:b/>
          <w:sz w:val="20"/>
          <w:szCs w:val="20"/>
        </w:rPr>
        <w:t xml:space="preserve">centrum ulokowanego w ramach posiadanych już zasobów administracji </w:t>
      </w:r>
      <w:r>
        <w:rPr>
          <w:sz w:val="20"/>
          <w:szCs w:val="20"/>
        </w:rPr>
        <w:t xml:space="preserve">- gromadzącego wiedzę i będącego facylitatorem procesów. Nie wydaje się zasadne myślenie </w:t>
      </w:r>
      <w:r>
        <w:rPr>
          <w:sz w:val="20"/>
          <w:szCs w:val="20"/>
        </w:rPr>
        <w:br/>
        <w:t xml:space="preserve">w kategoriach budowania odrębnej „twardej" instytucji jako jednostki centralnej w ramach administracji publicznej. Poza nakładaniem się zakresów kompetencji, istnieje </w:t>
      </w:r>
      <w:r>
        <w:rPr>
          <w:b/>
          <w:sz w:val="20"/>
          <w:szCs w:val="20"/>
        </w:rPr>
        <w:t>poważne zagrożenie wydatkowania środków na procesy reorganizacji i budowy nowej instytucji centralnej zamiast na uruchamianie działań mających faktyczny wpływ społeczny</w:t>
      </w:r>
      <w:r>
        <w:rPr>
          <w:sz w:val="20"/>
          <w:szCs w:val="20"/>
        </w:rPr>
        <w:t xml:space="preserve"> z wykorzystaniem zasobów lokalnych, samorządowych, organizacji pozarządowych itp. Zaznaczyć należy, że w dokumencie nie wymienia się wielu podmiotów odgrywających przez ostatnie lata szalenie ważną rolę w zakresie transformacji cyfrowej, edukacji </w:t>
      </w:r>
      <w:r>
        <w:rPr>
          <w:sz w:val="20"/>
          <w:szCs w:val="20"/>
        </w:rPr>
        <w:br/>
        <w:t>i wyrównywania szans rozwojowych, takich jak biblioteki, organizacje pozarządowe, świetlice środowiskowe.</w:t>
      </w:r>
    </w:p>
    <w:p w14:paraId="674CC169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Proponujemy zmianę zapisów dotyczących instytucji CRKC na zapis: jednym z nich jest </w:t>
      </w:r>
      <w:r>
        <w:rPr>
          <w:b/>
          <w:sz w:val="20"/>
          <w:szCs w:val="20"/>
        </w:rPr>
        <w:t>powołanie Komitetu Sterującego</w:t>
      </w:r>
      <w:r>
        <w:rPr>
          <w:sz w:val="20"/>
          <w:szCs w:val="20"/>
        </w:rPr>
        <w:t>, którego celem będzie nadawanie kierunków wdrażania zoptymalizowanych rozwiązań i działań rozwijających kompetencje cyfrowe na wielu poziomach życia społeczno-gospodarczego,  Na czele Komitetu Sterującego będzie stał minister właściwy do spraw informatyzacji, a w jego skład wejdą ministrowie właściwi do współpracy w realizacji celu, przedstawiciel/k Związku Województw Rzeczypospolitej Polskiej oraz przedstawiciele koalicji na rzecz rozwoju umiejętności cyfrowych.</w:t>
      </w:r>
    </w:p>
    <w:p w14:paraId="06A4C442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Istniejące instytucje publiczne i organizacje pozarządowe dysponują wystarczającą wiedzą i doświadczeniem pozwalającym planować działania szkoleniowe. Powołanie Komitetu Sterującego w wystarczającym stopniu zapewni koordynację działań agend rządowych i organizacji pozarządowych. Wobec skromności alokacji koszt powoływania nowej instytucji jest zbyt wysoki i nie spełnia kryterium racjonalności ekonomicznej.</w:t>
      </w:r>
    </w:p>
    <w:p w14:paraId="7A09D15E" w14:textId="77777777" w:rsidR="007E7A98" w:rsidRDefault="007E7A98">
      <w:pPr>
        <w:spacing w:after="120" w:line="240" w:lineRule="auto"/>
        <w:jc w:val="both"/>
        <w:rPr>
          <w:sz w:val="20"/>
          <w:szCs w:val="20"/>
        </w:rPr>
      </w:pPr>
    </w:p>
    <w:tbl>
      <w:tblPr>
        <w:tblStyle w:val="a6"/>
        <w:tblW w:w="9629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7E7A98" w14:paraId="7A009C63" w14:textId="77777777"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0898" w14:textId="77777777" w:rsidR="007E7A98" w:rsidRDefault="00D82FA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u w:val="single"/>
              </w:rPr>
              <w:t>FRAGMENT KPO:</w:t>
            </w:r>
            <w:r>
              <w:rPr>
                <w:sz w:val="18"/>
                <w:szCs w:val="18"/>
              </w:rPr>
              <w:t xml:space="preserve"> Ponadto, w zakresie edukacji zostaną podjęte kompleksowe działania w postaci szkoleń skierowanych do </w:t>
            </w:r>
            <w:r>
              <w:rPr>
                <w:b/>
                <w:sz w:val="18"/>
                <w:szCs w:val="18"/>
              </w:rPr>
              <w:t>nauczycieli i edukatorów szkół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uczelni, gminnych ośrodków kultury, przedszkoli</w:t>
            </w:r>
            <w:r>
              <w:rPr>
                <w:sz w:val="18"/>
                <w:szCs w:val="18"/>
              </w:rPr>
              <w:t>, przy jednoczesnym doposażeniu ich w sprzęt. Wyłonieni lokalnie liderzy kompetencji cyfrowych wesprą proces cyfryzacji, organizując system wsparcia placówek edukacyjnych w zdalnej edukacji. (</w:t>
            </w:r>
            <w:r>
              <w:rPr>
                <w:b/>
                <w:sz w:val="18"/>
                <w:szCs w:val="18"/>
              </w:rPr>
              <w:t>str. 149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047C74C2" w14:textId="77777777" w:rsidR="007E7A98" w:rsidRDefault="00D82FA5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Uwagi:</w:t>
      </w:r>
    </w:p>
    <w:p w14:paraId="3597F471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Konieczne jest </w:t>
      </w:r>
      <w:r>
        <w:rPr>
          <w:b/>
          <w:sz w:val="20"/>
          <w:szCs w:val="20"/>
        </w:rPr>
        <w:t>uwzględnienie specyfiki szkół</w:t>
      </w:r>
      <w:r>
        <w:rPr>
          <w:sz w:val="20"/>
          <w:szCs w:val="20"/>
        </w:rPr>
        <w:t xml:space="preserve"> (zespołów nauczycieli i dyrektorów) w zakresie rozwoju e-kompetencji. Potrzeby nauczycieli i dyrektorów znacząco różnią się w tym zakresie od potrzeb pracowników przedsiębiorstw i pracowników administracji publicznej. Nauczyciele i dyrektorzy nie tylko pracują zdalnie, ale też organizują zdalny/hybrydowy proces dydaktyczny. Działania skierowane do nauczycieli i dyrektorów szkół powinny objąć nie tylko umiejętności związane z korzystaniem ze sprzętu i oprogramowania, ale przede wszystkim </w:t>
      </w:r>
      <w:r>
        <w:rPr>
          <w:b/>
          <w:sz w:val="20"/>
          <w:szCs w:val="20"/>
        </w:rPr>
        <w:t>zagadnienia związane z organizacją zdalnego/hybrydowego procesu dydaktycznego</w:t>
      </w:r>
      <w:r>
        <w:rPr>
          <w:sz w:val="20"/>
          <w:szCs w:val="20"/>
        </w:rPr>
        <w:t xml:space="preserve"> (dydaktyka edukacji zdalnej/hybrydowej). </w:t>
      </w:r>
    </w:p>
    <w:p w14:paraId="21897536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Doświadczenie szkół w latach szkolnym 2020 i 2021 powinno posłużyć jako podstawa dla wypracowania sprawdzonych rozwiązań w zakresie zdalnej dydaktyki ogólnej, zdalnej dydaktyki wybranych przedmiotów szkolnych oraz zagadnień związanych z podtrzymywaniem relacji pomiędzy uczniami i nauczycielami, kwestiami wspierania uczniów ze specjalnymi potrzebami edukacyjnymi oraz wychowania. Rozwiązania te powinny być następnie upowszechniane w systemie edukacji jako elementy transformacji cyfrowej.</w:t>
      </w:r>
    </w:p>
    <w:p w14:paraId="31624A25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Ponadto, niezrozumiałe jest </w:t>
      </w:r>
      <w:r>
        <w:rPr>
          <w:b/>
          <w:sz w:val="20"/>
          <w:szCs w:val="20"/>
        </w:rPr>
        <w:t>pominięcie bibliotek publicznych i innych instytucji aktywnych w obszarze edukacji, w tym centrów nauki, muzeów, fablabów</w:t>
      </w:r>
      <w:r>
        <w:rPr>
          <w:sz w:val="20"/>
          <w:szCs w:val="20"/>
        </w:rPr>
        <w:t xml:space="preserve"> itp., a także </w:t>
      </w:r>
      <w:r>
        <w:rPr>
          <w:b/>
          <w:sz w:val="20"/>
          <w:szCs w:val="20"/>
        </w:rPr>
        <w:t>organizacji społecznych zajmujących się edukacją</w:t>
      </w:r>
      <w:r>
        <w:rPr>
          <w:sz w:val="20"/>
          <w:szCs w:val="20"/>
        </w:rPr>
        <w:t xml:space="preserve">. Dodatkowo wątpliwości budzi indywidualistyczne podejście do rozwijania kompetencji. </w:t>
      </w:r>
      <w:r>
        <w:rPr>
          <w:b/>
          <w:sz w:val="20"/>
          <w:szCs w:val="20"/>
        </w:rPr>
        <w:t xml:space="preserve">Kto </w:t>
      </w:r>
      <w:r>
        <w:rPr>
          <w:b/>
          <w:sz w:val="20"/>
          <w:szCs w:val="20"/>
        </w:rPr>
        <w:br/>
        <w:t>i w jakim trybie wyłoni lokalnych liderów kompetencji cyfrowych</w:t>
      </w:r>
      <w:r>
        <w:rPr>
          <w:sz w:val="20"/>
          <w:szCs w:val="20"/>
        </w:rPr>
        <w:t>? Czy chodzi o kontynuację projektu „latarników”? Jeśli tak, to kto zapewni wsparcie instytucjonalne dla ich działań, tzn. gdzie mają się odbywać prowadzone przez nich szkolenia i kto ma je organizować? W wymienionych w dokumencie domach kultury? Nie jest jasne, dlaczego w projekcie wymienione są właśnie domy kultury, których rola w edukacji cyfrowej jest znikoma, a nie wymienia się bibliotek, które faktycznie takie funkcje pełnią.</w:t>
      </w:r>
    </w:p>
    <w:p w14:paraId="22C349C1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Koncepcja latarników nie wystarczy, potrzebne jest podejście systemowe i zespołowe, tzn</w:t>
      </w:r>
      <w:r>
        <w:rPr>
          <w:b/>
          <w:sz w:val="20"/>
          <w:szCs w:val="20"/>
        </w:rPr>
        <w:t>. wsparcie dla zespołów wszystkich instytucji publicznych i niepublicznych aktywnych w obszarze edukacji</w:t>
      </w:r>
      <w:r>
        <w:rPr>
          <w:sz w:val="20"/>
          <w:szCs w:val="20"/>
        </w:rPr>
        <w:t xml:space="preserve">, tak by </w:t>
      </w:r>
      <w:r>
        <w:rPr>
          <w:sz w:val="20"/>
          <w:szCs w:val="20"/>
        </w:rPr>
        <w:br/>
        <w:t xml:space="preserve">w każdej znalazły się co najmniej 2-3 osoby, które mogą wspomagać na bieżąco innych, a także proponować i koordynować działania szkoleniowe. </w:t>
      </w:r>
    </w:p>
    <w:p w14:paraId="38F14290" w14:textId="77777777" w:rsidR="007E7A98" w:rsidRDefault="007E7A98">
      <w:pPr>
        <w:spacing w:after="120" w:line="240" w:lineRule="auto"/>
        <w:jc w:val="both"/>
        <w:rPr>
          <w:sz w:val="20"/>
          <w:szCs w:val="20"/>
        </w:rPr>
      </w:pPr>
    </w:p>
    <w:tbl>
      <w:tblPr>
        <w:tblStyle w:val="a7"/>
        <w:tblW w:w="9629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7E7A98" w14:paraId="20DC36B3" w14:textId="77777777"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52CD" w14:textId="77777777" w:rsidR="007E7A98" w:rsidRDefault="00D82FA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u w:val="single"/>
              </w:rPr>
              <w:t>FRAGMENT KPO:</w:t>
            </w:r>
            <w:r>
              <w:rPr>
                <w:sz w:val="18"/>
                <w:szCs w:val="18"/>
              </w:rPr>
              <w:t xml:space="preserve"> Populacja docelowa (Target population): różne grupy społeczne, ze szczególnym uwzględnieniem osób, których podniesienie poziomu umiejętności cyfrowych wpłynie na poprawę jakości życia, podniesienie kwalifikacji zawodowych, wykorzystanie technologii informacyjno-komunikacyjnych w edukacji, wykorzystanie w stopniu wyższym niż dotychczas e-usług, nabycie kompetencji w zakresie korzystania z dostępnych rozwiązań cyfrowych, pracownicy administracji publicznej i przedsiębiorstw, nauczyciele i edukatorzy. (</w:t>
            </w:r>
            <w:r>
              <w:rPr>
                <w:b/>
                <w:sz w:val="18"/>
                <w:szCs w:val="18"/>
              </w:rPr>
              <w:t>str. 149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3B2B3BA8" w14:textId="77777777" w:rsidR="007E7A98" w:rsidRDefault="00D82FA5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Uwagi:</w:t>
      </w:r>
    </w:p>
    <w:p w14:paraId="049C7294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Proponujemy uzupełnienie zapisu o „bibliotekarze” ((...) pracownicy administracji publicznej i przedsiębiorstw, </w:t>
      </w:r>
      <w:r>
        <w:rPr>
          <w:b/>
          <w:sz w:val="20"/>
          <w:szCs w:val="20"/>
        </w:rPr>
        <w:t>bibliotekarze</w:t>
      </w:r>
      <w:r>
        <w:rPr>
          <w:sz w:val="20"/>
          <w:szCs w:val="20"/>
        </w:rPr>
        <w:t>, nauczyciele i edukatorzy (...)).</w:t>
      </w:r>
    </w:p>
    <w:p w14:paraId="00E44361" w14:textId="77777777" w:rsidR="007E7A98" w:rsidRDefault="007E7A98">
      <w:pPr>
        <w:spacing w:after="120" w:line="240" w:lineRule="auto"/>
        <w:jc w:val="both"/>
        <w:rPr>
          <w:sz w:val="20"/>
          <w:szCs w:val="20"/>
        </w:rPr>
      </w:pPr>
    </w:p>
    <w:tbl>
      <w:tblPr>
        <w:tblStyle w:val="a8"/>
        <w:tblW w:w="9629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7E7A98" w14:paraId="473849FC" w14:textId="77777777"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88C6" w14:textId="77777777" w:rsidR="007E7A98" w:rsidRDefault="00D82FA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u w:val="single"/>
              </w:rPr>
              <w:t>FRAGMENT KPO: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Koszty dosprzętowienia przedszkoli i placówek kulturalnych uśredniono na poziomie 5000 zł, przy szacunkowym objęciu wsparciem 40% tego typu obiektów.</w:t>
            </w:r>
          </w:p>
          <w:p w14:paraId="3300F809" w14:textId="77777777" w:rsidR="007E7A98" w:rsidRDefault="00D82FA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str. 149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557B24C8" w14:textId="77777777" w:rsidR="007E7A98" w:rsidRDefault="00D82FA5">
      <w:pPr>
        <w:spacing w:before="120" w:after="12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Uwagi: </w:t>
      </w:r>
      <w:r>
        <w:rPr>
          <w:sz w:val="20"/>
          <w:szCs w:val="20"/>
        </w:rPr>
        <w:t xml:space="preserve">Nie jest jasne, czy sprzęt ten ma służyć do zapewnienia pracy zdalnej wymienionych instytucji (zarządzania, cyfrowego obrotu dokumentów, kontaktu z odbiorcami itp.), czy - zwłaszcza w przypadku placówek kulturalnych, do świadczenia usług online, w tym związanych z edukacją cyfrową. W przypadku drugiej opcji proponowany koszt jest niedoszacowany. Ponadto udzielenie wsparcia powinno być wówczas uwarunkowane wiarygodną deklaracją świadczenia takich usług i rzeczywistą potrzebą tzn. tym, że sprzęt w danej instytucji nie spełnia standardu wymaganego dla edukacji online (np. z naszych doświadczeń wynika, iż wiele instytucji nie posiada sprzętu z działającą kamerą i mikrofonem).  </w:t>
      </w:r>
    </w:p>
    <w:p w14:paraId="703EFD7F" w14:textId="77777777" w:rsidR="007E7A98" w:rsidRDefault="007E7A98">
      <w:pPr>
        <w:spacing w:after="120" w:line="240" w:lineRule="auto"/>
        <w:jc w:val="both"/>
        <w:rPr>
          <w:sz w:val="20"/>
          <w:szCs w:val="20"/>
        </w:rPr>
      </w:pPr>
    </w:p>
    <w:tbl>
      <w:tblPr>
        <w:tblStyle w:val="a9"/>
        <w:tblW w:w="9629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7E7A98" w14:paraId="0EAF0234" w14:textId="77777777"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E01B" w14:textId="77777777" w:rsidR="007E7A98" w:rsidRDefault="00D82FA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FRAGMENT KPO:</w:t>
            </w:r>
            <w:r>
              <w:rPr>
                <w:sz w:val="18"/>
                <w:szCs w:val="18"/>
              </w:rPr>
              <w:t xml:space="preserve"> Koszty/koszt jednostkowy/sposób szacowania: 184 mln euro</w:t>
            </w:r>
          </w:p>
          <w:p w14:paraId="1995461A" w14:textId="77777777" w:rsidR="007E7A98" w:rsidRDefault="00D82FA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Koszt powołania i funkcjonowania Centrum Rozwoju Kompetencji Cyfrowych zawiera w sobie koszty wynagrodzeń personelu merytorycznego i usług zewnętrznych świadczonych przez ekspertów; zakup niezbędnego sprzętu; opłaty eksploatacyjne; koszty przygotowania publikacji; koszty pilotaży; pozyskania raportów i opracowania badań; przygotowania konferencji. Koszty oszacowane o dane historyczne związane z realizacją podobnych działań </w:t>
            </w:r>
            <w:r>
              <w:rPr>
                <w:sz w:val="18"/>
                <w:szCs w:val="18"/>
              </w:rPr>
              <w:br/>
              <w:t>w Perspektywie Finansowania 2014-2020. (</w:t>
            </w:r>
            <w:r>
              <w:rPr>
                <w:b/>
                <w:sz w:val="18"/>
                <w:szCs w:val="18"/>
              </w:rPr>
              <w:t>str. 149-150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6AF4458D" w14:textId="77777777" w:rsidR="007E7A98" w:rsidRDefault="00D82FA5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Uwagi:</w:t>
      </w:r>
    </w:p>
    <w:p w14:paraId="381D290F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Koszty na poziomie 184 mln euro są mocno niedoszacowane. Należy je istotnie podwyższyć, a dodatkowo, zgodnie z wcześniejszymi propozycjami wykorzystać środki przewidziane na tworzenie CRKC (zamiana powołania i funkcjonowania CRKC na znacznie mniej kosztowne wsparcie funkcjonowania Komitetu Sterującego). Proponujemy modyfikację zapisu na: </w:t>
      </w:r>
      <w:r>
        <w:rPr>
          <w:b/>
          <w:sz w:val="20"/>
          <w:szCs w:val="20"/>
        </w:rPr>
        <w:t>koszt wsparcia Komitetu Sterującego</w:t>
      </w:r>
      <w:r>
        <w:rPr>
          <w:sz w:val="20"/>
          <w:szCs w:val="20"/>
        </w:rPr>
        <w:t xml:space="preserve"> zawiera w sobie m.in. </w:t>
      </w:r>
      <w:r>
        <w:rPr>
          <w:b/>
          <w:sz w:val="20"/>
          <w:szCs w:val="20"/>
        </w:rPr>
        <w:t xml:space="preserve">koszty zadań powierzonych organizacjom pozarządowym zaangażowanym w koalicji na rzecz podnoszenia umiejętności cyfrowych </w:t>
      </w:r>
      <w:r>
        <w:rPr>
          <w:sz w:val="20"/>
          <w:szCs w:val="20"/>
        </w:rPr>
        <w:t>takich jak koszt wynagrodzeń personelu merytorycznego i usług zewnętrznych świadczonych przez ekspertów, (...).</w:t>
      </w:r>
    </w:p>
    <w:p w14:paraId="51BD0196" w14:textId="77777777" w:rsidR="007E7A98" w:rsidRDefault="007E7A98">
      <w:pPr>
        <w:spacing w:after="120" w:line="240" w:lineRule="auto"/>
        <w:jc w:val="both"/>
        <w:rPr>
          <w:sz w:val="20"/>
          <w:szCs w:val="20"/>
        </w:rPr>
      </w:pPr>
    </w:p>
    <w:tbl>
      <w:tblPr>
        <w:tblStyle w:val="aa"/>
        <w:tblW w:w="9629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7E7A98" w14:paraId="2A450A2B" w14:textId="77777777"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2A8DD" w14:textId="77777777" w:rsidR="007E7A98" w:rsidRDefault="00D82FA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u w:val="single"/>
              </w:rPr>
              <w:t>FRAGMENT KPO:</w:t>
            </w:r>
            <w:r>
              <w:rPr>
                <w:sz w:val="18"/>
                <w:szCs w:val="18"/>
              </w:rPr>
              <w:t xml:space="preserve"> Demarkacja Celu C2. z innymi źródłami finansowania: Przewiduje się uzupełnienie interwencji KPO środkami krajowymi lub środkami polityki spójności na lata 2021-2027 (tak np. w postaci programów będących kontynuacją programu „Aktywna Tablica”). (</w:t>
            </w:r>
            <w:r>
              <w:rPr>
                <w:b/>
                <w:sz w:val="18"/>
                <w:szCs w:val="18"/>
              </w:rPr>
              <w:t>str. 150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35A3CBF8" w14:textId="77777777" w:rsidR="007E7A98" w:rsidRDefault="00D82FA5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Uwagi:</w:t>
      </w:r>
    </w:p>
    <w:p w14:paraId="67D4B358" w14:textId="77777777" w:rsidR="007E7A98" w:rsidRDefault="00D82FA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Wskazane jest uzupełnienie zapisu o inne kluczowe projekty, takie jak np. </w:t>
      </w:r>
      <w:r>
        <w:rPr>
          <w:b/>
          <w:sz w:val="20"/>
          <w:szCs w:val="20"/>
        </w:rPr>
        <w:t>„Lekcja:Enter”</w:t>
      </w:r>
      <w:r>
        <w:rPr>
          <w:sz w:val="20"/>
          <w:szCs w:val="20"/>
        </w:rPr>
        <w:t>. Dotychczasowe doświadczenie wskazuje na liczne przykłady zrealizowanych projektów szkoleniowych. Stanowią one bazę dobrych praktyk, do której należy się odwoływać przy planowaniu konkretnych działań, np. poprzez nadawanie im odpowiednio dużej skali i przez to spełnienie kryterium trwałości rezultatów wcześniejszych projektów i racjonalności wydatków w nowo podejmowanych działaniach.</w:t>
      </w:r>
    </w:p>
    <w:p w14:paraId="65F13765" w14:textId="77777777" w:rsidR="007E7A98" w:rsidRDefault="007E7A98">
      <w:pPr>
        <w:spacing w:after="120" w:line="240" w:lineRule="auto"/>
        <w:jc w:val="both"/>
        <w:rPr>
          <w:sz w:val="20"/>
          <w:szCs w:val="20"/>
        </w:rPr>
      </w:pPr>
    </w:p>
    <w:p w14:paraId="71E70444" w14:textId="77777777" w:rsidR="007E7A98" w:rsidRDefault="00D82FA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Krajowy Plan Odbudowy (KPO) – Komponent A – Odporność i konkurencyjność gospodarki</w:t>
      </w:r>
      <w:r>
        <w:rPr>
          <w:b/>
          <w:sz w:val="20"/>
          <w:szCs w:val="20"/>
        </w:rPr>
        <w:t>, edukacja w kontekście potrzeb rynkowych</w:t>
      </w:r>
    </w:p>
    <w:p w14:paraId="469B9818" w14:textId="77777777" w:rsidR="007E7A98" w:rsidRDefault="007E7A98">
      <w:pPr>
        <w:spacing w:line="240" w:lineRule="auto"/>
        <w:jc w:val="both"/>
        <w:rPr>
          <w:b/>
          <w:sz w:val="24"/>
          <w:szCs w:val="24"/>
        </w:rPr>
      </w:pPr>
    </w:p>
    <w:p w14:paraId="5A26A011" w14:textId="77777777" w:rsidR="007E7A98" w:rsidRDefault="00D82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A.3.1.1. Wsparcie rozwoju nowoczesnego kształcenia zawodowego, szkolnictwa wyższego oraz uczenia się przez całe życie</w:t>
      </w:r>
    </w:p>
    <w:tbl>
      <w:tblPr>
        <w:tblStyle w:val="ab"/>
        <w:tblW w:w="9629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7E7A98" w14:paraId="674B2175" w14:textId="77777777"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93BB" w14:textId="77777777" w:rsidR="007E7A98" w:rsidRDefault="00D82FA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u w:val="single"/>
              </w:rPr>
              <w:t>FRAGMENT KPO:</w:t>
            </w:r>
            <w:r>
              <w:rPr>
                <w:sz w:val="18"/>
                <w:szCs w:val="18"/>
              </w:rPr>
              <w:t xml:space="preserve"> Zapewnienie przestrzeni dla skutecznej współpracy szkół, w tym zawodowych, uczelni, pracodawców, ośrodków badawczo-rozwojowych i innych instytucji otoczenia gospodarczego oraz promocja szkolnictwa zawodowego. (</w:t>
            </w:r>
            <w:r>
              <w:rPr>
                <w:b/>
                <w:sz w:val="18"/>
                <w:szCs w:val="18"/>
              </w:rPr>
              <w:t>str. 76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484F6C01" w14:textId="77777777" w:rsidR="007E7A98" w:rsidRDefault="00D82FA5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Wskazane jest </w:t>
      </w:r>
      <w:r>
        <w:rPr>
          <w:b/>
          <w:sz w:val="20"/>
          <w:szCs w:val="20"/>
        </w:rPr>
        <w:t>rozszerzenie inwestycji na sferę kształcenia ogólnego</w:t>
      </w:r>
      <w:r>
        <w:rPr>
          <w:sz w:val="20"/>
          <w:szCs w:val="20"/>
        </w:rPr>
        <w:t xml:space="preserve"> oraz uwzględnienie w niej działań zmierzających do </w:t>
      </w:r>
      <w:r>
        <w:rPr>
          <w:b/>
          <w:sz w:val="20"/>
          <w:szCs w:val="20"/>
        </w:rPr>
        <w:t>rozwijania umiejętności przekrojowych</w:t>
      </w:r>
      <w:r>
        <w:rPr>
          <w:sz w:val="20"/>
          <w:szCs w:val="20"/>
        </w:rPr>
        <w:t xml:space="preserve"> (por. także Zintegrowana Strategia Umiejętności 2030) we wszystkich placówkach systemu edukacji (lub zaprogramowanie tych działań jako osobnej inwestycji). Prowadzone w Polsce oraz zagraniczne badania pokazują ogromne znaczenie umiejętności </w:t>
      </w:r>
      <w:r>
        <w:rPr>
          <w:sz w:val="20"/>
          <w:szCs w:val="20"/>
        </w:rPr>
        <w:lastRenderedPageBreak/>
        <w:t xml:space="preserve">przekrojowych nazywanych też </w:t>
      </w:r>
      <w:r>
        <w:rPr>
          <w:b/>
          <w:sz w:val="20"/>
          <w:szCs w:val="20"/>
        </w:rPr>
        <w:t>kompetencjami proinnowacyjnymi</w:t>
      </w:r>
      <w:r>
        <w:rPr>
          <w:sz w:val="20"/>
          <w:szCs w:val="20"/>
        </w:rPr>
        <w:t xml:space="preserve"> lub </w:t>
      </w:r>
      <w:r>
        <w:rPr>
          <w:b/>
          <w:sz w:val="20"/>
          <w:szCs w:val="20"/>
        </w:rPr>
        <w:t xml:space="preserve">kompetencjami ogólnymi </w:t>
      </w:r>
      <w:r>
        <w:rPr>
          <w:sz w:val="20"/>
          <w:szCs w:val="20"/>
        </w:rPr>
        <w:t>(m.in. samodzielność myślenia, rozwiązywanie problemów, współpraca, zarządzanie sobą, liderowanie) dla innowacyjności gospodarek. Jednocześnie badania edukacyjne wskazują, że ich rozwijanie konieczne jest już od najmłodszych lat. Inwestycja powinna zatem objąć również wypracowanie i wdrożenie pilotażowych programów rozwijania najważniejszych umiejętności przekrojowych na wszystkich etapach edukacji oraz ich wdrożenie.</w:t>
      </w:r>
    </w:p>
    <w:p w14:paraId="29EF4EC9" w14:textId="77777777" w:rsidR="007E7A98" w:rsidRDefault="00D82FA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Kompetencje przekrojowe, czyli przenoszalne, czyli miękkie są ze swej natury ponadprzedmiotowe i wymagają innego podejścia, innych sposobów pracy z uczniami, innej formuły pracy całej szkoły. Warto zaznaczyć, że Instytut Badań Edukacyjnych (IBE) jest partnerem europejskiego projektu, którego celem jest wypracowanie narzędzi monitorowania tych kompetencji.</w:t>
      </w:r>
    </w:p>
    <w:sectPr w:rsidR="007E7A98">
      <w:pgSz w:w="11909" w:h="16834"/>
      <w:pgMar w:top="993" w:right="1136" w:bottom="993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3B0C"/>
    <w:multiLevelType w:val="multilevel"/>
    <w:tmpl w:val="DBC489D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051967"/>
    <w:multiLevelType w:val="multilevel"/>
    <w:tmpl w:val="632285C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98"/>
    <w:rsid w:val="007E7A98"/>
    <w:rsid w:val="008A2C2B"/>
    <w:rsid w:val="00D8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CA97"/>
  <w15:docId w15:val="{E3DB7197-ACAE-43C3-932E-3270BF6D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3233</Words>
  <Characters>19404</Characters>
  <Application>Microsoft Office Word</Application>
  <DocSecurity>0</DocSecurity>
  <Lines>161</Lines>
  <Paragraphs>45</Paragraphs>
  <ScaleCrop>false</ScaleCrop>
  <Company/>
  <LinksUpToDate>false</LinksUpToDate>
  <CharactersWithSpaces>22592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Sobiesiak-Penszko</dc:creator>
  <cp:lastModifiedBy>Paulina Sobiesiak-Penszko</cp:lastModifiedBy>
  <cp:revision>3</cp:revision>
  <dcterms:created xsi:type="dcterms:W3CDTF">2021-03-30T09:16:00Z</dcterms:created>
  <dcterms:modified xsi:type="dcterms:W3CDTF">2021-03-30T09:22:00Z</dcterms:modified>
</cp:coreProperties>
</file>