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1369"/>
        <w:gridCol w:w="1421"/>
        <w:gridCol w:w="3254"/>
      </w:tblGrid>
      <w:tr w:rsidR="009D0C2E" w14:paraId="5D9821FB" w14:textId="77777777" w:rsidTr="00EF51C6">
        <w:tc>
          <w:tcPr>
            <w:tcW w:w="4675" w:type="dxa"/>
            <w:gridSpan w:val="2"/>
          </w:tcPr>
          <w:p w14:paraId="7B5AD0C8" w14:textId="07555C13" w:rsidR="009D0C2E" w:rsidRDefault="009D0C2E"/>
        </w:tc>
        <w:tc>
          <w:tcPr>
            <w:tcW w:w="4675" w:type="dxa"/>
            <w:gridSpan w:val="2"/>
            <w:shd w:val="clear" w:color="auto" w:fill="auto"/>
          </w:tcPr>
          <w:p w14:paraId="45FEDE04" w14:textId="116105CD" w:rsidR="007846C6" w:rsidRDefault="007846C6" w:rsidP="009D0C2E">
            <w:r>
              <w:rPr>
                <w:rFonts w:eastAsiaTheme="minorEastAsia" w:cstheme="minorHAnsi"/>
                <w:color w:val="0563C1" w:themeColor="hyperlink"/>
                <w:sz w:val="24"/>
                <w:u w:val="single"/>
                <w:lang w:val="en"/>
              </w:rPr>
              <w:t xml:space="preserve"> </w:t>
            </w:r>
          </w:p>
        </w:tc>
      </w:tr>
      <w:tr w:rsidR="00AC3DA6" w14:paraId="321B55CF" w14:textId="77777777" w:rsidTr="00EF51C6">
        <w:tc>
          <w:tcPr>
            <w:tcW w:w="3306" w:type="dxa"/>
          </w:tcPr>
          <w:p w14:paraId="612A4A16" w14:textId="7AB98EE5" w:rsidR="00AC3DA6" w:rsidRDefault="00AC3DA6">
            <w:r>
              <w:rPr>
                <w:noProof/>
              </w:rPr>
              <w:drawing>
                <wp:inline distT="0" distB="0" distL="0" distR="0" wp14:anchorId="28581FF9" wp14:editId="4FBB92A2">
                  <wp:extent cx="1962150" cy="1396726"/>
                  <wp:effectExtent l="0" t="0" r="0" b="0"/>
                  <wp:docPr id="1" name="Picture 1" descr="C:\Users\deb82\AppData\Local\Microsoft\Windows\INetCacheContent.Word\Deb - 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82\AppData\Local\Microsoft\Windows\INetCacheContent.Word\Deb - Linked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4130" cy="1412372"/>
                          </a:xfrm>
                          <a:prstGeom prst="rect">
                            <a:avLst/>
                          </a:prstGeom>
                          <a:noFill/>
                          <a:ln>
                            <a:noFill/>
                          </a:ln>
                        </pic:spPr>
                      </pic:pic>
                    </a:graphicData>
                  </a:graphic>
                </wp:inline>
              </w:drawing>
            </w:r>
          </w:p>
        </w:tc>
        <w:tc>
          <w:tcPr>
            <w:tcW w:w="2790" w:type="dxa"/>
            <w:gridSpan w:val="2"/>
          </w:tcPr>
          <w:p w14:paraId="522853CD" w14:textId="77777777" w:rsidR="00AC3DA6" w:rsidRPr="009D0C2E" w:rsidRDefault="00AC3DA6" w:rsidP="00AC3DA6">
            <w:pPr>
              <w:autoSpaceDE w:val="0"/>
              <w:autoSpaceDN w:val="0"/>
              <w:adjustRightInd w:val="0"/>
              <w:rPr>
                <w:rFonts w:eastAsia="Times New Roman" w:cstheme="minorHAnsi"/>
                <w:color w:val="000000"/>
                <w:sz w:val="24"/>
                <w:szCs w:val="24"/>
              </w:rPr>
            </w:pPr>
            <w:r>
              <w:rPr>
                <w:rFonts w:eastAsia="Times New Roman" w:cstheme="minorHAnsi"/>
                <w:color w:val="000000"/>
                <w:sz w:val="24"/>
                <w:szCs w:val="24"/>
              </w:rPr>
              <w:t>Deb Cohen Ph.D.</w:t>
            </w:r>
          </w:p>
          <w:p w14:paraId="7023C081" w14:textId="21D1E3CD" w:rsidR="00AC3DA6" w:rsidRDefault="00AC3DA6" w:rsidP="00AC3DA6">
            <w:pPr>
              <w:autoSpaceDE w:val="0"/>
              <w:autoSpaceDN w:val="0"/>
              <w:adjustRightInd w:val="0"/>
              <w:rPr>
                <w:rFonts w:eastAsia="Times New Roman" w:cstheme="minorHAnsi"/>
                <w:color w:val="000000"/>
                <w:sz w:val="24"/>
                <w:szCs w:val="24"/>
              </w:rPr>
            </w:pPr>
            <w:r w:rsidRPr="009D0C2E">
              <w:rPr>
                <w:rFonts w:eastAsia="Times New Roman" w:cstheme="minorHAnsi"/>
                <w:color w:val="000000"/>
                <w:sz w:val="24"/>
                <w:szCs w:val="24"/>
              </w:rPr>
              <w:t>President, Deb Cohen, LLC</w:t>
            </w:r>
          </w:p>
          <w:p w14:paraId="366D56EF" w14:textId="77777777" w:rsidR="00340412" w:rsidRPr="008A1F6B" w:rsidRDefault="00340412" w:rsidP="00AC3DA6">
            <w:pPr>
              <w:autoSpaceDE w:val="0"/>
              <w:autoSpaceDN w:val="0"/>
              <w:adjustRightInd w:val="0"/>
              <w:rPr>
                <w:sz w:val="16"/>
              </w:rPr>
            </w:pPr>
          </w:p>
          <w:p w14:paraId="6EC8D256" w14:textId="6E2C0263" w:rsidR="00AC3DA6" w:rsidRPr="00AC3DA6" w:rsidRDefault="00F326B7" w:rsidP="00AC3DA6">
            <w:pPr>
              <w:autoSpaceDE w:val="0"/>
              <w:autoSpaceDN w:val="0"/>
              <w:adjustRightInd w:val="0"/>
              <w:rPr>
                <w:color w:val="000000"/>
              </w:rPr>
            </w:pPr>
            <w:hyperlink r:id="rId6" w:history="1">
              <w:r w:rsidRPr="00F15A65">
                <w:rPr>
                  <w:rStyle w:val="Hyperlink"/>
                  <w:rFonts w:eastAsia="Times New Roman" w:cstheme="minorHAnsi"/>
                  <w:sz w:val="24"/>
                  <w:szCs w:val="24"/>
                </w:rPr>
                <w:t>DebCohenLLC@gmail.com</w:t>
              </w:r>
            </w:hyperlink>
          </w:p>
          <w:p w14:paraId="01C48C80" w14:textId="77777777" w:rsidR="00AC3DA6" w:rsidRDefault="00086D9D" w:rsidP="00AC3DA6">
            <w:pPr>
              <w:rPr>
                <w:rStyle w:val="Hyperlink"/>
                <w:rFonts w:eastAsiaTheme="minorEastAsia" w:cstheme="minorHAnsi"/>
                <w:sz w:val="24"/>
                <w:lang w:val="en"/>
              </w:rPr>
            </w:pPr>
            <w:hyperlink r:id="rId7" w:history="1">
              <w:r w:rsidR="00AC3DA6" w:rsidRPr="00FB0CE5">
                <w:rPr>
                  <w:rStyle w:val="Hyperlink"/>
                  <w:rFonts w:eastAsiaTheme="minorEastAsia" w:cstheme="minorHAnsi"/>
                  <w:sz w:val="24"/>
                  <w:lang w:val="en"/>
                </w:rPr>
                <w:t>www.DebCohenLLC.com</w:t>
              </w:r>
            </w:hyperlink>
          </w:p>
          <w:p w14:paraId="23E73B84" w14:textId="77777777" w:rsidR="00340412" w:rsidRPr="008A1F6B" w:rsidRDefault="00340412" w:rsidP="00AC3DA6">
            <w:pPr>
              <w:rPr>
                <w:sz w:val="20"/>
              </w:rPr>
            </w:pPr>
          </w:p>
          <w:p w14:paraId="3FE97851" w14:textId="50A34DA9" w:rsidR="00AC3DA6" w:rsidRDefault="00086D9D" w:rsidP="00AC3DA6">
            <w:pPr>
              <w:rPr>
                <w:rFonts w:eastAsiaTheme="minorEastAsia" w:cstheme="minorHAnsi"/>
                <w:color w:val="0563C1" w:themeColor="hyperlink"/>
                <w:sz w:val="24"/>
                <w:u w:val="single"/>
                <w:lang w:val="en"/>
              </w:rPr>
            </w:pPr>
            <w:hyperlink w:history="1">
              <w:r w:rsidR="00AC3DA6" w:rsidRPr="0066230B">
                <w:rPr>
                  <w:rStyle w:val="Hyperlink"/>
                  <w:rFonts w:eastAsiaTheme="minorEastAsia" w:cstheme="minorHAnsi"/>
                  <w:sz w:val="24"/>
                  <w:lang w:val="en"/>
                </w:rPr>
                <w:t>https://www.linkedin. com/in/debcohenphd</w:t>
              </w:r>
            </w:hyperlink>
          </w:p>
          <w:p w14:paraId="2E69171E" w14:textId="58A222BD" w:rsidR="00AC3DA6" w:rsidRDefault="00AC3DA6" w:rsidP="00AC3DA6"/>
        </w:tc>
        <w:tc>
          <w:tcPr>
            <w:tcW w:w="3254" w:type="dxa"/>
          </w:tcPr>
          <w:p w14:paraId="10A8ADAC" w14:textId="29EED2DB" w:rsidR="00AC3DA6" w:rsidRDefault="00AC3DA6">
            <w:r>
              <w:rPr>
                <w:noProof/>
              </w:rPr>
              <w:drawing>
                <wp:inline distT="0" distB="0" distL="0" distR="0" wp14:anchorId="4A1BF7F2" wp14:editId="4B115DF6">
                  <wp:extent cx="1929709" cy="1379220"/>
                  <wp:effectExtent l="0" t="0" r="0" b="0"/>
                  <wp:docPr id="3" name="Picture 3" descr="C:\Users\deb82\AppData\Local\Microsoft\Windows\INetCacheContent.Word\DebCohen logo1_H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b82\AppData\Local\Microsoft\Windows\INetCacheContent.Word\DebCohen logo1_HR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4737" cy="1404255"/>
                          </a:xfrm>
                          <a:prstGeom prst="rect">
                            <a:avLst/>
                          </a:prstGeom>
                          <a:noFill/>
                          <a:ln>
                            <a:noFill/>
                          </a:ln>
                        </pic:spPr>
                      </pic:pic>
                    </a:graphicData>
                  </a:graphic>
                </wp:inline>
              </w:drawing>
            </w:r>
          </w:p>
        </w:tc>
      </w:tr>
    </w:tbl>
    <w:p w14:paraId="527B0D42" w14:textId="08E6FA1B" w:rsidR="00F5459B" w:rsidRDefault="009D0C2E" w:rsidP="009D0C2E">
      <w:pPr>
        <w:pStyle w:val="Default"/>
        <w:rPr>
          <w:sz w:val="23"/>
          <w:szCs w:val="23"/>
        </w:rPr>
      </w:pPr>
      <w:r>
        <w:rPr>
          <w:sz w:val="23"/>
          <w:szCs w:val="23"/>
        </w:rPr>
        <w:t xml:space="preserve">Deb Cohen, Ph.D., is an association executive with more than 25 years of experience advising, speaking and guiding nonprofit, academic and </w:t>
      </w:r>
      <w:r w:rsidR="00340412">
        <w:rPr>
          <w:sz w:val="23"/>
          <w:szCs w:val="23"/>
        </w:rPr>
        <w:t>for-profit</w:t>
      </w:r>
      <w:r>
        <w:rPr>
          <w:sz w:val="23"/>
          <w:szCs w:val="23"/>
        </w:rPr>
        <w:t xml:space="preserve"> entities. Her latest book (2016) </w:t>
      </w:r>
      <w:r>
        <w:rPr>
          <w:b/>
          <w:bCs/>
          <w:i/>
          <w:iCs/>
          <w:sz w:val="23"/>
          <w:szCs w:val="23"/>
        </w:rPr>
        <w:t xml:space="preserve">Developing Proficiency in HR: 7 Self-directed Activities for HR Professionals </w:t>
      </w:r>
      <w:r w:rsidR="007C2BB6">
        <w:rPr>
          <w:bCs/>
          <w:iCs/>
          <w:sz w:val="23"/>
          <w:szCs w:val="23"/>
        </w:rPr>
        <w:t>focuses on self-development</w:t>
      </w:r>
      <w:r>
        <w:rPr>
          <w:sz w:val="23"/>
          <w:szCs w:val="23"/>
        </w:rPr>
        <w:t>.</w:t>
      </w:r>
      <w:r w:rsidR="00674B0D">
        <w:rPr>
          <w:sz w:val="23"/>
          <w:szCs w:val="23"/>
        </w:rPr>
        <w:t xml:space="preserve"> </w:t>
      </w:r>
      <w:r>
        <w:rPr>
          <w:sz w:val="23"/>
          <w:szCs w:val="23"/>
        </w:rPr>
        <w:t xml:space="preserve"> As a former Senior Vice President, with the Society for Human Resource Management (SHRM), Cohen was responsible for a 50-person Division covering knowledge services, original research, and the development of a profession-wide competency model. </w:t>
      </w:r>
      <w:r w:rsidR="00340412">
        <w:rPr>
          <w:sz w:val="23"/>
          <w:szCs w:val="23"/>
        </w:rPr>
        <w:t xml:space="preserve"> </w:t>
      </w:r>
      <w:r w:rsidR="00F5459B" w:rsidRPr="0061054E">
        <w:rPr>
          <w:rFonts w:cstheme="minorHAnsi"/>
          <w:bCs/>
        </w:rPr>
        <w:t xml:space="preserve">Under her direction, research services were transformed into a </w:t>
      </w:r>
      <w:r w:rsidR="00F5459B">
        <w:rPr>
          <w:rFonts w:cstheme="minorHAnsi"/>
          <w:bCs/>
        </w:rPr>
        <w:t>significant</w:t>
      </w:r>
      <w:r w:rsidR="00F5459B" w:rsidRPr="0061054E">
        <w:rPr>
          <w:rFonts w:cstheme="minorHAnsi"/>
          <w:bCs/>
        </w:rPr>
        <w:t xml:space="preserve"> revenue stream, a curriculum guide for the HR profession was established and a competency model that forms the basis for a world-wide certification credential was created.  </w:t>
      </w:r>
    </w:p>
    <w:tbl>
      <w:tblPr>
        <w:tblStyle w:val="TableGrid"/>
        <w:tblW w:w="0" w:type="auto"/>
        <w:tblLook w:val="04A0" w:firstRow="1" w:lastRow="0" w:firstColumn="1" w:lastColumn="0" w:noHBand="0" w:noVBand="1"/>
      </w:tblPr>
      <w:tblGrid>
        <w:gridCol w:w="3116"/>
        <w:gridCol w:w="3117"/>
        <w:gridCol w:w="3117"/>
      </w:tblGrid>
      <w:tr w:rsidR="009D0C2E" w14:paraId="5B4E34FE" w14:textId="77777777" w:rsidTr="000123B4">
        <w:tc>
          <w:tcPr>
            <w:tcW w:w="3116" w:type="dxa"/>
            <w:tcBorders>
              <w:top w:val="nil"/>
              <w:left w:val="nil"/>
              <w:bottom w:val="nil"/>
              <w:right w:val="nil"/>
            </w:tcBorders>
          </w:tcPr>
          <w:p w14:paraId="0A351525" w14:textId="77777777" w:rsidR="009D0C2E" w:rsidRDefault="009D0C2E" w:rsidP="009D0C2E"/>
        </w:tc>
        <w:tc>
          <w:tcPr>
            <w:tcW w:w="3117" w:type="dxa"/>
            <w:tcBorders>
              <w:top w:val="nil"/>
              <w:left w:val="nil"/>
              <w:bottom w:val="nil"/>
              <w:right w:val="nil"/>
            </w:tcBorders>
          </w:tcPr>
          <w:p w14:paraId="3178DD72" w14:textId="43E7467F" w:rsidR="009D0C2E" w:rsidRDefault="009D0C2E" w:rsidP="009D0C2E"/>
        </w:tc>
        <w:tc>
          <w:tcPr>
            <w:tcW w:w="3117" w:type="dxa"/>
            <w:tcBorders>
              <w:top w:val="nil"/>
              <w:left w:val="nil"/>
              <w:bottom w:val="nil"/>
              <w:right w:val="nil"/>
            </w:tcBorders>
          </w:tcPr>
          <w:p w14:paraId="04D43051" w14:textId="77777777" w:rsidR="009D0C2E" w:rsidRDefault="009D0C2E" w:rsidP="009D0C2E"/>
        </w:tc>
      </w:tr>
    </w:tbl>
    <w:p w14:paraId="47EB54C8" w14:textId="1D955ECC" w:rsidR="008A1F6B" w:rsidRDefault="008A1F6B" w:rsidP="008A1F6B">
      <w:pPr>
        <w:shd w:val="clear" w:color="auto" w:fill="FFFFFF"/>
        <w:spacing w:before="120" w:after="240" w:line="240" w:lineRule="auto"/>
        <w:ind w:right="240"/>
        <w:rPr>
          <w:rFonts w:ascii="Calibri" w:hAnsi="Calibri" w:cs="Calibri"/>
          <w:color w:val="000000"/>
          <w:sz w:val="24"/>
          <w:szCs w:val="24"/>
        </w:rPr>
      </w:pPr>
      <w:r w:rsidRPr="0061054E">
        <w:rPr>
          <w:rFonts w:cstheme="minorHAnsi"/>
          <w:bCs/>
          <w:sz w:val="24"/>
          <w:szCs w:val="24"/>
        </w:rPr>
        <w:t xml:space="preserve">A subject matter expert in HR, management and organizational behavior, Cohen’s expertise lies in creating and executing new initiatives that support and develop organization strategy.  </w:t>
      </w:r>
      <w:r w:rsidR="00AC0A13">
        <w:rPr>
          <w:rFonts w:cstheme="minorHAnsi"/>
          <w:bCs/>
          <w:sz w:val="24"/>
          <w:szCs w:val="24"/>
        </w:rPr>
        <w:t xml:space="preserve">She is </w:t>
      </w:r>
      <w:r w:rsidR="00086D9D">
        <w:rPr>
          <w:rFonts w:cstheme="minorHAnsi"/>
          <w:bCs/>
          <w:sz w:val="24"/>
          <w:szCs w:val="24"/>
        </w:rPr>
        <w:t>a</w:t>
      </w:r>
      <w:r w:rsidR="00AC0A13">
        <w:rPr>
          <w:rFonts w:cstheme="minorHAnsi"/>
          <w:bCs/>
          <w:sz w:val="24"/>
          <w:szCs w:val="24"/>
        </w:rPr>
        <w:t xml:space="preserve"> skillful facilitator, speaker</w:t>
      </w:r>
      <w:r w:rsidR="002055E6">
        <w:rPr>
          <w:rFonts w:cstheme="minorHAnsi"/>
          <w:bCs/>
          <w:sz w:val="24"/>
          <w:szCs w:val="24"/>
        </w:rPr>
        <w:t>, trainer</w:t>
      </w:r>
      <w:r w:rsidR="00AC0A13">
        <w:rPr>
          <w:rFonts w:cstheme="minorHAnsi"/>
          <w:bCs/>
          <w:sz w:val="24"/>
          <w:szCs w:val="24"/>
        </w:rPr>
        <w:t xml:space="preserve"> and r</w:t>
      </w:r>
      <w:r w:rsidR="00086D9D">
        <w:rPr>
          <w:rFonts w:cstheme="minorHAnsi"/>
          <w:bCs/>
          <w:sz w:val="24"/>
          <w:szCs w:val="24"/>
        </w:rPr>
        <w:t>esearch</w:t>
      </w:r>
      <w:r w:rsidR="00AC0A13">
        <w:rPr>
          <w:rFonts w:cstheme="minorHAnsi"/>
          <w:bCs/>
          <w:sz w:val="24"/>
          <w:szCs w:val="24"/>
        </w:rPr>
        <w:t xml:space="preserve">er.  </w:t>
      </w:r>
      <w:r w:rsidR="00F5459B">
        <w:rPr>
          <w:rFonts w:cstheme="minorHAnsi"/>
          <w:bCs/>
          <w:sz w:val="24"/>
          <w:szCs w:val="24"/>
        </w:rPr>
        <w:t xml:space="preserve">She has been called upon as an </w:t>
      </w:r>
      <w:r w:rsidR="00F5459B" w:rsidRPr="00F5459B">
        <w:rPr>
          <w:rFonts w:cstheme="minorHAnsi"/>
          <w:b/>
          <w:bCs/>
          <w:sz w:val="24"/>
          <w:szCs w:val="24"/>
        </w:rPr>
        <w:t>Expert Witness</w:t>
      </w:r>
      <w:r w:rsidR="00F5459B">
        <w:rPr>
          <w:rFonts w:cstheme="minorHAnsi"/>
          <w:bCs/>
          <w:sz w:val="24"/>
          <w:szCs w:val="24"/>
        </w:rPr>
        <w:t xml:space="preserve"> in employment cases.  </w:t>
      </w:r>
      <w:r w:rsidRPr="0061054E">
        <w:rPr>
          <w:rFonts w:eastAsia="Times New Roman" w:cstheme="minorHAnsi"/>
          <w:sz w:val="24"/>
          <w:szCs w:val="24"/>
        </w:rPr>
        <w:t xml:space="preserve">Dr. Cohen received her Ph.D. in Management and Human Resources and her Master's Degree in Labor and Human Resources both from The Ohio State University.  </w:t>
      </w:r>
      <w:r w:rsidRPr="0061054E">
        <w:rPr>
          <w:rFonts w:ascii="Calibri" w:hAnsi="Calibri" w:cs="Calibri"/>
          <w:color w:val="000000"/>
          <w:sz w:val="24"/>
          <w:szCs w:val="24"/>
        </w:rPr>
        <w:t xml:space="preserve">She is a certified HR professional with the designation </w:t>
      </w:r>
      <w:r w:rsidRPr="0061054E">
        <w:rPr>
          <w:rFonts w:ascii="Calibri" w:hAnsi="Calibri" w:cs="Calibri"/>
          <w:i/>
          <w:iCs/>
          <w:color w:val="000000"/>
          <w:sz w:val="24"/>
          <w:szCs w:val="24"/>
        </w:rPr>
        <w:t>SHRM-SCP</w:t>
      </w:r>
      <w:r w:rsidRPr="0061054E">
        <w:rPr>
          <w:rFonts w:ascii="Calibri" w:hAnsi="Calibri" w:cs="Calibri"/>
          <w:color w:val="000000"/>
          <w:sz w:val="24"/>
          <w:szCs w:val="24"/>
        </w:rPr>
        <w:t>.</w:t>
      </w:r>
    </w:p>
    <w:p w14:paraId="523AF51E" w14:textId="77BBC8F2" w:rsidR="00AC0A13" w:rsidRPr="0061054E" w:rsidRDefault="00AC0A13" w:rsidP="008A1F6B">
      <w:pPr>
        <w:shd w:val="clear" w:color="auto" w:fill="FFFFFF"/>
        <w:spacing w:before="120" w:after="240" w:line="240" w:lineRule="auto"/>
        <w:ind w:right="240"/>
        <w:rPr>
          <w:rFonts w:eastAsia="Times New Roman" w:cstheme="minorHAnsi"/>
          <w:sz w:val="24"/>
          <w:szCs w:val="24"/>
        </w:rPr>
      </w:pPr>
      <w:r>
        <w:rPr>
          <w:sz w:val="23"/>
          <w:szCs w:val="23"/>
        </w:rPr>
        <w:t xml:space="preserve">Deb is the Editor-in-Chief for the quarterly journal, </w:t>
      </w:r>
      <w:r w:rsidRPr="00340412">
        <w:rPr>
          <w:b/>
          <w:i/>
          <w:sz w:val="23"/>
          <w:szCs w:val="23"/>
        </w:rPr>
        <w:t>Employment Relations Today</w:t>
      </w:r>
      <w:r w:rsidR="00086D9D">
        <w:rPr>
          <w:sz w:val="23"/>
          <w:szCs w:val="23"/>
        </w:rPr>
        <w:t xml:space="preserve"> and</w:t>
      </w:r>
      <w:bookmarkStart w:id="0" w:name="_GoBack"/>
      <w:bookmarkEnd w:id="0"/>
      <w:r>
        <w:rPr>
          <w:rFonts w:eastAsia="Times New Roman" w:cstheme="minorHAnsi"/>
        </w:rPr>
        <w:t xml:space="preserve"> is an Adjunct Professor at George Washington University teaching MBA courses in Strategic HR.</w:t>
      </w:r>
    </w:p>
    <w:p w14:paraId="2A20597E" w14:textId="1669144C" w:rsidR="008A1F6B" w:rsidRDefault="008A1F6B" w:rsidP="008A1F6B">
      <w:pPr>
        <w:pStyle w:val="Default"/>
        <w:rPr>
          <w:rFonts w:asciiTheme="minorHAnsi" w:eastAsia="Times New Roman" w:hAnsiTheme="minorHAnsi" w:cstheme="minorHAnsi"/>
        </w:rPr>
      </w:pPr>
      <w:r w:rsidRPr="0061054E">
        <w:rPr>
          <w:rFonts w:asciiTheme="minorHAnsi" w:eastAsia="Times New Roman" w:hAnsiTheme="minorHAnsi" w:cstheme="minorHAnsi"/>
        </w:rPr>
        <w:t xml:space="preserve">She is </w:t>
      </w:r>
      <w:r w:rsidRPr="0061054E">
        <w:rPr>
          <w:rFonts w:asciiTheme="minorHAnsi" w:hAnsiTheme="minorHAnsi" w:cstheme="minorHAnsi"/>
          <w:bCs/>
          <w:color w:val="auto"/>
        </w:rPr>
        <w:t xml:space="preserve">co-author of the (2015) book </w:t>
      </w:r>
      <w:r w:rsidRPr="0061054E">
        <w:rPr>
          <w:rFonts w:asciiTheme="minorHAnsi" w:hAnsiTheme="minorHAnsi" w:cstheme="minorHAnsi"/>
          <w:b/>
          <w:bCs/>
          <w:i/>
          <w:color w:val="auto"/>
        </w:rPr>
        <w:t>Defining HR Success: 9 Critical Competencies for HR Professionals</w:t>
      </w:r>
      <w:r w:rsidRPr="0061054E">
        <w:rPr>
          <w:rFonts w:asciiTheme="minorHAnsi" w:hAnsiTheme="minorHAnsi" w:cstheme="minorHAnsi"/>
          <w:bCs/>
          <w:color w:val="auto"/>
        </w:rPr>
        <w:t xml:space="preserve"> and </w:t>
      </w:r>
      <w:r w:rsidRPr="0061054E">
        <w:rPr>
          <w:rFonts w:asciiTheme="minorHAnsi" w:eastAsia="Times New Roman" w:hAnsiTheme="minorHAnsi" w:cstheme="minorHAnsi"/>
        </w:rPr>
        <w:t xml:space="preserve">a co-editor for a (2013) book entitled </w:t>
      </w:r>
      <w:r w:rsidRPr="008A1F6B">
        <w:rPr>
          <w:rStyle w:val="A11"/>
          <w:rFonts w:asciiTheme="minorHAnsi" w:hAnsiTheme="minorHAnsi" w:cstheme="minorHAnsi"/>
          <w:i/>
          <w:color w:val="auto"/>
          <w:sz w:val="24"/>
          <w:szCs w:val="24"/>
        </w:rPr>
        <w:t>Developing and Enhancing Teamwork in Organizations:</w:t>
      </w:r>
      <w:r>
        <w:rPr>
          <w:rStyle w:val="A11"/>
          <w:rFonts w:asciiTheme="minorHAnsi" w:hAnsiTheme="minorHAnsi" w:cstheme="minorHAnsi"/>
          <w:i/>
          <w:color w:val="auto"/>
          <w:sz w:val="24"/>
          <w:szCs w:val="24"/>
        </w:rPr>
        <w:t xml:space="preserve"> </w:t>
      </w:r>
      <w:r w:rsidRPr="0061054E">
        <w:rPr>
          <w:rFonts w:asciiTheme="minorHAnsi" w:hAnsiTheme="minorHAnsi" w:cstheme="minorHAnsi"/>
          <w:b/>
          <w:bCs/>
          <w:i/>
          <w:color w:val="auto"/>
        </w:rPr>
        <w:t>Evidence-based Best Practices and Guidelines</w:t>
      </w:r>
      <w:r w:rsidRPr="0061054E">
        <w:rPr>
          <w:rFonts w:asciiTheme="minorHAnsi" w:hAnsiTheme="minorHAnsi" w:cstheme="minorHAnsi"/>
          <w:bCs/>
          <w:color w:val="auto"/>
        </w:rPr>
        <w:t xml:space="preserve">.  </w:t>
      </w:r>
      <w:r w:rsidRPr="0061054E">
        <w:rPr>
          <w:rFonts w:asciiTheme="minorHAnsi" w:eastAsia="Times New Roman" w:hAnsiTheme="minorHAnsi" w:cstheme="minorHAnsi"/>
        </w:rPr>
        <w:t xml:space="preserve">Prior to joining SHRM, Dr. Cohen spent 15 years as an academician teaching HRM at George Washington and George Mason Universities.  Dr. Cohen has published over 50 articles and book chapters and has been published in such journals as </w:t>
      </w:r>
      <w:r w:rsidRPr="0061054E">
        <w:rPr>
          <w:rFonts w:asciiTheme="minorHAnsi" w:eastAsia="Times New Roman" w:hAnsiTheme="minorHAnsi" w:cstheme="minorHAnsi"/>
          <w:i/>
        </w:rPr>
        <w:t>Academy of Management Journal</w:t>
      </w:r>
      <w:r w:rsidRPr="0061054E">
        <w:rPr>
          <w:rFonts w:asciiTheme="minorHAnsi" w:eastAsia="Times New Roman" w:hAnsiTheme="minorHAnsi" w:cstheme="minorHAnsi"/>
        </w:rPr>
        <w:t xml:space="preserve">, </w:t>
      </w:r>
      <w:r w:rsidRPr="0061054E">
        <w:rPr>
          <w:rFonts w:asciiTheme="minorHAnsi" w:eastAsia="Times New Roman" w:hAnsiTheme="minorHAnsi" w:cstheme="minorHAnsi"/>
          <w:i/>
        </w:rPr>
        <w:t>Personnel Psychology</w:t>
      </w:r>
      <w:r w:rsidRPr="0061054E">
        <w:rPr>
          <w:rFonts w:asciiTheme="minorHAnsi" w:eastAsia="Times New Roman" w:hAnsiTheme="minorHAnsi" w:cstheme="minorHAnsi"/>
        </w:rPr>
        <w:t xml:space="preserve">, </w:t>
      </w:r>
      <w:r w:rsidRPr="0061054E">
        <w:rPr>
          <w:rFonts w:asciiTheme="minorHAnsi" w:eastAsia="Times New Roman" w:hAnsiTheme="minorHAnsi" w:cstheme="minorHAnsi"/>
          <w:i/>
        </w:rPr>
        <w:t>Journal of Management</w:t>
      </w:r>
      <w:r w:rsidRPr="0061054E">
        <w:rPr>
          <w:rFonts w:asciiTheme="minorHAnsi" w:eastAsia="Times New Roman" w:hAnsiTheme="minorHAnsi" w:cstheme="minorHAnsi"/>
        </w:rPr>
        <w:t xml:space="preserve">, and the </w:t>
      </w:r>
      <w:r w:rsidRPr="0061054E">
        <w:rPr>
          <w:rFonts w:asciiTheme="minorHAnsi" w:eastAsia="Times New Roman" w:hAnsiTheme="minorHAnsi" w:cstheme="minorHAnsi"/>
          <w:i/>
        </w:rPr>
        <w:t>Journal of Business Ethics</w:t>
      </w:r>
      <w:r w:rsidRPr="0061054E">
        <w:rPr>
          <w:rFonts w:asciiTheme="minorHAnsi" w:eastAsia="Times New Roman" w:hAnsiTheme="minorHAnsi" w:cstheme="minorHAnsi"/>
        </w:rPr>
        <w:t xml:space="preserve">.  </w:t>
      </w:r>
    </w:p>
    <w:p w14:paraId="583C61FA" w14:textId="1F87A0C5" w:rsidR="00F5459B" w:rsidRDefault="00F5459B" w:rsidP="008A1F6B">
      <w:pPr>
        <w:pStyle w:val="Default"/>
        <w:rPr>
          <w:rFonts w:asciiTheme="minorHAnsi" w:eastAsia="Times New Roman" w:hAnsiTheme="minorHAnsi" w:cstheme="minorHAnsi"/>
        </w:rPr>
      </w:pPr>
    </w:p>
    <w:p w14:paraId="6253DC7F" w14:textId="77777777" w:rsidR="009D0C2E" w:rsidRDefault="009D0C2E" w:rsidP="009D0C2E"/>
    <w:sectPr w:rsidR="009D0C2E" w:rsidSect="0086292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C2E"/>
    <w:rsid w:val="000123B4"/>
    <w:rsid w:val="00086D9D"/>
    <w:rsid w:val="002055E6"/>
    <w:rsid w:val="00340412"/>
    <w:rsid w:val="00662D6D"/>
    <w:rsid w:val="00674B0D"/>
    <w:rsid w:val="007846C6"/>
    <w:rsid w:val="007C2BB6"/>
    <w:rsid w:val="00862929"/>
    <w:rsid w:val="008A1F6B"/>
    <w:rsid w:val="009D0C2E"/>
    <w:rsid w:val="00AC0A13"/>
    <w:rsid w:val="00AC3DA6"/>
    <w:rsid w:val="00E11B8A"/>
    <w:rsid w:val="00E45E05"/>
    <w:rsid w:val="00EF51C6"/>
    <w:rsid w:val="00F326B7"/>
    <w:rsid w:val="00F5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BBFF"/>
  <w15:chartTrackingRefBased/>
  <w15:docId w15:val="{1E9C7F87-44EC-4528-9A24-0229CC5D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C2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D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6C6"/>
    <w:rPr>
      <w:color w:val="0563C1" w:themeColor="hyperlink"/>
      <w:u w:val="single"/>
    </w:rPr>
  </w:style>
  <w:style w:type="character" w:styleId="UnresolvedMention">
    <w:name w:val="Unresolved Mention"/>
    <w:basedOn w:val="DefaultParagraphFont"/>
    <w:uiPriority w:val="99"/>
    <w:semiHidden/>
    <w:unhideWhenUsed/>
    <w:rsid w:val="00340412"/>
    <w:rPr>
      <w:color w:val="808080"/>
      <w:shd w:val="clear" w:color="auto" w:fill="E6E6E6"/>
    </w:rPr>
  </w:style>
  <w:style w:type="character" w:customStyle="1" w:styleId="A11">
    <w:name w:val="A11"/>
    <w:uiPriority w:val="99"/>
    <w:rsid w:val="008A1F6B"/>
    <w:rPr>
      <w:rFonts w:ascii="Agency FB" w:hAnsi="Agency FB" w:cs="Agency FB" w:hint="default"/>
      <w:b/>
      <w:bCs/>
      <w:color w:val="000000"/>
      <w:sz w:val="145"/>
      <w:szCs w:val="1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DebCohenLL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bCohenLLC@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FBECF-ED0F-4326-8653-F59676E1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Cohen</dc:creator>
  <cp:keywords/>
  <dc:description/>
  <cp:lastModifiedBy>Deb Cohen</cp:lastModifiedBy>
  <cp:revision>4</cp:revision>
  <cp:lastPrinted>2016-11-14T23:10:00Z</cp:lastPrinted>
  <dcterms:created xsi:type="dcterms:W3CDTF">2018-05-29T16:36:00Z</dcterms:created>
  <dcterms:modified xsi:type="dcterms:W3CDTF">2018-05-29T17:26:00Z</dcterms:modified>
</cp:coreProperties>
</file>