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859362">
      <w:pPr>
        <w:pStyle w:val="6"/>
        <w:rPr>
          <w:rFonts w:ascii="Calibri" w:hAnsi="Calibri"/>
          <w:b/>
          <w:bCs/>
          <w:u w:val="single" w:color="auto"/>
          <w:lang w:val="en-US"/>
        </w:rPr>
      </w:pPr>
    </w:p>
    <w:p w14:paraId="361F44E8">
      <w:pPr>
        <w:pStyle w:val="6"/>
        <w:rPr>
          <w:rFonts w:ascii="Calibri" w:hAnsi="Calibri"/>
          <w:b/>
          <w:bCs/>
          <w:lang w:val="en-US"/>
        </w:rPr>
      </w:pPr>
    </w:p>
    <w:p w14:paraId="5DEE1149">
      <w:pPr>
        <w:pStyle w:val="6"/>
        <w:rPr>
          <w:rFonts w:ascii="Calibri" w:hAnsi="Calibri"/>
          <w:lang w:val="en-US"/>
        </w:rPr>
      </w:pPr>
    </w:p>
    <w:p w14:paraId="2C24F6BE">
      <w:pPr>
        <w:pStyle w:val="6"/>
        <w:rPr>
          <w:rFonts w:ascii="Calibri" w:hAnsi="Calibri"/>
          <w:lang w:val="en-US"/>
        </w:rPr>
      </w:pPr>
    </w:p>
    <w:p w14:paraId="15455F63">
      <w:pPr>
        <w:pStyle w:val="6"/>
        <w:rPr>
          <w:rFonts w:ascii="Calibri" w:hAnsi="Calibri"/>
          <w:lang w:val="en-US"/>
        </w:rPr>
      </w:pPr>
    </w:p>
    <w:p w14:paraId="45419B2B">
      <w:pPr>
        <w:pStyle w:val="6"/>
        <w:rPr>
          <w:rFonts w:ascii="Calibri" w:hAnsi="Calibri"/>
          <w:lang w:val="en-US"/>
        </w:rPr>
      </w:pPr>
    </w:p>
    <w:p w14:paraId="4403693A">
      <w:pPr>
        <w:pStyle w:val="6"/>
        <w:rPr>
          <w:rFonts w:ascii="Calibri" w:hAnsi="Calibri"/>
          <w:lang w:val="en-US"/>
        </w:rPr>
      </w:pPr>
    </w:p>
    <w:p w14:paraId="682709F7">
      <w:pPr>
        <w:pStyle w:val="6"/>
        <w:rPr>
          <w:rFonts w:ascii="Calibri" w:hAnsi="Calibri"/>
          <w:lang w:val="en-US"/>
        </w:rPr>
      </w:pPr>
    </w:p>
    <w:p w14:paraId="3707B6C8">
      <w:pPr>
        <w:pStyle w:val="6"/>
        <w:rPr>
          <w:rFonts w:ascii="Calibri" w:hAnsi="Calibri"/>
          <w:lang w:val="en-US"/>
        </w:rPr>
      </w:pPr>
    </w:p>
    <w:p w14:paraId="06629D02">
      <w:pPr>
        <w:pStyle w:val="6"/>
        <w:rPr>
          <w:rFonts w:ascii="Calibri" w:hAnsi="Calibri"/>
          <w:lang w:val="en-US"/>
        </w:rPr>
      </w:pPr>
    </w:p>
    <w:p w14:paraId="532C2A27">
      <w:pPr>
        <w:pStyle w:val="6"/>
        <w:rPr>
          <w:rFonts w:ascii="Calibri" w:hAnsi="Calibri"/>
          <w:lang w:val="en-US"/>
        </w:rPr>
      </w:pPr>
    </w:p>
    <w:p w14:paraId="464BE0E1">
      <w:pPr>
        <w:pStyle w:val="6"/>
        <w:jc w:val="center"/>
        <w:rPr>
          <w:rFonts w:ascii="Calibri" w:hAnsi="Calibri"/>
          <w:lang w:val="en-US"/>
        </w:rPr>
      </w:pPr>
      <w:r>
        <w:rPr>
          <w:rFonts w:ascii="Calibri" w:hAnsi="Calibri"/>
          <w:lang w:val="en-US"/>
        </w:rPr>
        <w:t>Women’s Spiritual Lives in Cross-Cultural Contexts — Angela Merici in 16th-Century Italy and Shigong in 17th-Century China</w:t>
      </w:r>
      <w:bookmarkStart w:id="8" w:name="_GoBack"/>
      <w:bookmarkEnd w:id="8"/>
    </w:p>
    <w:p w14:paraId="4C61F836">
      <w:pPr>
        <w:pStyle w:val="6"/>
        <w:jc w:val="center"/>
        <w:rPr>
          <w:rFonts w:ascii="Calibri" w:hAnsi="Calibri"/>
          <w:lang w:val="en-US"/>
        </w:rPr>
      </w:pPr>
      <w:r>
        <w:rPr>
          <w:rFonts w:ascii="Calibri" w:hAnsi="Calibri"/>
          <w:lang w:val="en-US"/>
        </w:rPr>
        <w:t>Shengyi (Sandy) Qin</w:t>
      </w:r>
    </w:p>
    <w:p w14:paraId="62A33DC0">
      <w:pPr>
        <w:pStyle w:val="6"/>
        <w:rPr>
          <w:rFonts w:ascii="Calibri" w:hAnsi="Calibri"/>
          <w:lang w:val="en-US"/>
        </w:rPr>
      </w:pPr>
    </w:p>
    <w:p w14:paraId="24B3451E">
      <w:pPr>
        <w:pStyle w:val="6"/>
        <w:rPr>
          <w:rFonts w:ascii="Calibri" w:hAnsi="Calibri"/>
          <w:lang w:val="en-US"/>
        </w:rPr>
      </w:pPr>
    </w:p>
    <w:p w14:paraId="270D824B">
      <w:pPr>
        <w:pStyle w:val="6"/>
        <w:rPr>
          <w:rFonts w:ascii="Calibri" w:hAnsi="Calibri"/>
          <w:lang w:val="en-US"/>
        </w:rPr>
      </w:pPr>
    </w:p>
    <w:p w14:paraId="25347D29">
      <w:pPr>
        <w:pStyle w:val="6"/>
        <w:rPr>
          <w:rFonts w:ascii="Calibri" w:hAnsi="Calibri"/>
          <w:lang w:val="en-US"/>
        </w:rPr>
      </w:pPr>
    </w:p>
    <w:p w14:paraId="78853408">
      <w:pPr>
        <w:pStyle w:val="6"/>
        <w:rPr>
          <w:rFonts w:ascii="Calibri" w:hAnsi="Calibri"/>
          <w:lang w:val="en-US"/>
        </w:rPr>
      </w:pPr>
    </w:p>
    <w:p w14:paraId="4D63CEC0">
      <w:pPr>
        <w:pStyle w:val="6"/>
        <w:rPr>
          <w:rFonts w:ascii="Calibri" w:hAnsi="Calibri"/>
          <w:lang w:val="en-US"/>
        </w:rPr>
      </w:pPr>
    </w:p>
    <w:p w14:paraId="6A31C46F">
      <w:pPr>
        <w:pStyle w:val="6"/>
        <w:rPr>
          <w:rFonts w:ascii="Calibri" w:hAnsi="Calibri"/>
          <w:lang w:val="en-US"/>
        </w:rPr>
      </w:pPr>
    </w:p>
    <w:p w14:paraId="30FDA12A">
      <w:pPr>
        <w:pStyle w:val="6"/>
        <w:rPr>
          <w:rFonts w:ascii="Calibri" w:hAnsi="Calibri"/>
          <w:lang w:val="en-US"/>
        </w:rPr>
      </w:pPr>
    </w:p>
    <w:p w14:paraId="19FCFEE0">
      <w:pPr>
        <w:pStyle w:val="6"/>
        <w:rPr>
          <w:rFonts w:ascii="Calibri" w:hAnsi="Calibri"/>
          <w:lang w:val="en-US"/>
        </w:rPr>
      </w:pPr>
    </w:p>
    <w:p w14:paraId="0BD8AC61">
      <w:pPr>
        <w:pStyle w:val="6"/>
        <w:rPr>
          <w:rFonts w:ascii="Calibri" w:hAnsi="Calibri"/>
          <w:lang w:val="en-US"/>
        </w:rPr>
      </w:pPr>
    </w:p>
    <w:p w14:paraId="40F6A746">
      <w:pPr>
        <w:pStyle w:val="6"/>
        <w:rPr>
          <w:rFonts w:hint="eastAsia" w:ascii="Calibri" w:hAnsi="Calibri"/>
          <w:lang w:val="en-US"/>
        </w:rPr>
      </w:pPr>
    </w:p>
    <w:p w14:paraId="7273FA2E">
      <w:pPr>
        <w:pStyle w:val="6"/>
        <w:rPr>
          <w:rFonts w:ascii="Calibri" w:hAnsi="Calibri"/>
          <w:lang w:val="en-US"/>
        </w:rPr>
      </w:pPr>
      <w:r>
        <w:rPr>
          <w:rFonts w:ascii="Calibri" w:hAnsi="Calibri"/>
          <w:lang w:val="en-US"/>
        </w:rPr>
        <w:t xml:space="preserve">I. Introduction </w:t>
      </w:r>
    </w:p>
    <w:p w14:paraId="66519FFC">
      <w:pPr>
        <w:pStyle w:val="6"/>
        <w:ind w:firstLine="720"/>
        <w:rPr>
          <w:rFonts w:ascii="Calibri" w:hAnsi="Calibri"/>
          <w:lang w:val="en-US"/>
        </w:rPr>
      </w:pPr>
      <w:bookmarkStart w:id="0" w:name="OLE_LINK19"/>
      <w:r>
        <w:rPr>
          <w:rFonts w:ascii="Calibri" w:hAnsi="Calibri"/>
          <w:lang w:val="en-US"/>
        </w:rPr>
        <w:t xml:space="preserve">Under the sway of different cultures, people’s ways of life often unfold along markedly divergent paths. Culture is far more than a collection of customs or educational forms; it is also a set of subtle value systems and psychological patterns, quietly shaping human behavior and the contours of the spirit. For instance, in Renaissance Europe, the Catholic Church, seated at the heart of society, permeated law, education, and public life alike. Living in Renaissance Europe and guided by the framework of the Catholic Church, Angela Merici empowered women to cultivate a deeper intimacy with the Lord while also extending their influence beyond the private sphere into society. Through her work, she expanded the ways in which women in the Catholic community experienced God and engaged with sacred life. When compared to this, women in late Ming and early Qing China mostly developed their spirituality in monasteries or via private practice because Buddhism was so marginalized in the Confucian-dominated society. The educational content was mainly about precepts, classic study, and self-reflection, emphasizing self-awareness and spiritual purification. </w:t>
      </w:r>
      <w:bookmarkEnd w:id="0"/>
      <w:r>
        <w:rPr>
          <w:rFonts w:ascii="Calibri" w:hAnsi="Calibri"/>
          <w:lang w:val="en-US"/>
        </w:rPr>
        <w:t xml:space="preserve">Because they relied on their own internal harmony for stability rather than external social support, they were largely insular inside their religious communities. </w:t>
      </w:r>
    </w:p>
    <w:p w14:paraId="64736854">
      <w:pPr>
        <w:pStyle w:val="6"/>
        <w:ind w:firstLine="720"/>
        <w:rPr>
          <w:rFonts w:ascii="Calibri" w:hAnsi="Calibri" w:eastAsia="Calibri" w:cs="Calibri"/>
        </w:rPr>
      </w:pPr>
      <w:bookmarkStart w:id="1" w:name="OLE_LINK24"/>
      <w:r>
        <w:rPr>
          <w:rFonts w:ascii="Calibri" w:hAnsi="Calibri"/>
          <w:lang w:val="en-US"/>
        </w:rPr>
        <w:t xml:space="preserve">Religious education plays a crucial role in shaping women’s spiritual and psychological development across cultures. By examining the educational practices and spiritual pursuits of Angelica Merici in Renaissance Catholic Europe and Shigong, a 17th-century Chinese Buddhist nun, the study highlights how cultural context and the inward or outward orientation of spiritual practice jointly influence women’s roles and inner lives. </w:t>
      </w:r>
      <w:bookmarkEnd w:id="1"/>
      <w:r>
        <w:rPr>
          <w:rFonts w:ascii="Calibri" w:hAnsi="Calibri"/>
          <w:lang w:val="en-US"/>
        </w:rPr>
        <w:t>In particular, it explores how the central position of the Church in European culture shaped women’s outward spiritual practice, while also comparing this with the inward-focused cultivation characteristic of Chinese Buddhist women.</w:t>
      </w:r>
    </w:p>
    <w:p w14:paraId="3A7639EE">
      <w:pPr>
        <w:pStyle w:val="6"/>
        <w:rPr>
          <w:rFonts w:ascii="Calibri" w:hAnsi="Calibri" w:eastAsia="Calibri" w:cs="Calibri"/>
          <w:b/>
          <w:bCs/>
        </w:rPr>
      </w:pPr>
      <w:r>
        <w:rPr>
          <w:rFonts w:ascii="Calibri" w:hAnsi="Calibri"/>
          <w:b/>
          <w:bCs/>
          <w:lang w:val="en-US"/>
        </w:rPr>
        <w:t>II. Body I—</w:t>
      </w:r>
      <w:r>
        <w:t xml:space="preserve"> </w:t>
      </w:r>
      <w:r>
        <w:rPr>
          <w:rFonts w:ascii="Calibri" w:hAnsi="Calibri"/>
          <w:b/>
          <w:bCs/>
          <w:lang w:val="en-US"/>
        </w:rPr>
        <w:t>Angela Merici: Fostering Outward-Facing Spirituality in Women</w:t>
      </w:r>
    </w:p>
    <w:p w14:paraId="64992A03">
      <w:pPr>
        <w:pStyle w:val="6"/>
        <w:ind w:firstLine="720"/>
        <w:rPr>
          <w:rFonts w:ascii="Calibri" w:hAnsi="Calibri" w:eastAsia="Calibri" w:cs="Calibri"/>
        </w:rPr>
      </w:pPr>
      <w:bookmarkStart w:id="2" w:name="OLE_LINK36"/>
      <w:r>
        <w:rPr>
          <w:rFonts w:ascii="Calibri" w:hAnsi="Calibri"/>
          <w:lang w:val="en-US"/>
        </w:rPr>
        <w:t>In medieval Europe, Catholic culture was deeply influenced by the cloister system, which emphasized the integrity of institutions and physical separation, rather than personal spiritual growth in everyday life. Within this monastic system, women’s religious communities depended on male clergy for spiritual guidance, which was mediated through the celebration of Mass, the hearing of confessions, and the administration of last rites to the sick and dying (Griffiths). For women, the only legitimate way to live a holy life in medieval Europe was to enter a convent, fully leaving secular life, and be under the supervision of male priests and church rules. As Fiona Griffiths—in the Nuns’ Priests’ Tales Men and Salvation in Medieval Women’s Monastic Life—points out, “men’s support and care for religious women could be central to male spirituality and pious practice.” As a result, women’s spiritual growth was largely mediated through the Church and its male clergy. Yet this historical reality should not be confused with the theological intention of Catholicism.</w:t>
      </w:r>
      <w:bookmarkEnd w:id="2"/>
      <w:r>
        <w:rPr>
          <w:rFonts w:ascii="Calibri" w:hAnsi="Calibri"/>
          <w:lang w:val="en-US"/>
        </w:rPr>
        <w:t xml:space="preserve"> </w:t>
      </w:r>
      <w:bookmarkStart w:id="3" w:name="OLE_LINK38"/>
      <w:r>
        <w:rPr>
          <w:rFonts w:ascii="Calibri" w:hAnsi="Calibri"/>
          <w:lang w:val="en-US"/>
        </w:rPr>
        <w:t xml:space="preserve">At its core, the Church envisions a communion of order modeled on the Trinity, in which all relationships are oriented toward God and brought to fulfillment in love, including marriage. </w:t>
      </w:r>
      <w:bookmarkEnd w:id="3"/>
    </w:p>
    <w:p w14:paraId="62EDAB06">
      <w:pPr>
        <w:pStyle w:val="6"/>
        <w:ind w:firstLine="720"/>
        <w:rPr>
          <w:rFonts w:ascii="Calibri" w:hAnsi="Calibri" w:eastAsia="Calibri" w:cs="Calibri"/>
        </w:rPr>
      </w:pPr>
      <w:bookmarkStart w:id="4" w:name="OLE_LINK40"/>
      <w:r>
        <w:rPr>
          <w:rFonts w:ascii="Calibri" w:hAnsi="Calibri"/>
          <w:lang w:val="en-US"/>
        </w:rPr>
        <w:t>Patriarchy in the Middle Ages limited some rights of women, but it arose because historical legal, economic, and social structures institutionalized male roles, creating structural advantages for men. Howell argues that from the Middle Ages to the early modern period, patriarchy was sustained less by ideology than by marriage and property systems. Because land functioned as the primary source of wealth and social stability, primogeniture concentrated inheritance and authority in the hands of eldest sons. Women, excluded from property ownership, were rendered economically dependent and integrated into social life mainly through marriage or religious vocation. In this way, families became structurally male-centered, and male authority was reinforced through law and economy rather than moral or theological claims (Howell 215–224).</w:t>
      </w:r>
    </w:p>
    <w:p w14:paraId="52C701A2">
      <w:pPr>
        <w:pStyle w:val="6"/>
        <w:ind w:firstLine="720"/>
        <w:rPr>
          <w:rFonts w:ascii="Calibri" w:hAnsi="Calibri" w:eastAsia="Calibri" w:cs="Calibri"/>
        </w:rPr>
      </w:pPr>
      <w:r>
        <w:rPr>
          <w:rFonts w:ascii="Calibri" w:hAnsi="Calibri"/>
          <w:lang w:val="en-US"/>
        </w:rPr>
        <w:t>Against this background of structurally reinforced patriarchy, Angela Merici’s religious practice represents a significant reconfiguration of female spiritual life. Through the foundation of the Company of St. Ursula, she articulated a form of holiness that did not depend on enclosure or conventional familial roles, thereby constituting a “third space” in which women could pursue religious vocation within everyday social life (Querciolo Mazzonis, 45–64). This was revolutionary: it went beyond the old convent nun or housewife roles, allowing women to combine prayer, virtue, and service in the real world, without depending only on male clergy or monastery protection. Merici taught young girls how to pray, participate in church sacraments, learn virtues, and act on their faith in daily life.</w:t>
      </w:r>
      <w:bookmarkEnd w:id="4"/>
      <w:r>
        <w:rPr>
          <w:rFonts w:ascii="Calibri" w:hAnsi="Calibri"/>
          <w:lang w:val="en-US"/>
        </w:rPr>
        <w:t xml:space="preserve"> </w:t>
      </w:r>
      <w:bookmarkStart w:id="5" w:name="OLE_LINK42"/>
      <w:r>
        <w:rPr>
          <w:rFonts w:ascii="Calibri" w:hAnsi="Calibri"/>
          <w:lang w:val="en-US"/>
        </w:rPr>
        <w:t>She used this formative practice to combine women’s spiritual development with self-awareness and societal responsibility. By cultivating prayer, virtue, and discernment, women came to recognize themselves as moral and spiritual subjects, allowing their engagement in homes, streets, and markets to reflect an internally grounded sense of Christian identity while actively contributing to their communities’ well-being.</w:t>
      </w:r>
      <w:bookmarkEnd w:id="5"/>
    </w:p>
    <w:p w14:paraId="379698BE">
      <w:pPr>
        <w:pStyle w:val="6"/>
        <w:ind w:firstLine="720"/>
        <w:rPr>
          <w:rFonts w:ascii="Calibri" w:hAnsi="Calibri" w:eastAsia="Calibri" w:cs="Calibri"/>
        </w:rPr>
      </w:pPr>
      <w:r>
        <w:rPr>
          <w:rFonts w:ascii="Calibri" w:hAnsi="Calibri"/>
          <w:lang w:val="en-US"/>
        </w:rPr>
        <w:t>More importantly, Merici transformed what society considered women’s weaknesses—such as their social dependence on male authority, economic vulnerability, and limited access to public roles—into spiritual strength. She taught girls that precisely because they were socially constrained, they could humble themselves, empty themselves, and receive God’s power. Under this Rule, Angela especially guided them in the proper use of their free will through practices such as the method of examination of conscience. She did not regard the passive oversight found in a cloistered monastery as inherently more spiritually valuable; rather, she emphasized that exercising discipline and virtue through one’s own will in a world full of worldly temptations demonstrated greater agency and spiritual initiative. Through Angela’s approach, women could practice mystical union in daily life: first, the Ursuline contemplated her own sins, identifying with Christ and humanity; next, she assumed responsibility for the sins of the world and offered her own sacrifice for its redemption; and finally, through this process, she attained mystical union with God (</w:t>
      </w:r>
      <w:bookmarkStart w:id="6" w:name="OLE_LINK49"/>
      <w:r>
        <w:rPr>
          <w:rFonts w:ascii="Calibri" w:hAnsi="Calibri"/>
          <w:lang w:val="it-IT"/>
        </w:rPr>
        <w:t>Mazzonis, 118</w:t>
      </w:r>
      <w:bookmarkEnd w:id="6"/>
      <w:r>
        <w:rPr>
          <w:rFonts w:ascii="Calibri" w:hAnsi="Calibri"/>
          <w:lang w:val="en-US"/>
        </w:rPr>
        <w:t>). This form of spiritual exercise not only grounded women’s inner faith but also transcended the physical walls of the monastery, allowing them to live out secular-sacred integration—the unification of spiritual devotion and everyday worldly actions—within kitchens, households, and broader life contexts. Thanks to Angela’s contributions, the pursuit of God and a holy life was no longer confined to the monastery but extended into the homes of women and the lives of those around them, realizing a true outward expansion of faith. On November 25, 1535, Merici gathered twelve young women near St. Afra Church in Brescia and founded the Company of St. Ursula, laying the foundation for the Ursuline Order. Through her practices, even young girls living in poverty and social turmoil could cultivate a strong sense of mission through education and prayer, and transmit their values and love to the wider society.</w:t>
      </w:r>
    </w:p>
    <w:p w14:paraId="276E724A">
      <w:pPr>
        <w:pStyle w:val="6"/>
        <w:ind w:firstLine="720"/>
        <w:rPr>
          <w:rFonts w:ascii="Calibri" w:hAnsi="Calibri" w:eastAsia="Calibri" w:cs="Calibri"/>
        </w:rPr>
      </w:pPr>
      <w:r>
        <w:rPr>
          <w:rFonts w:ascii="Calibri" w:hAnsi="Calibri"/>
          <w:lang w:val="en-US"/>
        </w:rPr>
        <w:t xml:space="preserve">Merici’s greatness lay not only in founding an educational institution, but also in creating a path within the framework of the Church that could transform the destinies of women. In the tumultuous context of sixteenth-century Italy, many poor girls, lacking access to education, faced a grim future: they were either forced into arranged marriages or relegated to low-status labor, and some even fell into prostitution. Angela Merici and her early companions recognized that without a foundation in basic religious knowledge and moral principles, women could neither safeguard their souls nor exercise a positive influence in society. They gradually became aware that they possessed a resource scarce in their social context—moral integrity and spiritual knowledge—which imbued them with a sense of mentorship. </w:t>
      </w:r>
      <w:bookmarkStart w:id="7" w:name="OLE_LINK51"/>
      <w:r>
        <w:rPr>
          <w:rFonts w:ascii="Calibri" w:hAnsi="Calibri"/>
          <w:lang w:val="en-US"/>
        </w:rPr>
        <w:t xml:space="preserve">As </w:t>
      </w:r>
      <w:r>
        <w:rPr>
          <w:rFonts w:ascii="Calibri" w:hAnsi="Calibri"/>
          <w:lang w:val="it-IT"/>
        </w:rPr>
        <w:t>Mazzonis</w:t>
      </w:r>
      <w:r>
        <w:rPr>
          <w:rFonts w:ascii="Calibri" w:hAnsi="Calibri"/>
          <w:lang w:val="en-US"/>
        </w:rPr>
        <w:t xml:space="preserve"> notes, this awakening eventually developed into an explicit social function: the women began instructing young girls in informal gatherings (191-192). T</w:t>
      </w:r>
      <w:bookmarkEnd w:id="7"/>
      <w:r>
        <w:rPr>
          <w:rFonts w:ascii="Calibri" w:hAnsi="Calibri"/>
          <w:lang w:val="en-US"/>
        </w:rPr>
        <w:t>his marked a transformation from a private, mystical circle into a center for the dissemination of Catholic culture among other women. In a society that denied girls formal schooling and considered their education unnecessary beyond domestic skills and obedience, Merici successfully reshaped the lives of women. She asserted that women had the right to pursue holiness and to live with spiritual discernment. The Company of St. Ursula, which she established, was the first secular, non-monastic teaching community, and her practices of domestic spiritual formation allowed many girls who would never enter a convent to access education. The flexibility of this system meant that education was no longer the exclusive privilege of elite women, but gradually extended to the lower social strata. As Mazzonis observes, by the seventeenth century, the influence of the Ursulines had spread not only throughout Italy but also to France and across Europe, becoming the first large-scale, institutionalized organization devoted specifically to the education of women. This unprecedented expansion reflected a new model in which a space originally reserved for private spiritual development evolved into a social and educational institution with lasting impact on the roles of women in early modern Europe (</w:t>
      </w:r>
      <w:r>
        <w:rPr>
          <w:rFonts w:ascii="Calibri" w:hAnsi="Calibri"/>
          <w:lang w:val="it-IT"/>
        </w:rPr>
        <w:t>Mazzonis</w:t>
      </w:r>
      <w:r>
        <w:rPr>
          <w:rFonts w:ascii="Calibri" w:hAnsi="Calibri"/>
          <w:lang w:val="en-US"/>
        </w:rPr>
        <w:t>, 202).</w:t>
      </w:r>
    </w:p>
    <w:p w14:paraId="53233C60">
      <w:pPr>
        <w:pStyle w:val="6"/>
        <w:ind w:firstLine="720"/>
        <w:rPr>
          <w:lang w:val="zh-TW" w:eastAsia="zh-TW"/>
        </w:rPr>
      </w:pPr>
    </w:p>
    <w:p w14:paraId="09D01142">
      <w:pPr>
        <w:pStyle w:val="6"/>
        <w:jc w:val="center"/>
        <w:rPr>
          <w:rFonts w:ascii="Calibri" w:hAnsi="Calibri" w:eastAsia="Calibri" w:cs="Calibri"/>
        </w:rPr>
      </w:pPr>
      <w:r>
        <w:rPr>
          <w:rFonts w:ascii="Calibri" w:hAnsi="Calibri"/>
          <w:lang w:val="en-US"/>
        </w:rPr>
        <w:t>Works cited</w:t>
      </w:r>
    </w:p>
    <w:p w14:paraId="0E32D76A">
      <w:pPr>
        <w:pStyle w:val="7"/>
        <w:rPr>
          <w:rFonts w:ascii="Calibri" w:hAnsi="Calibri" w:eastAsia="Calibri" w:cs="Calibri"/>
        </w:rPr>
      </w:pPr>
      <w:r>
        <w:rPr>
          <w:rFonts w:ascii="Calibri" w:hAnsi="Calibri"/>
        </w:rPr>
        <w:t xml:space="preserve">Griffiths, Fiona J. </w:t>
      </w:r>
      <w:r>
        <w:rPr>
          <w:rFonts w:ascii="Calibri" w:hAnsi="Calibri"/>
          <w:i/>
          <w:iCs/>
        </w:rPr>
        <w:t>Nuns’ Priests’ Tales: Men and Salvation in Medieval Women’s Monastic Life</w:t>
      </w:r>
      <w:r>
        <w:rPr>
          <w:rFonts w:ascii="Calibri" w:hAnsi="Calibri"/>
        </w:rPr>
        <w:t xml:space="preserve">. University of Pennsylvania Press, 2018. </w:t>
      </w:r>
      <w:r>
        <w:fldChar w:fldCharType="begin"/>
      </w:r>
      <w:r>
        <w:instrText xml:space="preserve"> HYPERLINK "https://history.stanford.edu/publications/nuns-priests-tales-men-and-salvation-medieval-womens-monastic-life" </w:instrText>
      </w:r>
      <w:r>
        <w:fldChar w:fldCharType="separate"/>
      </w:r>
      <w:r>
        <w:rPr>
          <w:rStyle w:val="9"/>
        </w:rPr>
        <w:t>https://history.stanford.edu/publications/nuns-priests-tales-men-and-salvation-medieval-womens-monastic-life</w:t>
      </w:r>
      <w:r>
        <w:rPr>
          <w:rStyle w:val="9"/>
        </w:rPr>
        <w:fldChar w:fldCharType="end"/>
      </w:r>
    </w:p>
    <w:p w14:paraId="4F7EA718">
      <w:pPr>
        <w:pStyle w:val="6"/>
        <w:spacing w:after="0" w:line="240" w:lineRule="auto"/>
        <w:rPr>
          <w:rFonts w:ascii="Calibri" w:hAnsi="Calibri" w:eastAsia="Calibri" w:cs="Calibri"/>
          <w:kern w:val="0"/>
        </w:rPr>
      </w:pPr>
      <w:r>
        <w:rPr>
          <w:rFonts w:ascii="Calibri" w:hAnsi="Calibri"/>
          <w:kern w:val="0"/>
          <w:lang w:val="en-US"/>
        </w:rPr>
        <w:t xml:space="preserve">Howell, Martha C. “Marriage, Property, and Patriarchy: Recent Contributions to a Literature.” </w:t>
      </w:r>
      <w:r>
        <w:rPr>
          <w:rFonts w:ascii="Calibri" w:hAnsi="Calibri"/>
          <w:i/>
          <w:iCs/>
          <w:kern w:val="0"/>
          <w:lang w:val="de-DE"/>
        </w:rPr>
        <w:t>Feminist Studies</w:t>
      </w:r>
      <w:r>
        <w:rPr>
          <w:rFonts w:ascii="Calibri" w:hAnsi="Calibri"/>
          <w:kern w:val="0"/>
        </w:rPr>
        <w:t>, vol. 13, no. 1, 1987, pp. 203</w:t>
      </w:r>
      <w:r>
        <w:rPr>
          <w:rFonts w:ascii="Calibri" w:hAnsi="Calibri"/>
          <w:kern w:val="0"/>
          <w:lang w:val="en-US"/>
        </w:rPr>
        <w:t>–</w:t>
      </w:r>
      <w:r>
        <w:rPr>
          <w:rFonts w:ascii="Calibri" w:hAnsi="Calibri"/>
          <w:kern w:val="0"/>
        </w:rPr>
        <w:t xml:space="preserve">24. </w:t>
      </w:r>
      <w:r>
        <w:rPr>
          <w:rFonts w:ascii="Calibri" w:hAnsi="Calibri"/>
          <w:i/>
          <w:iCs/>
          <w:kern w:val="0"/>
          <w:lang w:val="de-DE"/>
        </w:rPr>
        <w:t>JSTOR</w:t>
      </w:r>
      <w:r>
        <w:rPr>
          <w:rFonts w:ascii="Calibri" w:hAnsi="Calibri"/>
          <w:kern w:val="0"/>
        </w:rPr>
        <w:t xml:space="preserve">, </w:t>
      </w:r>
      <w:r>
        <w:rPr>
          <w:rStyle w:val="10"/>
        </w:rPr>
        <w:fldChar w:fldCharType="begin"/>
      </w:r>
      <w:r>
        <w:rPr>
          <w:rStyle w:val="10"/>
        </w:rPr>
        <w:instrText xml:space="preserve"> HYPERLINK "https://doi.org/10.2307/3177843.%2520Accessed%252029%2520Dec.%25202025"</w:instrText>
      </w:r>
      <w:r>
        <w:rPr>
          <w:rStyle w:val="10"/>
        </w:rPr>
        <w:fldChar w:fldCharType="separate"/>
      </w:r>
      <w:r>
        <w:rPr>
          <w:rStyle w:val="10"/>
          <w:lang w:val="en-US"/>
        </w:rPr>
        <w:t>https://doi.org/10.2307/3177843. Accessed 29 Dec. 2025</w:t>
      </w:r>
      <w:r>
        <w:fldChar w:fldCharType="end"/>
      </w:r>
      <w:r>
        <w:rPr>
          <w:rFonts w:ascii="Calibri" w:hAnsi="Calibri"/>
          <w:kern w:val="0"/>
        </w:rPr>
        <w:t>.</w:t>
      </w:r>
    </w:p>
    <w:p w14:paraId="48DD164A">
      <w:pPr>
        <w:pStyle w:val="7"/>
      </w:pPr>
      <w:r>
        <w:rPr>
          <w:rFonts w:ascii="Calibri" w:hAnsi="Calibri"/>
        </w:rPr>
        <w:t xml:space="preserve">Querciolo Mazzonis, Silvia. </w:t>
      </w:r>
      <w:r>
        <w:rPr>
          <w:rFonts w:ascii="Calibri" w:hAnsi="Calibri"/>
          <w:i/>
          <w:iCs/>
        </w:rPr>
        <w:t>Spirituality, Gender, and the Self in Renaissance Italy</w:t>
      </w:r>
      <w:r>
        <w:rPr>
          <w:rFonts w:ascii="Calibri" w:hAnsi="Calibri"/>
        </w:rPr>
        <w:t>. The Catholic University of America Press, 2007.</w:t>
      </w:r>
    </w:p>
    <w:sectPr>
      <w:headerReference r:id="rId3" w:type="default"/>
      <w:pgSz w:w="12240" w:h="15840"/>
      <w:pgMar w:top="1440" w:right="1440" w:bottom="1440" w:left="1440" w:header="708" w:footer="708"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Arial Unicode MS">
    <w:panose1 w:val="020B0604020202020204"/>
    <w:charset w:val="80"/>
    <w:family w:val="swiss"/>
    <w:pitch w:val="default"/>
    <w:sig w:usb0="FFFFFFFF" w:usb1="E9FFFFFF" w:usb2="0000003F" w:usb3="00000000" w:csb0="603F01FF" w:csb1="FFFF0000"/>
  </w:font>
  <w:font w:name="PingFang SC Regular">
    <w:panose1 w:val="020B0400000000000000"/>
    <w:charset w:val="86"/>
    <w:family w:val="roman"/>
    <w:pitch w:val="default"/>
    <w:sig w:usb0="A00002FF" w:usb1="7ACFFDFB" w:usb2="00000017" w:usb3="00000000" w:csb0="00040001" w:csb1="00000000"/>
  </w:font>
  <w:font w:name="Aptos">
    <w:altName w:val="Helvetica Neue"/>
    <w:panose1 w:val="020B0004020202020204"/>
    <w:charset w:val="00"/>
    <w:family w:val="swiss"/>
    <w:pitch w:val="default"/>
    <w:sig w:usb0="00000000" w:usb1="00000000" w:usb2="00000000" w:usb3="00000000" w:csb0="0000019F"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汉仪书宋二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74544">
    <w:pPr>
      <w:pStyle w:val="5"/>
      <w:rPr>
        <w:rFonts w:hint="eastAsia"/>
      </w:rPr>
    </w:pPr>
    <w:r>
      <w:rPr>
        <w:rFonts w:hint="eastAsia" w:asciiTheme="minorEastAsia" w:hAnsiTheme="minorEastAsia" w:eastAsiaTheme="minorEastAsia"/>
      </w:rPr>
      <w:drawing>
        <wp:inline distT="0" distB="0" distL="0" distR="0">
          <wp:extent cx="822325" cy="82232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33478" cy="833478"/>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documentProtection w:enforcement="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BB3"/>
    <w:rsid w:val="00061BB3"/>
    <w:rsid w:val="00342339"/>
    <w:rsid w:val="003B55E0"/>
    <w:rsid w:val="00CF32B7"/>
    <w:rsid w:val="00E959FC"/>
    <w:rsid w:val="5DFF0A5C"/>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Arial Unicode MS"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pBdr>
        <w:top w:val="none" w:color="auto" w:sz="0" w:space="0"/>
        <w:left w:val="none" w:color="auto" w:sz="0" w:space="0"/>
        <w:bottom w:val="none" w:color="auto" w:sz="0" w:space="0"/>
        <w:right w:val="none" w:color="auto" w:sz="0" w:space="0"/>
        <w:between w:val="none" w:color="auto" w:sz="0" w:space="0"/>
      </w:pBdr>
    </w:pPr>
    <w:rPr>
      <w:rFonts w:ascii="Times New Roman" w:hAnsi="Times New Roman" w:eastAsia="Arial Unicode MS" w:cs="Times New Roman"/>
      <w:sz w:val="24"/>
      <w:szCs w:val="24"/>
      <w:lang w:val="en-US" w:eastAsia="en-US"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 w:type="character" w:styleId="4">
    <w:name w:val="Hyperlink"/>
    <w:uiPriority w:val="0"/>
    <w:rPr>
      <w:u w:val="single"/>
    </w:rPr>
  </w:style>
  <w:style w:type="paragraph" w:customStyle="1" w:styleId="5">
    <w:name w:val="页眉与页脚"/>
    <w:uiPriority w:val="0"/>
    <w:pPr>
      <w:pBdr>
        <w:top w:val="none" w:color="auto" w:sz="0" w:space="0"/>
        <w:left w:val="none" w:color="auto" w:sz="0" w:space="0"/>
        <w:bottom w:val="none" w:color="auto" w:sz="0" w:space="0"/>
        <w:right w:val="none" w:color="auto" w:sz="0" w:space="0"/>
        <w:between w:val="none" w:color="auto" w:sz="0" w:space="0"/>
      </w:pBdr>
      <w:tabs>
        <w:tab w:val="right" w:pos="9020"/>
      </w:tabs>
    </w:pPr>
    <w:rPr>
      <w:rFonts w:ascii="PingFang SC Regular" w:hAnsi="PingFang SC Regular" w:eastAsia="Arial Unicode MS" w:cs="Arial Unicode MS"/>
      <w:color w:val="000000"/>
      <w:sz w:val="24"/>
      <w:szCs w:val="24"/>
      <w:lang w:val="zh-CN" w:eastAsia="zh-CN" w:bidi="ar-SA"/>
    </w:rPr>
  </w:style>
  <w:style w:type="paragraph" w:customStyle="1" w:styleId="6">
    <w:name w:val="正文1"/>
    <w:uiPriority w:val="0"/>
    <w:pPr>
      <w:pBdr>
        <w:top w:val="none" w:color="auto" w:sz="0" w:space="0"/>
        <w:left w:val="none" w:color="auto" w:sz="0" w:space="0"/>
        <w:bottom w:val="none" w:color="auto" w:sz="0" w:space="0"/>
        <w:right w:val="none" w:color="auto" w:sz="0" w:space="0"/>
        <w:between w:val="none" w:color="auto" w:sz="0" w:space="0"/>
      </w:pBdr>
      <w:spacing w:after="160" w:line="278" w:lineRule="auto"/>
    </w:pPr>
    <w:rPr>
      <w:rFonts w:ascii="Aptos" w:hAnsi="Aptos" w:eastAsia="Aptos" w:cs="Aptos"/>
      <w:color w:val="000000"/>
      <w:kern w:val="2"/>
      <w:sz w:val="24"/>
      <w:szCs w:val="24"/>
      <w:u w:color="000000"/>
      <w:lang w:val="zh-CN" w:eastAsia="zh-CN" w:bidi="ar-SA"/>
    </w:rPr>
  </w:style>
  <w:style w:type="paragraph" w:customStyle="1" w:styleId="7">
    <w:name w:val="p1"/>
    <w:uiPriority w:val="0"/>
    <w:pPr>
      <w:pBdr>
        <w:top w:val="none" w:color="auto" w:sz="0" w:space="0"/>
        <w:left w:val="none" w:color="auto" w:sz="0" w:space="0"/>
        <w:bottom w:val="none" w:color="auto" w:sz="0" w:space="0"/>
        <w:right w:val="none" w:color="auto" w:sz="0" w:space="0"/>
        <w:between w:val="none" w:color="auto" w:sz="0" w:space="0"/>
      </w:pBdr>
      <w:spacing w:before="100" w:after="100"/>
    </w:pPr>
    <w:rPr>
      <w:rFonts w:ascii="Times New Roman" w:hAnsi="Times New Roman" w:eastAsia="Arial Unicode MS" w:cs="Arial Unicode MS"/>
      <w:color w:val="000000"/>
      <w:sz w:val="24"/>
      <w:szCs w:val="24"/>
      <w:u w:color="000000"/>
      <w:lang w:val="en-US" w:eastAsia="zh-CN" w:bidi="ar-SA"/>
    </w:rPr>
  </w:style>
  <w:style w:type="character" w:customStyle="1" w:styleId="8">
    <w:name w:val="链接"/>
    <w:uiPriority w:val="0"/>
    <w:rPr>
      <w:color w:val="0000FF"/>
      <w:u w:val="single" w:color="0000FF"/>
    </w:rPr>
  </w:style>
  <w:style w:type="character" w:customStyle="1" w:styleId="9">
    <w:name w:val="Hyperlink.0"/>
    <w:basedOn w:val="8"/>
    <w:uiPriority w:val="0"/>
    <w:rPr>
      <w:rFonts w:ascii="Calibri" w:hAnsi="Calibri" w:eastAsia="Calibri" w:cs="Calibri"/>
      <w:color w:val="0000FF"/>
      <w:u w:val="single" w:color="0000FF"/>
    </w:rPr>
  </w:style>
  <w:style w:type="character" w:customStyle="1" w:styleId="10">
    <w:name w:val="Hyperlink.1"/>
    <w:basedOn w:val="8"/>
    <w:uiPriority w:val="0"/>
    <w:rPr>
      <w:rFonts w:ascii="Calibri" w:hAnsi="Calibri" w:eastAsia="Calibri" w:cs="Calibri"/>
      <w:color w:val="0000FF"/>
      <w:kern w:val="0"/>
      <w:u w:val="single" w:color="0000FF"/>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PingFang SC Semibold"/>
        <a:ea typeface="PingFang SC Semibold"/>
        <a:cs typeface="PingFang SC Semibold"/>
      </a:majorFont>
      <a:minorFont>
        <a:latin typeface="PingFang SC Regular"/>
        <a:ea typeface="PingFang SC Regular"/>
        <a:cs typeface="PingFang SC Regular"/>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9050" cap="flat">
          <a:solidFill>
            <a:schemeClr val="accent1"/>
          </a:solidFill>
          <a:prstDash val="solid"/>
          <a:miter lim="800000"/>
        </a:ln>
      </a:spPr>
      <a:bodyPr rot="0" spcFirstLastPara="1" vertOverflow="overflow" horzOverflow="overflow" vert="horz" wrap="square" lIns="45719" tIns="45719" rIns="45719" bIns="45719" numCol="1" spcCol="38100" rtlCol="0" anchor="ctr">
        <a:spAutoFit/>
      </a:bodyPr>
      <a:lstStyle/>
      <a:style>
        <a:lnRef idx="0">
          <a:scrgbClr r="0" g="0" b="0"/>
        </a:lnRef>
        <a:fillRef idx="0">
          <a:scrgbClr r="0" g="0" b="0"/>
        </a:fillRef>
        <a:effectRef idx="0">
          <a:scrgbClr r="0" g="0" b="0"/>
        </a:effectRef>
        <a:fontRef idx="none"/>
      </a:style>
    </a:spDef>
    <a:lnDef>
      <a:spPr>
        <a:noFill/>
        <a:ln w="19050" cap="flat">
          <a:solidFill>
            <a:schemeClr val="accent1"/>
          </a:solidFill>
          <a:prstDash val="solid"/>
          <a:miter lim="800000"/>
        </a:ln>
      </a:spPr>
      <a:bodyPr rot="0" spcFirstLastPara="1" vertOverflow="overflow" horzOverflow="overflow" vert="horz" wrap="square" lIns="91439" tIns="45719" rIns="91439" bIns="45719" numCol="1" spcCol="38100" rtlCol="0" anchor="t">
        <a:noAutofit/>
      </a:bodyPr>
      <a:lstStyle/>
      <a:style>
        <a:lnRef idx="0">
          <a:scrgbClr r="0" g="0" b="0"/>
        </a:lnRef>
        <a:fillRef idx="0">
          <a:scrgbClr r="0" g="0" b="0"/>
        </a:fillRef>
        <a:effectRef idx="0">
          <a:scrgbClr r="0" g="0" b="0"/>
        </a:effectRef>
        <a:fontRef idx="none"/>
      </a:style>
    </a:lnDef>
    <a:txDef>
      <a:spPr>
        <a:noFill/>
        <a:ln w="12700" cap="flat">
          <a:noFill/>
          <a:miter lim="400000"/>
        </a:ln>
      </a:spPr>
      <a:bodyPr rot="0" spcFirstLastPara="1" vertOverflow="overflow" horzOverflow="overflow" vert="horz" wrap="square" lIns="45719" tIns="45719" rIns="45719" bIns="45719" numCol="1" spcCol="38100" rtlCol="0" anchor="t">
        <a:spAutoFit/>
      </a:bodyPr>
      <a:lstStyle/>
      <a:style>
        <a:lnRef idx="0">
          <a:scrgbClr r="0" g="0" b="0"/>
        </a:lnRef>
        <a:fillRef idx="0">
          <a:scrgbClr r="0" g="0" b="0"/>
        </a:fillRef>
        <a:effectRef idx="0">
          <a:scrgbClr r="0" g="0" b="0"/>
        </a:effectRef>
        <a:fontRef idx="none"/>
      </a:style>
    </a:txDef>
  </a:objectDefaults>
</a:theme>
</file>

<file path=docProps/app.xml><?xml version="1.0" encoding="utf-8"?>
<Properties xmlns="http://schemas.openxmlformats.org/officeDocument/2006/extended-properties" xmlns:vt="http://schemas.openxmlformats.org/officeDocument/2006/docPropsVTypes">
  <Template>Normal.dotm</Template>
  <Pages>5</Pages>
  <Words>1606</Words>
  <Characters>9155</Characters>
  <Lines>76</Lines>
  <Paragraphs>21</Paragraphs>
  <TotalTime>0</TotalTime>
  <ScaleCrop>false</ScaleCrop>
  <LinksUpToDate>false</LinksUpToDate>
  <CharactersWithSpaces>10740</CharactersWithSpaces>
  <Application>WPS Office_12.1.26046.26046_F1E327BC-269C-435d-A152-05C5408002CA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2026-10-22T19:46:00Z</dcterms:created>
  <dc:creator>Data</dc:creator>
  <cp:lastModifiedBy>阿杰子</cp:lastModifiedBy>
  <dcterms:modified xsi:type="dcterms:W3CDTF">2026-10-22T20:00:32Z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52EF1A3FDC429305E0FAD96AD4039F99_42</vt:lpwstr>
  </property>
</Properties>
</file>