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480" w:lineRule="auto"/>
      </w:pPr>
    </w:p>
    <w:p w14:paraId="00000002">
      <w:pPr>
        <w:spacing w:line="480" w:lineRule="auto"/>
      </w:pPr>
    </w:p>
    <w:p w14:paraId="00000003">
      <w:pPr>
        <w:spacing w:line="480" w:lineRule="auto"/>
      </w:pPr>
    </w:p>
    <w:p w14:paraId="00000004">
      <w:pPr>
        <w:spacing w:line="480" w:lineRule="auto"/>
      </w:pPr>
    </w:p>
    <w:p w14:paraId="00000005">
      <w:pPr>
        <w:spacing w:line="480" w:lineRule="auto"/>
      </w:pPr>
    </w:p>
    <w:p w14:paraId="00000006">
      <w:pPr>
        <w:spacing w:line="480" w:lineRule="auto"/>
      </w:pPr>
    </w:p>
    <w:p w14:paraId="00000007">
      <w:pPr>
        <w:spacing w:line="480" w:lineRule="auto"/>
      </w:pPr>
      <w:r>
        <w:rPr>
          <w:b/>
          <w:bCs/>
        </w:rPr>
        <w:t>Losing the Reins: Executive, Verification, and Metacognitive Control in the Age of AI</w:t>
      </w:r>
    </w:p>
    <w:p w14:paraId="00000008">
      <w:pPr>
        <w:spacing w:line="480" w:lineRule="auto"/>
        <w:jc w:val="center"/>
        <w:rPr>
          <w:rFonts w:hint="default"/>
          <w:lang w:val="en-US"/>
        </w:rPr>
      </w:pPr>
      <w:r>
        <w:t>Andy</w:t>
      </w:r>
      <w:r>
        <w:rPr>
          <w:rStyle w:val="10"/>
          <w:rFonts w:hint="default"/>
          <w:sz w:val="24"/>
          <w:szCs w:val="24"/>
          <w:lang w:val="en-US"/>
        </w:rPr>
        <w:t xml:space="preserve"> Yao</w:t>
      </w:r>
      <w:bookmarkStart w:id="1" w:name="_GoBack"/>
      <w:bookmarkEnd w:id="1"/>
    </w:p>
    <w:p w14:paraId="00000009">
      <w:pPr>
        <w:spacing w:line="480" w:lineRule="auto"/>
        <w:jc w:val="center"/>
        <w:rPr>
          <w:b/>
          <w:bCs/>
        </w:rPr>
      </w:pPr>
      <w:r>
        <w:t>Shenzhen College of International Education</w:t>
      </w:r>
      <w:r>
        <w:br w:type="page"/>
      </w:r>
      <w:r>
        <w:rPr>
          <w:b/>
          <w:bCs/>
        </w:rPr>
        <w:t>Abstract</w:t>
      </w:r>
    </w:p>
    <w:p w14:paraId="0000000A">
      <w:pPr>
        <w:spacing w:line="480" w:lineRule="auto"/>
      </w:pPr>
      <w:r>
        <w:t>Turning to generative artificial intelligence to complete academic tasks is viewed by many as harmless cognitive offloading, a benign psychological practice. However, in this paper, I will examine the inaccuracies of this assumption. Cognitive offloading is a beneficial practice only when the delegator keeps three separate forms of control: executive control on how to implement a procedure, verification control on whether the output makes sense, and metacognitive control on what one knows and does not know. Generative systems generally deprive users of these control systems, meaning the practice in question should be more accurately considered as cognitive outsourcing. The most common reasons behind cognitive offloading are effort minimization and social loafing. That is, effort is an aversive experience, and essays or homework assignments are often anonymous products whose contributions cannot be distinguished from each other. In the paper, it is assumed that this comes from the experience of prediction error. The resulting lack of ability is doubly hidden: to the student, since his or her monitoring ability is being limited, and to the school, since it assumes that learning occurs because of the student’s good performance.</w:t>
      </w:r>
    </w:p>
    <w:p w14:paraId="0000000B">
      <w:pPr>
        <w:spacing w:line="480" w:lineRule="auto"/>
        <w:ind w:firstLine="720"/>
      </w:pPr>
      <w:bookmarkStart w:id="0" w:name="_s9830e92yotz" w:colFirst="0" w:colLast="0"/>
      <w:bookmarkEnd w:id="0"/>
      <w:r>
        <w:t>Keywords: cognitive offloading, cognitive outsourcing, metacognitive calibration, social loafing, desirable difficulties</w:t>
      </w:r>
    </w:p>
    <w:p w14:paraId="0000000C">
      <w:pPr>
        <w:spacing w:line="480" w:lineRule="auto"/>
        <w:rPr>
          <w:b/>
          <w:bCs/>
        </w:rPr>
      </w:pPr>
      <w:r>
        <w:br w:type="page"/>
      </w:r>
      <w:r>
        <w:rPr>
          <w:b/>
          <w:bCs/>
        </w:rPr>
        <w:t>Introduction</w:t>
      </w:r>
    </w:p>
    <w:p w14:paraId="7B9018EE">
      <w:pPr>
        <w:spacing w:line="480" w:lineRule="auto"/>
        <w:ind w:firstLine="720"/>
      </w:pPr>
      <w:r>
        <w:t xml:space="preserve">The constant evolution of large language models into more sophisticated tools, useful for everything from basic repetitive tasks to complex problems, has transformed generative artificial intelligence into the medium through which younger generations conduct much of their thinking. In a 2025 survey of 8,563 Chinese school students, 61.7% had used generative AI, with 71% of those using it for homework. 20.5% said they would rather rely on the model than think for themselves (China Youth and Children Research Center, 2026). As these systems spread through the world and into classrooms, they fundamentally change how academic work is produced and how it is learned. Simultaneously, these fast adoptions have led to higher grades but less retention of knowledge for the students (Stromberg et al., 2026). </w:t>
      </w:r>
    </w:p>
    <w:p w14:paraId="0000000D">
      <w:pPr>
        <w:spacing w:line="480" w:lineRule="auto"/>
        <w:ind w:firstLine="720"/>
      </w:pPr>
      <w:r>
        <w:t>These factors lead to the question, “Is a student who is asking a model to make an argument for them doing the same thing that a student with a calculator does?” This paper discusses the differences between the two, based primarily on what the delegator maintains and what they do not. For the purpose of this paper, cognitive offloading will be defined as the use of external action to lower the demands a task makes on cognition (Risko &amp; Gilbert, 2016). The paper will attempt to identify why students engage in delegation, elucidate the nature of delegating cognitive labor, and then consider what is gained and lost through said delegation. Finally, it will assess why those losses are often overlooked by both students and schools.</w:t>
      </w:r>
    </w:p>
    <w:p w14:paraId="0000000E">
      <w:pPr>
        <w:spacing w:line="480" w:lineRule="auto"/>
        <w:rPr>
          <w:b/>
          <w:bCs/>
        </w:rPr>
      </w:pPr>
      <w:r>
        <w:rPr>
          <w:b/>
          <w:bCs/>
        </w:rPr>
        <w:t>Drive to Delegate: Effort Minimization and Social Loafing</w:t>
      </w:r>
    </w:p>
    <w:p w14:paraId="0000000F">
      <w:pPr>
        <w:spacing w:line="480" w:lineRule="auto"/>
        <w:ind w:firstLine="720"/>
      </w:pPr>
      <w:r>
        <w:t>Two factors contribute to the overdetermination of delegation. The individual factor is that cognitive effort is aversive. Given two options, individuals will invariably opt for the one less taxing on control (Kool et al., 2010). Efficient short cuts will normally be utilized.</w:t>
      </w:r>
    </w:p>
    <w:p w14:paraId="00000010">
      <w:pPr>
        <w:spacing w:line="480" w:lineRule="auto"/>
        <w:ind w:firstLine="720"/>
      </w:pPr>
      <w:r>
        <w:t>The social factor is that assignments are submitted as a finished product. Effort is reduced when the individual effort cannot be traced in a joint outcome (Latané et al., 1979), and even more so when a capable partner makes additional effort superfluous (Karau &amp; Williams, 1993). The completed assignment is a joint product with the model, but the instructor sees only the result, and not the source or the process. Thus, many students would consider delegation both an efficient option and one that is unobserved.</w:t>
      </w:r>
    </w:p>
    <w:p w14:paraId="00000011">
      <w:pPr>
        <w:spacing w:line="480" w:lineRule="auto"/>
        <w:rPr>
          <w:b/>
          <w:bCs/>
        </w:rPr>
      </w:pPr>
      <w:r>
        <w:rPr>
          <w:b/>
          <w:bCs/>
        </w:rPr>
        <w:t>Anatomy of Safe Offloading</w:t>
      </w:r>
    </w:p>
    <w:p w14:paraId="00000012">
      <w:pPr>
        <w:spacing w:line="480" w:lineRule="auto"/>
        <w:ind w:firstLine="720"/>
      </w:pPr>
      <w:r>
        <w:t>In regard to offloading, externalization is seen as a form of rational metacognitive allocation of effort and not as deficit (Risko &amp; Gilbert, 2016). The extended mind theory accounts for this, as a reliable and automatically trusted information store becomes a part of the cognitive system (Clark &amp; Chalmers, 1998). Both of these statements are true in certain conditions.</w:t>
      </w:r>
    </w:p>
    <w:p w14:paraId="00000013">
      <w:pPr>
        <w:spacing w:line="480" w:lineRule="auto"/>
        <w:ind w:firstLine="720"/>
      </w:pPr>
      <w:r>
        <w:t>Consider the information retained by a person who uses a calculator. First, executive control: the student sets the calculation to be performed and the criteria the result must meet, having determined why he or she should calculate it in the first place. Second, verification control: the student can tell whether the result is too big or small, for example that the multiplication of two two-digit numbers cannot yield a million. Third, metacognitive control: the student never mistakes the calculator's arithmetic for their own, because the division of labor is apparent.</w:t>
      </w:r>
    </w:p>
    <w:p w14:paraId="00000014">
      <w:pPr>
        <w:spacing w:line="480" w:lineRule="auto"/>
        <w:ind w:firstLine="720"/>
      </w:pPr>
      <w:r>
        <w:t xml:space="preserve">In this situation, delegation is free of cost. When there is no scope for learning through the process of doing something repetitive, all three criteria become a formality. </w:t>
      </w:r>
    </w:p>
    <w:p w14:paraId="00000015">
      <w:pPr>
        <w:spacing w:line="480" w:lineRule="auto"/>
        <w:rPr>
          <w:b/>
          <w:bCs/>
        </w:rPr>
      </w:pPr>
      <w:r>
        <w:rPr>
          <w:b/>
          <w:bCs/>
        </w:rPr>
        <w:t>Short-Term Benefits</w:t>
      </w:r>
    </w:p>
    <w:p w14:paraId="00000016">
      <w:pPr>
        <w:spacing w:line="480" w:lineRule="auto"/>
        <w:ind w:firstLine="720"/>
      </w:pPr>
      <w:r>
        <w:t>Working memory that is dedicated to format cannot be devoted to constructing schema (Sweller, 1988), and novices benefit more from worked examples than from problem-solving on their own (Sweller &amp; Cooper, 1985). In the absence of a tutor, or when facing a language barrier, the AI model turns an impossibility into possibility by providing the necessary means to unlock insights otherwise out of reach.</w:t>
      </w:r>
    </w:p>
    <w:p w14:paraId="00000017">
      <w:pPr>
        <w:spacing w:line="480" w:lineRule="auto"/>
        <w:ind w:firstLine="720"/>
      </w:pPr>
      <w:r>
        <w:t>However, with this concession comes qualifications. These students could be poorly equipped to realize when they have made fluent yet misconceived output, as realization depends on the prior knowledge they lack. Additionally, tools that help the novice can be detrimental to the learner that has the right schema, as unnecessary help makes for less generative processing, which is essential for further learning (Kalyuga et al., 2003).</w:t>
      </w:r>
    </w:p>
    <w:p w14:paraId="00000018">
      <w:pPr>
        <w:spacing w:line="480" w:lineRule="auto"/>
        <w:rPr>
          <w:b/>
          <w:bCs/>
        </w:rPr>
      </w:pPr>
      <w:r>
        <w:rPr>
          <w:b/>
          <w:bCs/>
        </w:rPr>
        <w:t>Losing Active Processing</w:t>
      </w:r>
    </w:p>
    <w:p w14:paraId="00000019">
      <w:pPr>
        <w:spacing w:line="480" w:lineRule="auto"/>
        <w:ind w:firstLine="720"/>
      </w:pPr>
      <w:r>
        <w:t>Generative models carry out higher-order processing such as argument structuring, composition of prose, and source analysis. The model is an active processor rather than a repository or storage. The failure of executive control is that the procedure is not chosen by the student. The model chooses the approach, and the student simply receives the output. The failure of verification control is that, unlike the product of two integers, the output has no magnitude to check for accuracy. Evaluating the quality of a synthesis requires the exact level of competence of the model. Metacognitive control fails because the output is easily understood, and fluency is one of the most powerful signals from which learners assess their own mastery (Alter &amp; Oppenheimer, 2009).</w:t>
      </w:r>
    </w:p>
    <w:p w14:paraId="0000001A">
      <w:pPr>
        <w:spacing w:line="480" w:lineRule="auto"/>
        <w:ind w:firstLine="720"/>
      </w:pPr>
      <w:r>
        <w:t>What is removed is the act of generation itself, and deliberate generation results in durable encoding (Slamecka &amp; Graf, 1978; Bjork &amp; Bjork, 2011). Effective scaffolding shifts control to the learner as one gains competence (Wood et al., 1976), but scaffolding that does not withdraw never passes control to the learner.</w:t>
      </w:r>
    </w:p>
    <w:p w14:paraId="0000001B">
      <w:pPr>
        <w:spacing w:line="480" w:lineRule="auto"/>
        <w:rPr>
          <w:b/>
          <w:bCs/>
        </w:rPr>
      </w:pPr>
      <w:r>
        <w:rPr>
          <w:b/>
          <w:bCs/>
        </w:rPr>
        <w:t>Hidden Deficit: Confidence Without Competence</w:t>
      </w:r>
    </w:p>
    <w:p w14:paraId="0000001C">
      <w:pPr>
        <w:spacing w:line="480" w:lineRule="auto"/>
        <w:ind w:firstLine="720"/>
      </w:pPr>
      <w:r>
        <w:t>This comforting conclusion is grounded on empirical findings regarding the reasons for offloading. Gilbert (2015) showed that reminder use was associated with confidence in one’s own memory, regardless of actual ability. Boldt and Gilbert (2019) showed that the same held true for spontaneously developed strategies. If confidence accounts for offloading irrespective of competence, offloading can be considered adaptive only when confidence is related to competence, which is not an immutable feature, but one that develops throughout childhood and adolescence (Flavell, 1979; Schneider, 2008).</w:t>
      </w:r>
    </w:p>
    <w:p w14:paraId="0000001D">
      <w:pPr>
        <w:spacing w:line="480" w:lineRule="auto"/>
        <w:ind w:firstLine="720"/>
      </w:pPr>
      <w:r>
        <w:t>From this point, the theory depends on a stipulation: calibration results from learning that predictions were wrong. Prediction error is instructive whenever it happens because high confidence errors are better calibrated than low confidence errors (Metcalfe, 2017).</w:t>
      </w:r>
    </w:p>
    <w:p w14:paraId="0000001E">
      <w:pPr>
        <w:spacing w:line="480" w:lineRule="auto"/>
        <w:ind w:firstLine="720"/>
      </w:pPr>
      <w:r>
        <w:t>Provided that this condition applies, the predictions by the student who has first checked their understanding against a model will be unfalsifiable. Additionally, the gap will go unobserved both by the student, in that an inflated sense of confidence causes learners to study less frequently as deficiency goes unnoticed (Dunlosky &amp; Rawson, 2012), and by the system, as the system is the one creating the gap. It also goes unobserved by the institution, which assumes learning based on performance. Damage to a system that escapes detection by systems intended to monitor it has no feedback mechanism for correction. Withdrawn effort produces fewer predictions, fewer predictions case less error, and less error stalls the calibration that would have revealed the withdrawal.</w:t>
      </w:r>
    </w:p>
    <w:p w14:paraId="0000001F">
      <w:pPr>
        <w:spacing w:line="480" w:lineRule="auto"/>
        <w:rPr>
          <w:b/>
          <w:bCs/>
        </w:rPr>
      </w:pPr>
      <w:r>
        <w:rPr>
          <w:b/>
          <w:bCs/>
        </w:rPr>
        <w:t xml:space="preserve">Restoring Cognitive Control </w:t>
      </w:r>
    </w:p>
    <w:p w14:paraId="00000020">
      <w:pPr>
        <w:spacing w:line="480" w:lineRule="auto"/>
        <w:ind w:firstLine="720"/>
      </w:pPr>
      <w:r>
        <w:t>With the identification of the three controls, we now give solutions based on the identified blocks.</w:t>
      </w:r>
    </w:p>
    <w:p w14:paraId="00000021">
      <w:pPr>
        <w:spacing w:line="480" w:lineRule="auto"/>
        <w:ind w:firstLine="720"/>
      </w:pPr>
      <w:r>
        <w:t>Restoration of executive control. The student should be compelled to submit a task decomposition, method, steps, and order of steps before exposure to the model, so that the model will do only what is contained in the task decomposition.</w:t>
      </w:r>
    </w:p>
    <w:p w14:paraId="00000022">
      <w:pPr>
        <w:spacing w:line="480" w:lineRule="auto"/>
        <w:ind w:firstLine="720"/>
      </w:pPr>
      <w:r>
        <w:t xml:space="preserve">Restoration of metacognitive control. The student should take the test before getting help, as failure to retrieve before the initial attempt makes it more likely for the retrieval to take place later (Richland et al., 2009). The gap would be established using the results from an unaided retest after the model use, rather than through confidence judgments. </w:t>
      </w:r>
    </w:p>
    <w:p w14:paraId="00000023">
      <w:pPr>
        <w:spacing w:line="480" w:lineRule="auto"/>
        <w:ind w:firstLine="720"/>
      </w:pPr>
      <w:r>
        <w:t>Fading of the scaffold. This can be done in stages by reducing the level of aid provided throughout the lesson: from unrestricted, to only hints, to none.</w:t>
      </w:r>
    </w:p>
    <w:p w14:paraId="00000024">
      <w:pPr>
        <w:spacing w:line="480" w:lineRule="auto"/>
        <w:ind w:firstLine="720"/>
      </w:pPr>
      <w:r>
        <w:t>Also, schools can change their own criterion: insist that at least one graded performance be unassisted, e.g. oral defense of work submitted or in-class writing on a similar topic.</w:t>
      </w:r>
    </w:p>
    <w:p w14:paraId="00000025">
      <w:pPr>
        <w:spacing w:line="480" w:lineRule="auto"/>
        <w:rPr>
          <w:b/>
          <w:bCs/>
        </w:rPr>
      </w:pPr>
      <w:r>
        <w:rPr>
          <w:b/>
          <w:bCs/>
        </w:rPr>
        <w:t>Conclusion</w:t>
      </w:r>
    </w:p>
    <w:p w14:paraId="00000026">
      <w:pPr>
        <w:spacing w:line="480" w:lineRule="auto"/>
        <w:ind w:firstLine="720"/>
      </w:pPr>
      <w:r>
        <w:t>This paper began by explaining why students delegate by effort minimization and social loafing to show how delegating academic labor to generative AI, as a form of cognitive outsourcing, may lead students to lose the generative act and with it, executive, verification and metacognitive control despite a boost in efficiency. Ultimately, the capacity that would have registered knowledge’s absence is lost and students are hindered from internal self-development.</w:t>
      </w:r>
    </w:p>
    <w:p w14:paraId="00000027">
      <w:pPr>
        <w:spacing w:line="480" w:lineRule="auto"/>
        <w:ind w:firstLine="720"/>
      </w:pPr>
      <w:r>
        <w:t>Furthermore, metacognitive calibration was used to clarify the reason for the unapparent nature of this damage. Offloading occurs on the basis of confidence irrespective of ability, and is thus beneficial only when confidence equals ability, a correlation that is not yet developed in adolescents, as well as one that a pupil who seeks a model first never tests, as there is no chance for a prediction to be proven wrong. As a result, the damage goes unnoticed by both the learner, due to their smooth production leading to increased confidence, and by the school, due to their awareness of only outcomes.</w:t>
      </w:r>
    </w:p>
    <w:p w14:paraId="00000028">
      <w:pPr>
        <w:spacing w:line="480" w:lineRule="auto"/>
        <w:ind w:firstLine="720"/>
      </w:pPr>
      <w:r>
        <w:t>However, in the end, we must also acknowledge that this is still a coarse account of a relationship that varies considerably between students with several limiting factors, including subject domain, school year, and prior attainment.</w:t>
      </w:r>
    </w:p>
    <w:p w14:paraId="00000029">
      <w:pPr>
        <w:spacing w:line="480" w:lineRule="auto"/>
        <w:jc w:val="center"/>
        <w:rPr>
          <w:b/>
          <w:bCs/>
        </w:rPr>
      </w:pPr>
      <w:r>
        <w:br w:type="page"/>
      </w:r>
      <w:r>
        <w:rPr>
          <w:b/>
          <w:bCs/>
        </w:rPr>
        <w:t>References</w:t>
      </w:r>
    </w:p>
    <w:p w14:paraId="0000002A">
      <w:pPr>
        <w:spacing w:line="480" w:lineRule="auto"/>
        <w:ind w:left="720" w:hanging="720"/>
      </w:pPr>
      <w:r>
        <w:t xml:space="preserve">Alter, A. L., &amp; Oppenheimer, D. M. (2009). Uniting the tribes of fluency to form a metacognitive nation. </w:t>
      </w:r>
      <w:r>
        <w:rPr>
          <w:i/>
          <w:iCs/>
        </w:rPr>
        <w:t>Personality and Social Psychology Review, 13</w:t>
      </w:r>
      <w:r>
        <w:t>(3), 219–235. https://doi.org/10.1177/1088868309341564</w:t>
      </w:r>
    </w:p>
    <w:p w14:paraId="0000002B">
      <w:pPr>
        <w:spacing w:line="480" w:lineRule="auto"/>
        <w:ind w:left="720" w:hanging="720"/>
      </w:pPr>
      <w:r>
        <w:t>Bjork, E. L., &amp; Bjork, R. A. (2011). Making things hard on yourself, but in a good way: Creating desirable difficulties to enhance learning. In M. A. Gernsbacher, R. W. Pew, L. M. Hough, &amp; J. R. Pomerantz (Eds.), Psychology and the real world (pp. 56–64). Worth Publishers.</w:t>
      </w:r>
    </w:p>
    <w:p w14:paraId="0000002C">
      <w:pPr>
        <w:spacing w:line="480" w:lineRule="auto"/>
        <w:ind w:left="720" w:hanging="720"/>
      </w:pPr>
      <w:r>
        <w:t xml:space="preserve">Boldt, A., &amp; Gilbert, S. J. (2019). Confidence guides spontaneous cognitive offloading. </w:t>
      </w:r>
      <w:r>
        <w:rPr>
          <w:i/>
          <w:iCs/>
        </w:rPr>
        <w:t>Cognitive Research: Principles and Implications, 4</w:t>
      </w:r>
      <w:r>
        <w:t>, Article 45. https://doi.org/10.1186/s41235-019-0195-y</w:t>
      </w:r>
    </w:p>
    <w:p w14:paraId="0000002D">
      <w:pPr>
        <w:spacing w:line="480" w:lineRule="auto"/>
        <w:ind w:left="720" w:hanging="720"/>
      </w:pPr>
      <w:r>
        <w:t>China Youth and Children Research Center. (2026). National survey report on artificial intelligence tool adoption and cognitive habits among primary and secondary school students. China Youth and Children Research Center.</w:t>
      </w:r>
    </w:p>
    <w:p w14:paraId="0000002E">
      <w:pPr>
        <w:spacing w:line="480" w:lineRule="auto"/>
        <w:ind w:left="720" w:hanging="720"/>
      </w:pPr>
      <w:r>
        <w:t xml:space="preserve">Clark, A., &amp; Chalmers, D. (1998). The extended mind. </w:t>
      </w:r>
      <w:r>
        <w:rPr>
          <w:i/>
          <w:iCs/>
        </w:rPr>
        <w:t>Analysis, 58</w:t>
      </w:r>
      <w:r>
        <w:t>(1), 7–19. https://doi.org/10.1093/analys/58.1.7</w:t>
      </w:r>
    </w:p>
    <w:p w14:paraId="0000002F">
      <w:pPr>
        <w:spacing w:line="480" w:lineRule="auto"/>
        <w:ind w:left="720" w:hanging="720"/>
      </w:pPr>
      <w:r>
        <w:t xml:space="preserve">Dunlosky, J., &amp; Rawson, K. A. (2012). Overconfidence produces underachievement: Inaccurate self-evaluations undermine students' learning and retention. </w:t>
      </w:r>
      <w:r>
        <w:rPr>
          <w:i/>
          <w:iCs/>
        </w:rPr>
        <w:t>Learning and Instruction, 22</w:t>
      </w:r>
      <w:r>
        <w:t>(4), 271–280. https://doi.org/10.1016/j.learninstruc.2011.08.003</w:t>
      </w:r>
    </w:p>
    <w:p w14:paraId="00000030">
      <w:pPr>
        <w:spacing w:line="480" w:lineRule="auto"/>
        <w:ind w:left="720" w:hanging="720"/>
      </w:pPr>
      <w:r>
        <w:t xml:space="preserve">Flavell, J. H. (1979). Metacognition and cognitive monitoring: A new area of cognitive–developmental inquiry. </w:t>
      </w:r>
      <w:r>
        <w:rPr>
          <w:i/>
          <w:iCs/>
        </w:rPr>
        <w:t>American Psychologist, 34</w:t>
      </w:r>
      <w:r>
        <w:t>(10), 906–911. https://doi.org/10.1037/0003-066X.34.10.906</w:t>
      </w:r>
    </w:p>
    <w:p w14:paraId="00000031">
      <w:pPr>
        <w:spacing w:line="480" w:lineRule="auto"/>
        <w:ind w:left="720" w:hanging="720"/>
      </w:pPr>
      <w:r>
        <w:t xml:space="preserve">Gilbert, S. J. (2015). Strategic use of reminders: Influence of both domain-general and task-specific metacognitive confidence, independent of objective memory ability. </w:t>
      </w:r>
      <w:r>
        <w:rPr>
          <w:i/>
          <w:iCs/>
        </w:rPr>
        <w:t>Consciousness and Cognition, 33</w:t>
      </w:r>
      <w:r>
        <w:t>, 245–260. https://doi.org/10.1016/j.concog.2015.01.006</w:t>
      </w:r>
    </w:p>
    <w:p w14:paraId="00000032">
      <w:pPr>
        <w:spacing w:line="480" w:lineRule="auto"/>
        <w:ind w:left="720" w:hanging="720"/>
      </w:pPr>
      <w:r>
        <w:t xml:space="preserve">Kalyuga, S., Ayres, P., Chandler, P., &amp; Sweller, J. (2003). The expertise reversal effect. </w:t>
      </w:r>
      <w:r>
        <w:rPr>
          <w:i/>
          <w:iCs/>
        </w:rPr>
        <w:t>Educational Psychologist, 38</w:t>
      </w:r>
      <w:r>
        <w:t>(1), 23–31. https://doi.org/10.1207/s15326985ep3801_4</w:t>
      </w:r>
    </w:p>
    <w:p w14:paraId="00000033">
      <w:pPr>
        <w:spacing w:line="480" w:lineRule="auto"/>
        <w:ind w:left="720" w:hanging="720"/>
      </w:pPr>
      <w:r>
        <w:t xml:space="preserve">Karau, S. J., &amp; Williams, K. D. (1993). Social loafing: A meta-analytic review and theoretical integration. </w:t>
      </w:r>
      <w:r>
        <w:rPr>
          <w:i/>
          <w:iCs/>
        </w:rPr>
        <w:t>Journal of Personality and Social Psychology, 65</w:t>
      </w:r>
      <w:r>
        <w:t>(4), 681–706. https://doi.org/10.1037/0022-3514.65.4.681</w:t>
      </w:r>
    </w:p>
    <w:p w14:paraId="00000034">
      <w:pPr>
        <w:spacing w:line="480" w:lineRule="auto"/>
        <w:ind w:left="720" w:hanging="720"/>
      </w:pPr>
      <w:r>
        <w:t xml:space="preserve">Kool, W., McGuire, J. T., Rosen, Z. B., &amp; Botvinick, M. M. (2010). Decision making and the avoidance of cognitive demand. </w:t>
      </w:r>
      <w:r>
        <w:rPr>
          <w:i/>
          <w:iCs/>
        </w:rPr>
        <w:t>Journal of Experimental Psychology: General, 139</w:t>
      </w:r>
      <w:r>
        <w:t>(4), 665–682. https://doi.org/10.1037/a0020198</w:t>
      </w:r>
    </w:p>
    <w:p w14:paraId="00000035">
      <w:pPr>
        <w:spacing w:line="480" w:lineRule="auto"/>
        <w:ind w:left="720" w:hanging="720"/>
      </w:pPr>
      <w:r>
        <w:t xml:space="preserve">Latané, B., Williams, K., &amp; Harkins, S. (1979). Many hands make light the work: The causes and consequences of social loafing. </w:t>
      </w:r>
      <w:r>
        <w:rPr>
          <w:i/>
          <w:iCs/>
        </w:rPr>
        <w:t>Journal of Personality and Social Psychology, 37</w:t>
      </w:r>
      <w:r>
        <w:t>(6), 822–832. https://doi.org/10.1037/0022-3514.37.6.822</w:t>
      </w:r>
    </w:p>
    <w:p w14:paraId="00000036">
      <w:pPr>
        <w:spacing w:line="480" w:lineRule="auto"/>
        <w:ind w:left="720" w:hanging="720"/>
      </w:pPr>
      <w:r>
        <w:t xml:space="preserve">Metcalfe, J. (2017). Learning from errors. </w:t>
      </w:r>
      <w:r>
        <w:rPr>
          <w:i/>
          <w:iCs/>
        </w:rPr>
        <w:t>Annual Review of Psychology, 68</w:t>
      </w:r>
      <w:r>
        <w:t>, 465–489. https://doi.org/10.1146/annurev-psych-010416-044022</w:t>
      </w:r>
    </w:p>
    <w:p w14:paraId="00000037">
      <w:pPr>
        <w:spacing w:line="480" w:lineRule="auto"/>
        <w:ind w:left="720" w:hanging="720"/>
      </w:pPr>
      <w:r>
        <w:t>Richland, L. E., Kornell, N., &amp; Kao, L. S. (2009). The pretesting effect: Do unsuccessful retrieval attempts enhance learning? Journal of Experimental Psychology: Applied, 15(3), 243–257. https://doi.org/10.1037/a0016496</w:t>
      </w:r>
    </w:p>
    <w:p w14:paraId="00000038">
      <w:pPr>
        <w:spacing w:line="480" w:lineRule="auto"/>
        <w:ind w:left="720" w:hanging="720"/>
      </w:pPr>
      <w:r>
        <w:t xml:space="preserve">Risko, E. F., &amp; Gilbert, S. J. (2016). Cognitive offloading. </w:t>
      </w:r>
      <w:r>
        <w:rPr>
          <w:i/>
          <w:iCs/>
        </w:rPr>
        <w:t>Trends in Cognitive Sciences, 20</w:t>
      </w:r>
      <w:r>
        <w:t>(9), 676–688. https://doi.org/10.1016/j.tics.2016.07.002</w:t>
      </w:r>
    </w:p>
    <w:p w14:paraId="00000039">
      <w:pPr>
        <w:spacing w:line="480" w:lineRule="auto"/>
        <w:ind w:left="720" w:hanging="720"/>
      </w:pPr>
      <w:r>
        <w:t>Schneider, W. (2008). The development of metacognitive knowledge in children and adolescents: Major trends and implications for education. Mind, Brain, and Education, 2(3), 114–121. https://doi.org/10.1111/j.1751-228X.2008.00041.x</w:t>
      </w:r>
    </w:p>
    <w:p w14:paraId="0000003A">
      <w:pPr>
        <w:spacing w:line="480" w:lineRule="auto"/>
        <w:ind w:left="720" w:hanging="720"/>
      </w:pPr>
      <w:r>
        <w:t xml:space="preserve">Slamecka, N. J., &amp; Graf, P. (1978). The generation effect: Delineation of a phenomenon. </w:t>
      </w:r>
      <w:r>
        <w:rPr>
          <w:i/>
          <w:iCs/>
        </w:rPr>
        <w:t>Journal of Experimental Psychology: Human Learning and Memory, 4</w:t>
      </w:r>
      <w:r>
        <w:t>(6), 592–604. https://doi.org/10.1037/0278-7393.4.6.592</w:t>
      </w:r>
    </w:p>
    <w:p w14:paraId="0000003B">
      <w:pPr>
        <w:spacing w:line="480" w:lineRule="auto"/>
        <w:ind w:left="720" w:hanging="720"/>
      </w:pPr>
      <w:r>
        <w:t>Stromberg, D., Lei, V., &amp; Wu, Y. (2026). The generative AI learning penalty: Evidence from Chinese secondary education (CEPR Discussion Paper No. DP21577). Centre for Economic Policy Research. https://cepr.org/publications/dp21577</w:t>
      </w:r>
    </w:p>
    <w:p w14:paraId="0000003C">
      <w:pPr>
        <w:spacing w:line="480" w:lineRule="auto"/>
        <w:ind w:left="720" w:hanging="720"/>
      </w:pPr>
      <w:r>
        <w:t xml:space="preserve">Sweller, J. (1988). Cognitive load during problem solving: Effects on learning. </w:t>
      </w:r>
      <w:r>
        <w:rPr>
          <w:i/>
          <w:iCs/>
        </w:rPr>
        <w:t>Cognitive Science, 12</w:t>
      </w:r>
      <w:r>
        <w:t>(2), 257–285. https://doi.org/10.1207/s15516709cog1202_4</w:t>
      </w:r>
    </w:p>
    <w:p w14:paraId="0000003D">
      <w:pPr>
        <w:spacing w:line="480" w:lineRule="auto"/>
        <w:ind w:left="720" w:hanging="720"/>
      </w:pPr>
      <w:r>
        <w:t xml:space="preserve">Sweller, J., &amp; Cooper, G. A. (1985). The use of worked examples as a substitute for problem solving in learning algebra. </w:t>
      </w:r>
      <w:r>
        <w:rPr>
          <w:i/>
          <w:iCs/>
        </w:rPr>
        <w:t>Cognition and Instruction, 2</w:t>
      </w:r>
      <w:r>
        <w:t>(1), 59–89. https://doi.org/10.1207/s1532690xci0201_3</w:t>
      </w:r>
    </w:p>
    <w:p w14:paraId="0000003E">
      <w:pPr>
        <w:spacing w:line="480" w:lineRule="auto"/>
        <w:ind w:left="720" w:hanging="720"/>
      </w:pPr>
      <w:r>
        <w:t xml:space="preserve">Wood, D., Bruner, J. S., &amp; Ross, G. (1976). The role of tutoring in problem solving. </w:t>
      </w:r>
      <w:r>
        <w:rPr>
          <w:i/>
          <w:iCs/>
        </w:rPr>
        <w:t>Journal of Child Psychology and Psychiatry, 17</w:t>
      </w:r>
      <w:r>
        <w:t>(2), 89–100. https://doi.org/10.1111/j.1469-7610.1976.tb00381.x</w:t>
      </w:r>
    </w:p>
    <w:sectPr>
      <w:pgSz w:w="12240" w:h="15840"/>
      <w:pgMar w:top="1440" w:right="1440" w:bottom="1440" w:left="144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embedRegular r:id="rId1" w:fontKey="{EDDF681C-2FF5-2B06-699E-936AB542B268}"/>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汉仪书宋二KW"/>
    <w:panose1 w:val="02010600030101010101"/>
    <w:charset w:val="86"/>
    <w:family w:val="auto"/>
    <w:pitch w:val="default"/>
    <w:sig w:usb0="00000000" w:usb1="00000000" w:usb2="00000016" w:usb3="00000000" w:csb0="00040001" w:csb1="00000000"/>
  </w:font>
  <w:font w:name="SimSun">
    <w:altName w:val="汉仪书宋二KW"/>
    <w:panose1 w:val="00000000000000000000"/>
    <w:charset w:val="00"/>
    <w:family w:val="auto"/>
    <w:pitch w:val="default"/>
    <w:sig w:usb0="00000000" w:usb1="00000000" w:usb2="00000000" w:usb3="00000000" w:csb0="00000000" w:csb1="00000000"/>
  </w:font>
  <w:font w:name="Georgia">
    <w:panose1 w:val="02040502050405090303"/>
    <w:charset w:val="00"/>
    <w:family w:val="roman"/>
    <w:pitch w:val="default"/>
    <w:sig w:usb0="00000287" w:usb1="00000000" w:usb2="00000000" w:usb3="00000000" w:csb0="2000009F" w:csb1="00000000"/>
  </w:font>
  <w:font w:name="汉仪中黑KW">
    <w:panose1 w:val="00020600040101010101"/>
    <w:charset w:val="86"/>
    <w:family w:val="auto"/>
    <w:pitch w:val="default"/>
    <w:sig w:usb0="A00002BF" w:usb1="18EF7CFA" w:usb2="00000016" w:usb3="00000000" w:csb0="00040000" w:csb1="00000000"/>
  </w:font>
  <w:font w:name="汉仪书宋二KW">
    <w:panose1 w:val="00020600040101010101"/>
    <w:charset w:val="86"/>
    <w:family w:val="auto"/>
    <w:pitch w:val="default"/>
    <w:sig w:usb0="A00002BF" w:usb1="18EF7CFA" w:usb2="00000016" w:usb3="00000000" w:csb0="00040000"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auto"/>
    <w:pitch w:val="default"/>
    <w:sig w:usb0="E1002A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TrueTypeFonts/>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62E"/>
    <w:rsid w:val="0002062E"/>
    <w:rsid w:val="00034F7C"/>
    <w:rsid w:val="00045603"/>
    <w:rsid w:val="00196CD2"/>
    <w:rsid w:val="002A043D"/>
    <w:rsid w:val="003525DD"/>
    <w:rsid w:val="00416359"/>
    <w:rsid w:val="00455481"/>
    <w:rsid w:val="0052150D"/>
    <w:rsid w:val="005356BC"/>
    <w:rsid w:val="00541307"/>
    <w:rsid w:val="00596EE8"/>
    <w:rsid w:val="007F698E"/>
    <w:rsid w:val="009718A9"/>
    <w:rsid w:val="00977BD4"/>
    <w:rsid w:val="009C79F3"/>
    <w:rsid w:val="00A92DE4"/>
    <w:rsid w:val="00BC1F30"/>
    <w:rsid w:val="00BE45D6"/>
    <w:rsid w:val="00EC2C1B"/>
    <w:rsid w:val="00F42E1F"/>
    <w:rsid w:val="00F52E93"/>
    <w:rsid w:val="00FD2496"/>
    <w:rsid w:val="B7EFD4EF"/>
    <w:rsid w:val="FD1E84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imes New Roman" w:cs="Times New Roman"/>
      <w:sz w:val="24"/>
      <w:szCs w:val="24"/>
      <w:lang w:val="en-US" w:eastAsia="en-US" w:bidi="ar-SA"/>
    </w:rPr>
  </w:style>
  <w:style w:type="paragraph" w:styleId="2">
    <w:name w:val="heading 1"/>
    <w:basedOn w:val="1"/>
    <w:next w:val="1"/>
    <w:qFormat/>
    <w:uiPriority w:val="9"/>
    <w:pPr>
      <w:keepNext/>
      <w:keepLines/>
      <w:spacing w:before="480" w:after="120"/>
      <w:outlineLvl w:val="0"/>
    </w:pPr>
    <w:rPr>
      <w:b/>
      <w:bCs/>
      <w:sz w:val="48"/>
      <w:szCs w:val="48"/>
    </w:rPr>
  </w:style>
  <w:style w:type="paragraph" w:styleId="3">
    <w:name w:val="heading 2"/>
    <w:basedOn w:val="1"/>
    <w:next w:val="1"/>
    <w:semiHidden/>
    <w:unhideWhenUsed/>
    <w:qFormat/>
    <w:uiPriority w:val="9"/>
    <w:pPr>
      <w:keepNext/>
      <w:keepLines/>
      <w:spacing w:before="360" w:after="80"/>
      <w:outlineLvl w:val="1"/>
    </w:pPr>
    <w:rPr>
      <w:b/>
      <w:bCs/>
      <w:sz w:val="36"/>
      <w:szCs w:val="36"/>
    </w:rPr>
  </w:style>
  <w:style w:type="paragraph" w:styleId="4">
    <w:name w:val="heading 3"/>
    <w:basedOn w:val="1"/>
    <w:next w:val="1"/>
    <w:semiHidden/>
    <w:unhideWhenUsed/>
    <w:qFormat/>
    <w:uiPriority w:val="9"/>
    <w:pPr>
      <w:keepNext/>
      <w:keepLines/>
      <w:spacing w:before="280" w:after="80"/>
      <w:outlineLvl w:val="2"/>
    </w:pPr>
    <w:rPr>
      <w:b/>
      <w:bCs/>
      <w:sz w:val="28"/>
      <w:szCs w:val="28"/>
    </w:rPr>
  </w:style>
  <w:style w:type="paragraph" w:styleId="5">
    <w:name w:val="heading 4"/>
    <w:basedOn w:val="1"/>
    <w:next w:val="1"/>
    <w:semiHidden/>
    <w:unhideWhenUsed/>
    <w:qFormat/>
    <w:uiPriority w:val="9"/>
    <w:pPr>
      <w:keepNext/>
      <w:keepLines/>
      <w:spacing w:before="240" w:after="40"/>
      <w:outlineLvl w:val="3"/>
    </w:pPr>
    <w:rPr>
      <w:b/>
      <w:bCs/>
    </w:rPr>
  </w:style>
  <w:style w:type="paragraph" w:styleId="6">
    <w:name w:val="heading 5"/>
    <w:basedOn w:val="1"/>
    <w:next w:val="1"/>
    <w:semiHidden/>
    <w:unhideWhenUsed/>
    <w:qFormat/>
    <w:uiPriority w:val="9"/>
    <w:pPr>
      <w:keepNext/>
      <w:keepLines/>
      <w:spacing w:before="220" w:after="40"/>
      <w:outlineLvl w:val="4"/>
    </w:pPr>
    <w:rPr>
      <w:b/>
      <w:bCs/>
      <w:sz w:val="22"/>
      <w:szCs w:val="22"/>
    </w:rPr>
  </w:style>
  <w:style w:type="paragraph" w:styleId="7">
    <w:name w:val="heading 6"/>
    <w:basedOn w:val="1"/>
    <w:next w:val="1"/>
    <w:semiHidden/>
    <w:unhideWhenUsed/>
    <w:qFormat/>
    <w:uiPriority w:val="9"/>
    <w:pPr>
      <w:keepNext/>
      <w:keepLines/>
      <w:spacing w:before="200" w:after="40"/>
      <w:outlineLvl w:val="5"/>
    </w:pPr>
    <w:rPr>
      <w:b/>
      <w:bCs/>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character" w:styleId="10">
    <w:name w:val="annotation reference"/>
    <w:basedOn w:val="8"/>
    <w:semiHidden/>
    <w:unhideWhenUsed/>
    <w:uiPriority w:val="99"/>
    <w:rPr>
      <w:sz w:val="16"/>
      <w:szCs w:val="16"/>
    </w:rPr>
  </w:style>
  <w:style w:type="paragraph" w:styleId="11">
    <w:name w:val="annotation text"/>
    <w:basedOn w:val="1"/>
    <w:link w:val="17"/>
    <w:unhideWhenUsed/>
    <w:uiPriority w:val="99"/>
    <w:rPr>
      <w:sz w:val="20"/>
      <w:szCs w:val="20"/>
    </w:rPr>
  </w:style>
  <w:style w:type="paragraph" w:styleId="12">
    <w:name w:val="annotation subject"/>
    <w:basedOn w:val="11"/>
    <w:next w:val="11"/>
    <w:link w:val="18"/>
    <w:semiHidden/>
    <w:unhideWhenUsed/>
    <w:uiPriority w:val="99"/>
    <w:rPr>
      <w:b/>
      <w:bCs/>
    </w:rPr>
  </w:style>
  <w:style w:type="paragraph" w:styleId="13">
    <w:name w:val="Subtitle"/>
    <w:basedOn w:val="1"/>
    <w:next w:val="1"/>
    <w:qFormat/>
    <w:uiPriority w:val="11"/>
    <w:pPr>
      <w:keepNext/>
      <w:keepLines/>
      <w:spacing w:before="360" w:after="80"/>
    </w:pPr>
    <w:rPr>
      <w:rFonts w:ascii="Georgia" w:hAnsi="Georgia" w:eastAsia="Georgia" w:cs="Georgia"/>
      <w:i/>
      <w:iCs/>
      <w:color w:val="666666"/>
      <w:sz w:val="48"/>
      <w:szCs w:val="48"/>
    </w:rPr>
  </w:style>
  <w:style w:type="paragraph" w:styleId="14">
    <w:name w:val="Title"/>
    <w:basedOn w:val="1"/>
    <w:next w:val="1"/>
    <w:qFormat/>
    <w:uiPriority w:val="10"/>
    <w:pPr>
      <w:keepNext/>
      <w:keepLines/>
      <w:spacing w:before="480" w:after="120"/>
    </w:pPr>
    <w:rPr>
      <w:b/>
      <w:bCs/>
      <w:sz w:val="72"/>
      <w:szCs w:val="72"/>
    </w:rPr>
  </w:style>
  <w:style w:type="table" w:customStyle="1" w:styleId="15">
    <w:name w:val="TableNormal"/>
    <w:uiPriority w:val="0"/>
    <w:tblPr>
      <w:tblCellMar>
        <w:top w:w="100" w:type="dxa"/>
        <w:left w:w="100" w:type="dxa"/>
        <w:bottom w:w="100" w:type="dxa"/>
        <w:right w:w="100" w:type="dxa"/>
      </w:tblCellMar>
    </w:tblPr>
  </w:style>
  <w:style w:type="paragraph" w:customStyle="1" w:styleId="16">
    <w:name w:val="Revision"/>
    <w:hidden/>
    <w:semiHidden/>
    <w:uiPriority w:val="99"/>
    <w:pPr>
      <w:widowControl/>
      <w:jc w:val="left"/>
    </w:pPr>
    <w:rPr>
      <w:rFonts w:ascii="Times New Roman" w:hAnsi="Times New Roman" w:eastAsia="Times New Roman" w:cs="Times New Roman"/>
      <w:sz w:val="24"/>
      <w:szCs w:val="24"/>
      <w:lang w:val="en-US" w:eastAsia="en-US" w:bidi="ar-SA"/>
    </w:rPr>
  </w:style>
  <w:style w:type="character" w:customStyle="1" w:styleId="17">
    <w:name w:val="Comment Text Char"/>
    <w:basedOn w:val="8"/>
    <w:link w:val="11"/>
    <w:uiPriority w:val="99"/>
    <w:rPr>
      <w:sz w:val="20"/>
      <w:szCs w:val="20"/>
    </w:rPr>
  </w:style>
  <w:style w:type="character" w:customStyle="1" w:styleId="18">
    <w:name w:val="Comment Subject Char"/>
    <w:basedOn w:val="17"/>
    <w:link w:val="12"/>
    <w:semiHidden/>
    <w:uiPriority w:val="99"/>
    <w:rPr>
      <w:b/>
      <w:bCs/>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11</Pages>
  <Words>2593</Words>
  <Characters>14871</Characters>
  <Lines>124</Lines>
  <Paragraphs>34</Paragraphs>
  <TotalTime>196</TotalTime>
  <ScaleCrop>false</ScaleCrop>
  <LinksUpToDate>false</LinksUpToDate>
  <CharactersWithSpaces>17357</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2026-08-30T12:59:00Z</dcterms:created>
  <dc:creator>Data</dc:creator>
  <cp:lastModifiedBy>andy</cp:lastModifiedBy>
  <dcterms:modified xsi:type="dcterms:W3CDTF">2026-08-30T11:07:21Z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1033-12.1.26055.26055</vt:lpwstr>
  </property>
  <property fmtid="{D5CDD505-2E9C-101B-9397-08002B2CF9AE}" pid="3" name="ICV">
    <vt:lpwstr>FF6D70BF61BBF64C959B936A0611F71D_43</vt:lpwstr>
  </property>
</Properties>
</file>