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03A81" w:rsidR="0017621D" w:rsidP="00CB1DC3" w:rsidRDefault="00DC1546" w14:paraId="01DB5520" w14:textId="77145F59">
      <w:pPr>
        <w:jc w:val="center"/>
        <w:rPr>
          <w:u w:val="single"/>
        </w:rPr>
      </w:pPr>
      <w:r w:rsidRPr="00703A81">
        <w:rPr>
          <w:u w:val="single"/>
        </w:rPr>
        <w:t xml:space="preserve">Copyright Cases Not </w:t>
      </w:r>
      <w:r w:rsidRPr="00703A81" w:rsidR="00CB1DC3">
        <w:rPr>
          <w:u w:val="single"/>
        </w:rPr>
        <w:t>To</w:t>
      </w:r>
      <w:r w:rsidRPr="00703A81">
        <w:rPr>
          <w:u w:val="single"/>
        </w:rPr>
        <w:t xml:space="preserve"> Be Forgotten</w:t>
      </w:r>
    </w:p>
    <w:p w:rsidR="00CB1DC3" w:rsidP="00B45319" w:rsidRDefault="00CB1DC3" w14:paraId="345BF363" w14:textId="77777777">
      <w:pPr>
        <w:spacing w:after="0"/>
      </w:pPr>
    </w:p>
    <w:p w:rsidRPr="00E35298" w:rsidR="00CB1DC3" w:rsidP="00957020" w:rsidRDefault="00EC4636" w14:paraId="4DDDCED0" w14:textId="31E5CF0D">
      <w:pPr>
        <w:rPr>
          <w:b/>
          <w:bCs/>
        </w:rPr>
      </w:pPr>
      <w:r>
        <w:t>On</w:t>
      </w:r>
      <w:r w:rsidR="00CB1DC3">
        <w:t xml:space="preserve"> 11</w:t>
      </w:r>
      <w:r w:rsidRPr="00CB1DC3" w:rsidR="00CB1DC3">
        <w:rPr>
          <w:vertAlign w:val="superscript"/>
        </w:rPr>
        <w:t>th</w:t>
      </w:r>
      <w:r w:rsidR="00CB1DC3">
        <w:t xml:space="preserve"> January 2024, BLACA </w:t>
      </w:r>
      <w:r w:rsidR="00A237EB">
        <w:t xml:space="preserve">hosted </w:t>
      </w:r>
      <w:r w:rsidR="008F7E78">
        <w:t>‘Copyright Cases Not To Be Forgotten</w:t>
      </w:r>
      <w:r w:rsidR="00821A7F">
        <w:t xml:space="preserve">’ as part </w:t>
      </w:r>
      <w:r w:rsidR="008F7E78">
        <w:t xml:space="preserve">of its </w:t>
      </w:r>
      <w:r w:rsidR="002D20C6">
        <w:t>biennial</w:t>
      </w:r>
      <w:r w:rsidR="008F7E78">
        <w:t xml:space="preserve"> series </w:t>
      </w:r>
      <w:r w:rsidR="00866C05">
        <w:t xml:space="preserve">exploring </w:t>
      </w:r>
      <w:r w:rsidR="006D105E">
        <w:t>influential</w:t>
      </w:r>
      <w:r w:rsidR="009058A7">
        <w:t xml:space="preserve"> </w:t>
      </w:r>
      <w:r w:rsidR="008F7E78">
        <w:t xml:space="preserve">copyright cases. </w:t>
      </w:r>
      <w:r w:rsidR="00957020">
        <w:t>BLACA members James Parish, Gwilym Harbottle, Adela Wang</w:t>
      </w:r>
      <w:r w:rsidR="00FE651A">
        <w:t xml:space="preserve">, and </w:t>
      </w:r>
      <w:r w:rsidR="00957020">
        <w:t>Alison Firth</w:t>
      </w:r>
      <w:r w:rsidR="003151B4">
        <w:t xml:space="preserve"> provided </w:t>
      </w:r>
      <w:r w:rsidR="00C15FA8">
        <w:t>valuable</w:t>
      </w:r>
      <w:r w:rsidR="003151B4">
        <w:rPr>
          <w:b/>
          <w:bCs/>
        </w:rPr>
        <w:t xml:space="preserve"> </w:t>
      </w:r>
      <w:r w:rsidR="003151B4">
        <w:t xml:space="preserve">insight into an array </w:t>
      </w:r>
      <w:r w:rsidR="00531DC6">
        <w:t>of</w:t>
      </w:r>
      <w:r w:rsidR="00866C05">
        <w:t xml:space="preserve"> </w:t>
      </w:r>
      <w:r w:rsidR="0011546E">
        <w:t>fascinating</w:t>
      </w:r>
      <w:r w:rsidR="00B15EF6">
        <w:t xml:space="preserve"> cases, from the </w:t>
      </w:r>
      <w:r w:rsidRPr="00866C05" w:rsidR="00B15EF6">
        <w:t>1</w:t>
      </w:r>
      <w:r w:rsidR="003F400E">
        <w:t>8</w:t>
      </w:r>
      <w:r w:rsidRPr="00866C05" w:rsidR="00B15EF6">
        <w:rPr>
          <w:vertAlign w:val="superscript"/>
        </w:rPr>
        <w:t>th</w:t>
      </w:r>
      <w:r w:rsidRPr="00866C05" w:rsidR="00B15EF6">
        <w:t xml:space="preserve"> century</w:t>
      </w:r>
      <w:r w:rsidR="006212B3">
        <w:t xml:space="preserve"> </w:t>
      </w:r>
      <w:r w:rsidR="00166A7A">
        <w:t>to as recently as 2023</w:t>
      </w:r>
      <w:r w:rsidR="00004804">
        <w:t xml:space="preserve">. </w:t>
      </w:r>
      <w:r w:rsidR="00531DC6">
        <w:t>The</w:t>
      </w:r>
      <w:r w:rsidR="002840A1">
        <w:t xml:space="preserve"> speakers’ </w:t>
      </w:r>
      <w:r w:rsidR="00D607B9">
        <w:t xml:space="preserve">presentations </w:t>
      </w:r>
      <w:r w:rsidR="007655F9">
        <w:t>inspire reflection</w:t>
      </w:r>
      <w:r w:rsidR="00884B65">
        <w:t xml:space="preserve"> on</w:t>
      </w:r>
      <w:r w:rsidR="00D607B9">
        <w:t xml:space="preserve"> </w:t>
      </w:r>
      <w:r w:rsidR="006B1A2C">
        <w:t xml:space="preserve">the </w:t>
      </w:r>
      <w:r w:rsidR="00C63698">
        <w:t xml:space="preserve">effect </w:t>
      </w:r>
      <w:r w:rsidR="006B1A2C">
        <w:t xml:space="preserve">of judicial decisions </w:t>
      </w:r>
      <w:r w:rsidR="00C63698">
        <w:t>o</w:t>
      </w:r>
      <w:r w:rsidR="006B1A2C">
        <w:t>n the evolution of copyright law</w:t>
      </w:r>
      <w:r w:rsidR="00B35AEF">
        <w:t>.</w:t>
      </w:r>
      <w:r w:rsidR="00884B65">
        <w:t xml:space="preserve"> </w:t>
      </w:r>
      <w:r w:rsidR="00D607B9">
        <w:t xml:space="preserve"> </w:t>
      </w:r>
    </w:p>
    <w:p w:rsidR="00AB07D0" w:rsidP="003269D9" w:rsidRDefault="00994257" w14:paraId="468CD167" w14:textId="04F77DBA">
      <w:r>
        <w:t xml:space="preserve">Gwilym Harbottle commenced with an exploration of </w:t>
      </w:r>
      <w:r>
        <w:rPr>
          <w:i/>
          <w:iCs/>
        </w:rPr>
        <w:t>Pope v Cur</w:t>
      </w:r>
      <w:r w:rsidR="00F6239E">
        <w:rPr>
          <w:i/>
          <w:iCs/>
        </w:rPr>
        <w:t>l</w:t>
      </w:r>
      <w:r>
        <w:rPr>
          <w:i/>
          <w:iCs/>
        </w:rPr>
        <w:t>l</w:t>
      </w:r>
      <w:r w:rsidR="002F0C63">
        <w:rPr>
          <w:i/>
          <w:iCs/>
        </w:rPr>
        <w:t xml:space="preserve"> </w:t>
      </w:r>
      <w:r w:rsidR="002F0C63">
        <w:t>(1741)</w:t>
      </w:r>
      <w:r>
        <w:t xml:space="preserve">, a </w:t>
      </w:r>
      <w:r w:rsidR="00083949">
        <w:t xml:space="preserve">seminal case </w:t>
      </w:r>
      <w:r w:rsidR="00DE0701">
        <w:t>arising from t</w:t>
      </w:r>
      <w:r w:rsidR="008C17DA">
        <w:t>he</w:t>
      </w:r>
      <w:r w:rsidR="002F0C63">
        <w:t xml:space="preserve"> long-standing feud between the acclaimed writer Alexander Pope and notorious publisher Edmund Curll</w:t>
      </w:r>
      <w:r w:rsidR="00570E8F">
        <w:t>.</w:t>
      </w:r>
      <w:r w:rsidR="00463F7E">
        <w:rPr>
          <w:rStyle w:val="FootnoteReference"/>
        </w:rPr>
        <w:footnoteReference w:id="1"/>
      </w:r>
      <w:r w:rsidR="00570E8F">
        <w:t xml:space="preserve"> </w:t>
      </w:r>
      <w:r w:rsidR="002F0C63">
        <w:t xml:space="preserve">The conflict </w:t>
      </w:r>
      <w:r w:rsidR="006D416E">
        <w:t xml:space="preserve">culminated in </w:t>
      </w:r>
      <w:r w:rsidR="00776432">
        <w:t>Curl</w:t>
      </w:r>
      <w:r w:rsidR="00F357EC">
        <w:t>l publishing a series</w:t>
      </w:r>
      <w:r w:rsidR="00603435">
        <w:t xml:space="preserve"> of </w:t>
      </w:r>
      <w:r w:rsidR="004E634C">
        <w:t xml:space="preserve">correspondence between Pope and </w:t>
      </w:r>
      <w:r w:rsidR="000010E8">
        <w:t>Jonathan Swift</w:t>
      </w:r>
      <w:r w:rsidR="00603435">
        <w:t xml:space="preserve">. </w:t>
      </w:r>
      <w:r w:rsidR="003269D9">
        <w:t xml:space="preserve">Pope </w:t>
      </w:r>
      <w:r w:rsidR="00514235">
        <w:t>submitted a Bill of Complaint, which st</w:t>
      </w:r>
      <w:r w:rsidR="0085597F">
        <w:t>ipulated</w:t>
      </w:r>
      <w:r w:rsidR="00514235">
        <w:t xml:space="preserve">: i) </w:t>
      </w:r>
      <w:r w:rsidR="0034515E">
        <w:t xml:space="preserve">the Statute of Anne grants authors the exclusive right of printing books for </w:t>
      </w:r>
      <w:r w:rsidR="00E0269D">
        <w:t>14 years after publication; ii) Pope is the sole author of letters</w:t>
      </w:r>
      <w:r w:rsidR="00D05F1A">
        <w:t xml:space="preserve"> written by him</w:t>
      </w:r>
      <w:r w:rsidR="001612E6">
        <w:t>;</w:t>
      </w:r>
      <w:r w:rsidR="00D05F1A">
        <w:t xml:space="preserve"> and iii) Curll published </w:t>
      </w:r>
      <w:r w:rsidR="00E161F3">
        <w:t>his letters without his consent</w:t>
      </w:r>
      <w:r w:rsidR="00E00CB5">
        <w:t xml:space="preserve">. </w:t>
      </w:r>
      <w:r w:rsidR="00B42C0C">
        <w:t>Lord Chancellor Hardwicke</w:t>
      </w:r>
      <w:r w:rsidR="00224419">
        <w:t xml:space="preserve"> granted an injunction in relation to the letters written by Pope, </w:t>
      </w:r>
      <w:r w:rsidR="00217AB8">
        <w:t xml:space="preserve">and the decision has been </w:t>
      </w:r>
      <w:r w:rsidR="005262C7">
        <w:t>referred to in subsequent</w:t>
      </w:r>
      <w:r w:rsidR="00217AB8">
        <w:t xml:space="preserve"> cases as one of “unpublished letters”.</w:t>
      </w:r>
      <w:r w:rsidR="00217AB8">
        <w:rPr>
          <w:rStyle w:val="FootnoteReference"/>
        </w:rPr>
        <w:footnoteReference w:id="2"/>
      </w:r>
      <w:r w:rsidR="00217AB8">
        <w:t xml:space="preserve"> </w:t>
      </w:r>
      <w:r w:rsidR="009170AA">
        <w:t xml:space="preserve">Mr Harbottle pointed </w:t>
      </w:r>
      <w:r w:rsidR="001177C1">
        <w:t xml:space="preserve">to </w:t>
      </w:r>
      <w:r w:rsidR="006F5416">
        <w:t>the broader i</w:t>
      </w:r>
      <w:r w:rsidR="001177C1">
        <w:t>nfluence</w:t>
      </w:r>
      <w:r w:rsidR="006F5416">
        <w:t xml:space="preserve"> of the decisi</w:t>
      </w:r>
      <w:r w:rsidR="00447BBF">
        <w:t xml:space="preserve">on. </w:t>
      </w:r>
      <w:r w:rsidR="00267600">
        <w:t>Firstly, there was said to be n</w:t>
      </w:r>
      <w:r w:rsidRPr="00267600" w:rsidR="00267600">
        <w:t xml:space="preserve">o reason to distinguish between books </w:t>
      </w:r>
      <w:r w:rsidR="008700EC">
        <w:t>and</w:t>
      </w:r>
      <w:r w:rsidR="007E4E51">
        <w:t xml:space="preserve"> letters </w:t>
      </w:r>
      <w:r w:rsidR="008700EC">
        <w:t>or</w:t>
      </w:r>
      <w:r w:rsidR="007E4E51">
        <w:t xml:space="preserve"> “other learned works”</w:t>
      </w:r>
      <w:r w:rsidR="000010E8">
        <w:t xml:space="preserve">, marking </w:t>
      </w:r>
      <w:r w:rsidR="00447BBF">
        <w:t>a</w:t>
      </w:r>
      <w:r w:rsidR="00AB07D0">
        <w:t xml:space="preserve"> wider</w:t>
      </w:r>
      <w:r w:rsidR="00065C50">
        <w:t xml:space="preserve"> </w:t>
      </w:r>
      <w:r w:rsidR="00BB2EF4">
        <w:t>scope of protection</w:t>
      </w:r>
      <w:r w:rsidR="00782DEF">
        <w:t xml:space="preserve"> than had previously been recognised</w:t>
      </w:r>
      <w:r w:rsidR="00AB07D0">
        <w:t xml:space="preserve">. </w:t>
      </w:r>
      <w:r w:rsidR="006736AA">
        <w:t>Importantly</w:t>
      </w:r>
      <w:r w:rsidR="00CB707A">
        <w:t xml:space="preserve">, </w:t>
      </w:r>
      <w:r w:rsidR="009C17DE">
        <w:t xml:space="preserve">the judge </w:t>
      </w:r>
      <w:r w:rsidR="003008B1">
        <w:t>confirmed that the</w:t>
      </w:r>
      <w:r w:rsidR="00A41226">
        <w:t xml:space="preserve"> </w:t>
      </w:r>
      <w:r w:rsidR="003008B1">
        <w:t xml:space="preserve">author maintains a </w:t>
      </w:r>
      <w:r w:rsidR="00A41226">
        <w:t>publica</w:t>
      </w:r>
      <w:r w:rsidR="00744127">
        <w:t>t</w:t>
      </w:r>
      <w:r w:rsidR="00A41226">
        <w:t>ion right in his work, irrespective of who possesses the physical embodiment</w:t>
      </w:r>
      <w:r w:rsidR="00744127">
        <w:t xml:space="preserve">. </w:t>
      </w:r>
      <w:r w:rsidR="005B6BF0">
        <w:t>The</w:t>
      </w:r>
      <w:r w:rsidR="00744127">
        <w:t xml:space="preserve"> judge </w:t>
      </w:r>
      <w:r w:rsidR="003008B1">
        <w:t xml:space="preserve">thereby </w:t>
      </w:r>
      <w:r w:rsidR="00744127">
        <w:t xml:space="preserve">acknowledged </w:t>
      </w:r>
      <w:r w:rsidR="003008B1">
        <w:t>a</w:t>
      </w:r>
      <w:r w:rsidR="00923833">
        <w:t xml:space="preserve"> </w:t>
      </w:r>
      <w:r w:rsidR="00E97142">
        <w:t xml:space="preserve">separation </w:t>
      </w:r>
      <w:r w:rsidR="00744127">
        <w:t>between</w:t>
      </w:r>
      <w:r w:rsidR="00F0573E">
        <w:t xml:space="preserve"> an intangible “work” </w:t>
      </w:r>
      <w:r w:rsidR="00744127">
        <w:t>and</w:t>
      </w:r>
      <w:r w:rsidR="00F0573E">
        <w:t xml:space="preserve"> its physical embodiment</w:t>
      </w:r>
      <w:r w:rsidR="005B6BF0">
        <w:t xml:space="preserve">, sparking </w:t>
      </w:r>
      <w:r w:rsidR="00815314">
        <w:t xml:space="preserve">extensive </w:t>
      </w:r>
      <w:r w:rsidR="00EC2E17">
        <w:t xml:space="preserve">discourse </w:t>
      </w:r>
      <w:r w:rsidR="00F80C49">
        <w:t>around</w:t>
      </w:r>
      <w:r w:rsidR="00EC2E17">
        <w:rPr>
          <w:b/>
          <w:bCs/>
        </w:rPr>
        <w:t xml:space="preserve"> </w:t>
      </w:r>
      <w:r w:rsidR="00EC2E17">
        <w:t xml:space="preserve">the idea/expression dichotomy, which remains </w:t>
      </w:r>
      <w:r w:rsidR="008A61B9">
        <w:t>fundamental to our understanding of copyright today.</w:t>
      </w:r>
      <w:r w:rsidR="00EC2E17">
        <w:t xml:space="preserve"> </w:t>
      </w:r>
    </w:p>
    <w:p w:rsidR="003F6A5E" w:rsidP="003269D9" w:rsidRDefault="001E0208" w14:paraId="2151AC81" w14:textId="3AAC95E5">
      <w:r>
        <w:t xml:space="preserve">Next, </w:t>
      </w:r>
      <w:r w:rsidR="00A10347">
        <w:t xml:space="preserve">Adela </w:t>
      </w:r>
      <w:r w:rsidR="001C71D2">
        <w:t xml:space="preserve">Wang </w:t>
      </w:r>
      <w:r w:rsidR="00D649A6">
        <w:t xml:space="preserve">examined </w:t>
      </w:r>
      <w:r w:rsidR="006D36F7">
        <w:t xml:space="preserve">the unintended consequences of </w:t>
      </w:r>
      <w:r w:rsidR="00F80C49">
        <w:t>the</w:t>
      </w:r>
      <w:r w:rsidR="004A1CA0">
        <w:t xml:space="preserve"> decision</w:t>
      </w:r>
      <w:r w:rsidR="00C72871">
        <w:t xml:space="preserve"> in </w:t>
      </w:r>
      <w:r w:rsidR="00C72871">
        <w:rPr>
          <w:i/>
          <w:iCs/>
        </w:rPr>
        <w:t>Glyn v Weston</w:t>
      </w:r>
      <w:r w:rsidR="00EF51A4">
        <w:t>,</w:t>
      </w:r>
      <w:r w:rsidR="00C72871">
        <w:rPr>
          <w:rStyle w:val="FootnoteReference"/>
        </w:rPr>
        <w:footnoteReference w:id="3"/>
      </w:r>
      <w:r w:rsidR="00EF51A4">
        <w:t xml:space="preserve"> </w:t>
      </w:r>
      <w:r w:rsidR="00A37D54">
        <w:t>and its impact on</w:t>
      </w:r>
      <w:r w:rsidR="00EC3895">
        <w:t xml:space="preserve"> </w:t>
      </w:r>
      <w:r w:rsidR="00A82CAC">
        <w:t xml:space="preserve">debates around </w:t>
      </w:r>
      <w:r w:rsidR="00EC3895">
        <w:t>copyright</w:t>
      </w:r>
      <w:r w:rsidR="0050776F">
        <w:t>, culture</w:t>
      </w:r>
      <w:r w:rsidR="00EC3895">
        <w:t xml:space="preserve"> </w:t>
      </w:r>
      <w:r w:rsidR="006D36F7">
        <w:t>and moralit</w:t>
      </w:r>
      <w:r w:rsidR="002E410D">
        <w:t>y</w:t>
      </w:r>
      <w:r w:rsidR="00EC3895">
        <w:t xml:space="preserve">. </w:t>
      </w:r>
      <w:r w:rsidR="004404EF">
        <w:t xml:space="preserve">The case concerned </w:t>
      </w:r>
      <w:r w:rsidR="00DB251E">
        <w:t xml:space="preserve">Elinor Glyn’s novel </w:t>
      </w:r>
      <w:r w:rsidR="00C70B38">
        <w:t>“</w:t>
      </w:r>
      <w:r w:rsidRPr="00C70B38" w:rsidR="00DB251E">
        <w:t>Three Weeks</w:t>
      </w:r>
      <w:r w:rsidR="00C70B38">
        <w:t>”</w:t>
      </w:r>
      <w:r w:rsidR="00DB251E">
        <w:t xml:space="preserve"> (1907)</w:t>
      </w:r>
      <w:r w:rsidR="00E66F17">
        <w:t xml:space="preserve"> and its</w:t>
      </w:r>
      <w:r w:rsidR="00244E99">
        <w:t xml:space="preserve"> (authorised)</w:t>
      </w:r>
      <w:r w:rsidR="00E66F17">
        <w:t xml:space="preserve"> film adaptation</w:t>
      </w:r>
      <w:r w:rsidR="00A33442">
        <w:t>,</w:t>
      </w:r>
      <w:r w:rsidR="002E2CBB">
        <w:t xml:space="preserve"> </w:t>
      </w:r>
      <w:r w:rsidR="00BA134D">
        <w:t xml:space="preserve">which </w:t>
      </w:r>
      <w:r w:rsidR="00A37D54">
        <w:t xml:space="preserve">attracted both acclaim and controversy </w:t>
      </w:r>
      <w:r w:rsidR="00F85A42">
        <w:t xml:space="preserve">due to its depiction of adultery. Glyn claimed that </w:t>
      </w:r>
      <w:r w:rsidR="00A33442">
        <w:t xml:space="preserve">Weston’s </w:t>
      </w:r>
      <w:r w:rsidR="00C70B38">
        <w:t>parody film</w:t>
      </w:r>
      <w:r w:rsidR="004F578A">
        <w:t>,</w:t>
      </w:r>
      <w:r w:rsidR="00C70B38">
        <w:t xml:space="preserve"> “</w:t>
      </w:r>
      <w:r w:rsidRPr="00C70B38" w:rsidR="00C70B38">
        <w:t>Pimple’s Three Weeks</w:t>
      </w:r>
      <w:r w:rsidR="00C70B38">
        <w:t>”</w:t>
      </w:r>
      <w:r w:rsidR="00F85A42">
        <w:t xml:space="preserve"> (1915)</w:t>
      </w:r>
      <w:r w:rsidR="004F578A">
        <w:t xml:space="preserve">, </w:t>
      </w:r>
      <w:r w:rsidR="00F85A42">
        <w:t xml:space="preserve">infringed </w:t>
      </w:r>
      <w:r w:rsidR="00753587">
        <w:t xml:space="preserve">her </w:t>
      </w:r>
      <w:r w:rsidR="00F85A42">
        <w:t xml:space="preserve">copyright in </w:t>
      </w:r>
      <w:r w:rsidR="00753587">
        <w:t>the</w:t>
      </w:r>
      <w:r w:rsidR="00F85A42">
        <w:t xml:space="preserve"> novel</w:t>
      </w:r>
      <w:r w:rsidR="00C70B38">
        <w:t xml:space="preserve">. </w:t>
      </w:r>
      <w:r w:rsidR="00EB6363">
        <w:t>The judge, Younger J</w:t>
      </w:r>
      <w:r w:rsidR="00B50F3C">
        <w:t xml:space="preserve">, held that a substantial part had not been taken, </w:t>
      </w:r>
      <w:r w:rsidR="00E4240C">
        <w:t>which Ms Wang note</w:t>
      </w:r>
      <w:r w:rsidR="004F578A">
        <w:t>d</w:t>
      </w:r>
      <w:r w:rsidR="00E4240C">
        <w:t xml:space="preserve"> would be </w:t>
      </w:r>
      <w:r w:rsidR="00B50F3C">
        <w:t xml:space="preserve">sufficient to </w:t>
      </w:r>
      <w:r w:rsidR="00CD3756">
        <w:t>deny infringement. However, she observe</w:t>
      </w:r>
      <w:r w:rsidR="004F578A">
        <w:t>d</w:t>
      </w:r>
      <w:r w:rsidR="00CD3756">
        <w:t xml:space="preserve"> that </w:t>
      </w:r>
      <w:r w:rsidR="00C80454">
        <w:t xml:space="preserve">the judge </w:t>
      </w:r>
      <w:r w:rsidR="00A37D54">
        <w:t>undertook</w:t>
      </w:r>
      <w:r w:rsidR="00C80454">
        <w:t xml:space="preserve"> e</w:t>
      </w:r>
      <w:r w:rsidR="00A37D54">
        <w:t>xcessive</w:t>
      </w:r>
      <w:r w:rsidR="00C80454">
        <w:t xml:space="preserve"> literary analysis of the plaintiff’s book</w:t>
      </w:r>
      <w:r w:rsidR="00A37D54">
        <w:t xml:space="preserve"> to deny the existence of copyright </w:t>
      </w:r>
      <w:r w:rsidR="007D002C">
        <w:t>subsistence</w:t>
      </w:r>
      <w:r w:rsidR="009D235B">
        <w:t xml:space="preserve">. </w:t>
      </w:r>
      <w:r w:rsidR="00F07D0A">
        <w:t>Despite issues of morality</w:t>
      </w:r>
      <w:r w:rsidR="009D235B">
        <w:t xml:space="preserve"> not being raised by either party</w:t>
      </w:r>
      <w:r w:rsidR="00F07D0A">
        <w:t xml:space="preserve">, Ms Wang </w:t>
      </w:r>
      <w:r w:rsidR="004A4BF5">
        <w:t xml:space="preserve">proposed </w:t>
      </w:r>
      <w:r w:rsidR="006204A0">
        <w:t xml:space="preserve">that the judge was concerned with the </w:t>
      </w:r>
      <w:r w:rsidR="004A4BF5">
        <w:t xml:space="preserve">potential negative </w:t>
      </w:r>
      <w:r w:rsidR="006204A0">
        <w:t>soci</w:t>
      </w:r>
      <w:r w:rsidR="009D235B">
        <w:t>eta</w:t>
      </w:r>
      <w:r w:rsidR="006204A0">
        <w:t xml:space="preserve">l influence </w:t>
      </w:r>
      <w:r w:rsidR="00C540C8">
        <w:t>of the work</w:t>
      </w:r>
      <w:r w:rsidR="00B42B3A">
        <w:t xml:space="preserve">, </w:t>
      </w:r>
      <w:r w:rsidR="000153F5">
        <w:t>denouncing it</w:t>
      </w:r>
      <w:r w:rsidR="00FE127E">
        <w:t xml:space="preserve"> as</w:t>
      </w:r>
      <w:r w:rsidR="00B42B3A">
        <w:t xml:space="preserve"> “grossly immoral” and “indescribably vulgar”.</w:t>
      </w:r>
      <w:r w:rsidR="00FE127E">
        <w:rPr>
          <w:rStyle w:val="FootnoteReference"/>
        </w:rPr>
        <w:footnoteReference w:id="4"/>
      </w:r>
      <w:r w:rsidR="00576F14">
        <w:t xml:space="preserve"> </w:t>
      </w:r>
      <w:r w:rsidR="00250910">
        <w:t>Ironically,</w:t>
      </w:r>
      <w:r w:rsidR="008832E8">
        <w:t xml:space="preserve"> </w:t>
      </w:r>
      <w:r w:rsidR="00C540C8">
        <w:t>censorship attempts</w:t>
      </w:r>
      <w:r w:rsidR="008832E8">
        <w:t xml:space="preserve"> led to a more sympathetic </w:t>
      </w:r>
      <w:r w:rsidR="00A83A21">
        <w:t xml:space="preserve">audience </w:t>
      </w:r>
      <w:r w:rsidR="00A73E2D">
        <w:t xml:space="preserve">and </w:t>
      </w:r>
      <w:r w:rsidR="00A83A21">
        <w:t>favourable reception</w:t>
      </w:r>
      <w:r w:rsidR="000836EB">
        <w:t xml:space="preserve"> of Glyn’s works</w:t>
      </w:r>
      <w:r w:rsidR="00A83A21">
        <w:t>.</w:t>
      </w:r>
      <w:r w:rsidR="006942DF">
        <w:t xml:space="preserve"> </w:t>
      </w:r>
      <w:r w:rsidR="00B14553">
        <w:t>Yet, by the late-1920s</w:t>
      </w:r>
      <w:r w:rsidR="008601CF">
        <w:t>, Glyn’s work had fallen out of favour again, and was even considered “old-</w:t>
      </w:r>
      <w:r w:rsidR="008601CF">
        <w:lastRenderedPageBreak/>
        <w:t>fashioned” at the time of her death in</w:t>
      </w:r>
      <w:r w:rsidR="00B14553">
        <w:t xml:space="preserve"> 1943. This encourages us to reflect on the appropriateness of policy-oriented </w:t>
      </w:r>
      <w:r w:rsidR="00C37D21">
        <w:t>judicial reasoning based on morality</w:t>
      </w:r>
      <w:r w:rsidR="00FB2D94">
        <w:t>.</w:t>
      </w:r>
    </w:p>
    <w:p w:rsidR="00A73E2D" w:rsidP="003269D9" w:rsidRDefault="006553F3" w14:paraId="3EA477DA" w14:textId="6E843B23">
      <w:r>
        <w:t>J</w:t>
      </w:r>
      <w:r w:rsidR="00EE19A6">
        <w:t xml:space="preserve">ames Parish </w:t>
      </w:r>
      <w:r w:rsidR="00412819">
        <w:t xml:space="preserve">then </w:t>
      </w:r>
      <w:r>
        <w:t>illuminate</w:t>
      </w:r>
      <w:r w:rsidR="008856F1">
        <w:t>d</w:t>
      </w:r>
      <w:r w:rsidR="00EE19A6">
        <w:t xml:space="preserve"> the emergence of</w:t>
      </w:r>
      <w:r w:rsidR="00910CEC">
        <w:t xml:space="preserve"> a </w:t>
      </w:r>
      <w:r w:rsidR="00EE19A6">
        <w:t xml:space="preserve">coalescent moral right </w:t>
      </w:r>
      <w:r w:rsidR="00C9348C">
        <w:t xml:space="preserve">in </w:t>
      </w:r>
      <w:r w:rsidR="00A264E7">
        <w:rPr>
          <w:i/>
          <w:iCs/>
        </w:rPr>
        <w:t>Wright v Tallis</w:t>
      </w:r>
      <w:r w:rsidR="00A264E7">
        <w:t>.</w:t>
      </w:r>
      <w:r w:rsidR="00A264E7">
        <w:rPr>
          <w:rStyle w:val="FootnoteReference"/>
        </w:rPr>
        <w:footnoteReference w:id="5"/>
      </w:r>
      <w:r w:rsidR="00957205">
        <w:t xml:space="preserve"> The case concern</w:t>
      </w:r>
      <w:r w:rsidR="004B343B">
        <w:t>ed</w:t>
      </w:r>
      <w:r w:rsidR="00957205">
        <w:t xml:space="preserve"> a book published by </w:t>
      </w:r>
      <w:r w:rsidR="00517DF0">
        <w:t>William Wright, “</w:t>
      </w:r>
      <w:r w:rsidRPr="00517DF0" w:rsidR="00517DF0">
        <w:t>Evening Devotions</w:t>
      </w:r>
      <w:r w:rsidR="00304A6C">
        <w:t>,</w:t>
      </w:r>
      <w:r w:rsidRPr="00517DF0" w:rsidR="00517DF0">
        <w:t>"</w:t>
      </w:r>
      <w:r w:rsidR="00304A6C">
        <w:t xml:space="preserve"> which</w:t>
      </w:r>
      <w:r w:rsidR="0043798F">
        <w:t xml:space="preserve"> on </w:t>
      </w:r>
      <w:r w:rsidR="001C17F2">
        <w:t xml:space="preserve">its </w:t>
      </w:r>
      <w:r w:rsidR="006E6B2C">
        <w:t xml:space="preserve">front </w:t>
      </w:r>
      <w:r w:rsidR="001C17F2">
        <w:t>cover, purported to be a translation</w:t>
      </w:r>
      <w:r w:rsidR="0043748D">
        <w:t xml:space="preserve"> </w:t>
      </w:r>
      <w:r w:rsidR="005269E0">
        <w:t>of</w:t>
      </w:r>
      <w:r w:rsidR="001C17F2">
        <w:t xml:space="preserve"> C.C. Strum</w:t>
      </w:r>
      <w:r w:rsidR="00566927">
        <w:t xml:space="preserve">’s </w:t>
      </w:r>
      <w:r w:rsidR="0043748D">
        <w:t>religious texts</w:t>
      </w:r>
      <w:r w:rsidR="008856F1">
        <w:t xml:space="preserve">, </w:t>
      </w:r>
      <w:r w:rsidR="00566927">
        <w:t>“Morning Devotions”</w:t>
      </w:r>
      <w:r w:rsidR="00162337">
        <w:t xml:space="preserve">. </w:t>
      </w:r>
      <w:r w:rsidR="00A91EC9">
        <w:t xml:space="preserve">Wright claimed that </w:t>
      </w:r>
      <w:r w:rsidR="003B52B5">
        <w:t xml:space="preserve">in publishing </w:t>
      </w:r>
      <w:r w:rsidR="009343F8">
        <w:t xml:space="preserve">50,000 copies of Evening Devotions, Tallis </w:t>
      </w:r>
      <w:r w:rsidR="007B521B">
        <w:t xml:space="preserve">infringed his copyright. </w:t>
      </w:r>
      <w:r w:rsidR="006B57D2">
        <w:t xml:space="preserve">Tallis </w:t>
      </w:r>
      <w:r w:rsidR="0074076E">
        <w:t xml:space="preserve">pleaded </w:t>
      </w:r>
      <w:r w:rsidR="00155D38">
        <w:t>that Wright had intentionally deceive</w:t>
      </w:r>
      <w:r w:rsidR="00273CFB">
        <w:t>d</w:t>
      </w:r>
      <w:r w:rsidR="00155D38">
        <w:t xml:space="preserve"> </w:t>
      </w:r>
      <w:r w:rsidR="0074076E">
        <w:t>the public</w:t>
      </w:r>
      <w:r w:rsidR="00600656">
        <w:t xml:space="preserve">, as </w:t>
      </w:r>
      <w:r w:rsidR="005C6870">
        <w:t>he</w:t>
      </w:r>
      <w:r w:rsidR="0074076E">
        <w:t xml:space="preserve"> ha</w:t>
      </w:r>
      <w:r w:rsidR="002D0273">
        <w:t>d</w:t>
      </w:r>
      <w:r w:rsidR="00273CFB">
        <w:t xml:space="preserve"> </w:t>
      </w:r>
      <w:r w:rsidR="00B47A81">
        <w:t xml:space="preserve">in fact </w:t>
      </w:r>
      <w:r w:rsidR="00096B46">
        <w:t>employed Robert Huish to write the book</w:t>
      </w:r>
      <w:r w:rsidR="00B47A81">
        <w:t>, and it was not a translation of Strum’s work</w:t>
      </w:r>
      <w:r w:rsidR="00096B46">
        <w:t xml:space="preserve">. </w:t>
      </w:r>
      <w:r w:rsidR="0043748D">
        <w:t xml:space="preserve">The defendant </w:t>
      </w:r>
      <w:r w:rsidR="008C52A4">
        <w:t>pointed to</w:t>
      </w:r>
      <w:r w:rsidR="0043748D">
        <w:t xml:space="preserve"> Strum’s prestigious status in the Christian community, </w:t>
      </w:r>
      <w:r w:rsidR="008C52A4">
        <w:t xml:space="preserve">which </w:t>
      </w:r>
      <w:r w:rsidR="00A318B5">
        <w:t xml:space="preserve">would </w:t>
      </w:r>
      <w:r w:rsidR="00367406">
        <w:t xml:space="preserve">have attracted a much greater </w:t>
      </w:r>
      <w:r w:rsidRPr="00C920E9" w:rsidR="00367406">
        <w:t>audience</w:t>
      </w:r>
      <w:r w:rsidR="00367406">
        <w:t xml:space="preserve">. </w:t>
      </w:r>
      <w:r w:rsidR="00BC235D">
        <w:t xml:space="preserve">Mr Parish </w:t>
      </w:r>
      <w:r w:rsidR="00C920E9">
        <w:t>observed</w:t>
      </w:r>
      <w:r w:rsidR="000B7D64">
        <w:t xml:space="preserve"> that the case </w:t>
      </w:r>
      <w:r w:rsidR="008C52A4">
        <w:t xml:space="preserve">begs </w:t>
      </w:r>
      <w:r w:rsidR="000B7D64">
        <w:t xml:space="preserve">the question as to what extent the title page of </w:t>
      </w:r>
      <w:r w:rsidR="00043295">
        <w:t xml:space="preserve">a </w:t>
      </w:r>
      <w:r w:rsidR="00133768">
        <w:t>literary work</w:t>
      </w:r>
      <w:r w:rsidR="00043295">
        <w:t xml:space="preserve"> serves as a guarantee of its contents. Th</w:t>
      </w:r>
      <w:r w:rsidR="00267D3D">
        <w:t xml:space="preserve">is </w:t>
      </w:r>
      <w:r w:rsidR="00043295">
        <w:t xml:space="preserve">was implicitly addressed </w:t>
      </w:r>
      <w:r w:rsidR="00750D0F">
        <w:t xml:space="preserve">in the decision, </w:t>
      </w:r>
      <w:r w:rsidR="00AA5EDD">
        <w:t xml:space="preserve">where Tindal CJ distinguished </w:t>
      </w:r>
      <w:r w:rsidR="00AF2133">
        <w:t xml:space="preserve">“innocent and harmless” misrepresentations from </w:t>
      </w:r>
      <w:r w:rsidR="000530B0">
        <w:t xml:space="preserve">“serious designs” </w:t>
      </w:r>
      <w:r w:rsidR="00715400">
        <w:t>to deceiv</w:t>
      </w:r>
      <w:r w:rsidR="00213E9B">
        <w:t>e</w:t>
      </w:r>
      <w:r w:rsidR="00715400">
        <w:t xml:space="preserve">. In </w:t>
      </w:r>
      <w:r w:rsidR="004D6517">
        <w:t xml:space="preserve">seeking to profit from the affixation of Strum’s name to his novel, Tindal CJ held that </w:t>
      </w:r>
      <w:r w:rsidR="00836C2D">
        <w:t>Wright did not have a valid and subsisting copyright.</w:t>
      </w:r>
      <w:r w:rsidR="006B142D">
        <w:t xml:space="preserve"> </w:t>
      </w:r>
      <w:r w:rsidR="004E09F9">
        <w:t xml:space="preserve">Mr Parish </w:t>
      </w:r>
      <w:r w:rsidR="00844188">
        <w:t xml:space="preserve">cogently </w:t>
      </w:r>
      <w:r w:rsidR="004E09F9">
        <w:t xml:space="preserve">proposed that the </w:t>
      </w:r>
      <w:r w:rsidR="00F115E1">
        <w:t xml:space="preserve">court </w:t>
      </w:r>
      <w:r w:rsidR="00C920E9">
        <w:t>was motivated by a desire to</w:t>
      </w:r>
      <w:r w:rsidR="00F115E1">
        <w:t xml:space="preserve"> eradicate </w:t>
      </w:r>
      <w:r w:rsidR="00C920E9">
        <w:t>copyright incentives for</w:t>
      </w:r>
      <w:r w:rsidR="00E624AA">
        <w:t xml:space="preserve"> publishing deceptive works. </w:t>
      </w:r>
      <w:r w:rsidR="00B5387F">
        <w:t xml:space="preserve">The case engages wider </w:t>
      </w:r>
      <w:r w:rsidR="0015777B">
        <w:t xml:space="preserve">IP questions, such as the extent to which intention </w:t>
      </w:r>
      <w:r w:rsidR="00650FDA">
        <w:t>and/or an author’s reputation plays a role in a finding for or against</w:t>
      </w:r>
      <w:r w:rsidR="00C920E9">
        <w:t xml:space="preserve"> i</w:t>
      </w:r>
      <w:r w:rsidR="00650FDA">
        <w:t xml:space="preserve">nfringement. </w:t>
      </w:r>
    </w:p>
    <w:p w:rsidRPr="008C6DAF" w:rsidR="002C3CD0" w:rsidP="0052292E" w:rsidRDefault="004528FB" w14:paraId="6C9E885E" w14:textId="6550D25B">
      <w:r>
        <w:t xml:space="preserve">Finally, </w:t>
      </w:r>
      <w:r w:rsidR="004B2B02">
        <w:t xml:space="preserve">Professor </w:t>
      </w:r>
      <w:r w:rsidR="00907E92">
        <w:t xml:space="preserve">Alison Firth </w:t>
      </w:r>
      <w:r w:rsidR="00D8324F">
        <w:t>revisited the</w:t>
      </w:r>
      <w:r w:rsidR="0052582B">
        <w:t xml:space="preserve"> </w:t>
      </w:r>
      <w:r w:rsidR="00787788">
        <w:t>EU and UK approaches to originality</w:t>
      </w:r>
      <w:r w:rsidR="008D2290">
        <w:t>,</w:t>
      </w:r>
      <w:r w:rsidR="00787788">
        <w:t xml:space="preserve"> in light of the 2023</w:t>
      </w:r>
      <w:r w:rsidR="007A3B30">
        <w:t xml:space="preserve"> </w:t>
      </w:r>
      <w:r w:rsidR="00ED36A2">
        <w:t>case</w:t>
      </w:r>
      <w:r w:rsidR="00787788">
        <w:t xml:space="preserve"> </w:t>
      </w:r>
      <w:r w:rsidRPr="007A3B30" w:rsidR="007A3B30">
        <w:rPr>
          <w:i/>
          <w:iCs/>
        </w:rPr>
        <w:t>THJ v Sheridan</w:t>
      </w:r>
      <w:r w:rsidR="007A3B30">
        <w:t>.</w:t>
      </w:r>
      <w:r w:rsidR="007A3B30">
        <w:rPr>
          <w:rStyle w:val="FootnoteReference"/>
        </w:rPr>
        <w:footnoteReference w:id="6"/>
      </w:r>
      <w:r w:rsidR="00C34F22">
        <w:t xml:space="preserve"> </w:t>
      </w:r>
      <w:r w:rsidR="002605BA">
        <w:t xml:space="preserve">The </w:t>
      </w:r>
      <w:r w:rsidR="00B6146A">
        <w:t>decision</w:t>
      </w:r>
      <w:r w:rsidR="00011D32">
        <w:t xml:space="preserve">, concerning graphical user interfaces, illuminates the </w:t>
      </w:r>
      <w:r w:rsidR="005C6870">
        <w:t>complexities</w:t>
      </w:r>
      <w:r w:rsidR="00011D32">
        <w:t xml:space="preserve"> o</w:t>
      </w:r>
      <w:r w:rsidR="00583A3C">
        <w:t xml:space="preserve">f </w:t>
      </w:r>
      <w:r w:rsidR="00FD18A8">
        <w:t xml:space="preserve">assessing </w:t>
      </w:r>
      <w:r w:rsidR="00AE3F38">
        <w:t>“originality”</w:t>
      </w:r>
      <w:r w:rsidR="00583A3C">
        <w:t xml:space="preserve">, </w:t>
      </w:r>
      <w:r w:rsidR="00D400E7">
        <w:t>and</w:t>
      </w:r>
      <w:r w:rsidR="00FD18A8">
        <w:t xml:space="preserve"> of </w:t>
      </w:r>
      <w:r w:rsidR="00583A3C">
        <w:t>CJEU jurisprudence in a post-Brexit society.</w:t>
      </w:r>
      <w:r w:rsidR="00C57109">
        <w:t xml:space="preserve"> In deciding whether copyright subsisted in </w:t>
      </w:r>
      <w:r w:rsidR="00423BEB">
        <w:t>“risk and price charts”</w:t>
      </w:r>
      <w:r w:rsidRPr="00C57109" w:rsidR="00C57109">
        <w:t xml:space="preserve"> produced by the</w:t>
      </w:r>
      <w:r w:rsidR="00423BEB">
        <w:t xml:space="preserve"> claimant’s</w:t>
      </w:r>
      <w:r w:rsidRPr="00C57109" w:rsidR="00C57109">
        <w:t xml:space="preserve"> software</w:t>
      </w:r>
      <w:r w:rsidR="00423BEB">
        <w:t xml:space="preserve">, the court had to determine the appropriate test of originality. </w:t>
      </w:r>
      <w:r w:rsidR="00B30438">
        <w:t xml:space="preserve">Lord Justice Arnold </w:t>
      </w:r>
      <w:r w:rsidR="00423BEB">
        <w:t xml:space="preserve">confirmed </w:t>
      </w:r>
      <w:r w:rsidR="008C77B0">
        <w:t xml:space="preserve">that </w:t>
      </w:r>
      <w:r w:rsidR="00FB7B61">
        <w:t xml:space="preserve">the correct test </w:t>
      </w:r>
      <w:r w:rsidR="006354B6">
        <w:t>for originality was the CJEU</w:t>
      </w:r>
      <w:r w:rsidR="006F42D6">
        <w:t>’s</w:t>
      </w:r>
      <w:r w:rsidR="008C77B0">
        <w:t xml:space="preserve"> </w:t>
      </w:r>
      <w:r w:rsidR="00FC2E1A">
        <w:t>“a</w:t>
      </w:r>
      <w:r w:rsidR="008C77B0">
        <w:t xml:space="preserve">uthor’s </w:t>
      </w:r>
      <w:r w:rsidR="00FC2E1A">
        <w:t>o</w:t>
      </w:r>
      <w:r w:rsidR="008C77B0">
        <w:t xml:space="preserve">wn </w:t>
      </w:r>
      <w:r w:rsidR="00FC2E1A">
        <w:t>i</w:t>
      </w:r>
      <w:r w:rsidR="008C77B0">
        <w:t xml:space="preserve">ntellectual </w:t>
      </w:r>
      <w:r w:rsidR="00FC2E1A">
        <w:t>c</w:t>
      </w:r>
      <w:r w:rsidR="008C77B0">
        <w:t>reation</w:t>
      </w:r>
      <w:r w:rsidR="00FC2E1A">
        <w:t>”</w:t>
      </w:r>
      <w:r w:rsidR="006354B6">
        <w:t xml:space="preserve">, </w:t>
      </w:r>
      <w:r w:rsidR="00FB7B61">
        <w:t>rather than the</w:t>
      </w:r>
      <w:r w:rsidR="00423BEB">
        <w:t xml:space="preserve"> UK’s “skill and labour” test.</w:t>
      </w:r>
      <w:r w:rsidR="006354B6">
        <w:rPr>
          <w:rStyle w:val="FootnoteReference"/>
        </w:rPr>
        <w:footnoteReference w:id="7"/>
      </w:r>
      <w:r w:rsidR="00742E15">
        <w:t xml:space="preserve"> </w:t>
      </w:r>
      <w:r w:rsidR="00CE1315">
        <w:t>Prof</w:t>
      </w:r>
      <w:r w:rsidR="00585063">
        <w:t xml:space="preserve"> Firth’s presentation </w:t>
      </w:r>
      <w:r w:rsidR="00152045">
        <w:t xml:space="preserve">continued </w:t>
      </w:r>
      <w:r w:rsidR="00585063">
        <w:t>the</w:t>
      </w:r>
      <w:r w:rsidR="002A5C48">
        <w:t xml:space="preserve"> </w:t>
      </w:r>
      <w:r w:rsidR="00E221AA">
        <w:t xml:space="preserve">intriguing </w:t>
      </w:r>
      <w:r w:rsidR="002A5C48">
        <w:t>discussion</w:t>
      </w:r>
      <w:r w:rsidR="00D23E2D">
        <w:t xml:space="preserve"> introduced by Professor Phillip Johnson in his July 2023 BLACA presentation </w:t>
      </w:r>
      <w:r w:rsidR="002A5C48">
        <w:t>on retained EU law</w:t>
      </w:r>
      <w:r w:rsidR="00663236">
        <w:t xml:space="preserve">. </w:t>
      </w:r>
      <w:r w:rsidR="003A598A">
        <w:t xml:space="preserve">An interesting question raised by </w:t>
      </w:r>
      <w:r w:rsidR="00BA27D9">
        <w:t>Prof</w:t>
      </w:r>
      <w:r w:rsidR="003A598A">
        <w:t xml:space="preserve"> Firth was whether there is a material difference between the </w:t>
      </w:r>
      <w:r w:rsidR="0052292E">
        <w:t xml:space="preserve">EU test for originality, and the </w:t>
      </w:r>
      <w:r w:rsidR="003A598A">
        <w:t>skill</w:t>
      </w:r>
      <w:r w:rsidR="004613AD">
        <w:t xml:space="preserve">, labour </w:t>
      </w:r>
      <w:r w:rsidRPr="00F5592F" w:rsidR="004613AD">
        <w:rPr>
          <w:i/>
          <w:iCs/>
        </w:rPr>
        <w:t>and</w:t>
      </w:r>
      <w:r w:rsidR="004613AD">
        <w:t xml:space="preserve"> </w:t>
      </w:r>
      <w:r w:rsidR="004613AD">
        <w:rPr>
          <w:i/>
          <w:iCs/>
        </w:rPr>
        <w:t xml:space="preserve">judgement </w:t>
      </w:r>
      <w:r w:rsidR="004613AD">
        <w:t xml:space="preserve">test that has </w:t>
      </w:r>
      <w:r w:rsidR="0052292E">
        <w:t>developed in the UK post-</w:t>
      </w:r>
      <w:r w:rsidR="004613AD">
        <w:rPr>
          <w:i/>
          <w:iCs/>
        </w:rPr>
        <w:t>Infopaq</w:t>
      </w:r>
      <w:r w:rsidR="0052292E">
        <w:t xml:space="preserve">. </w:t>
      </w:r>
      <w:r w:rsidR="00FD5EA7">
        <w:t>Given</w:t>
      </w:r>
      <w:r w:rsidR="00DA6C12">
        <w:t xml:space="preserve"> the </w:t>
      </w:r>
      <w:r w:rsidR="00F150ED">
        <w:t>inconsisten</w:t>
      </w:r>
      <w:r w:rsidR="00D26EEB">
        <w:t>t application in UK case law of</w:t>
      </w:r>
      <w:r w:rsidR="00DA6C12">
        <w:t xml:space="preserve"> skill and labour versus skill, labour and judgement, </w:t>
      </w:r>
      <w:r w:rsidR="00BA27D9">
        <w:t>Prof</w:t>
      </w:r>
      <w:r w:rsidR="00D56F90">
        <w:t xml:space="preserve"> Firth noted that it </w:t>
      </w:r>
      <w:r w:rsidR="00825C42">
        <w:t xml:space="preserve">remains to be seen how </w:t>
      </w:r>
      <w:r w:rsidR="00FC0F12">
        <w:t>cases relating to acts after 1</w:t>
      </w:r>
      <w:r w:rsidRPr="00FC0F12" w:rsidR="00FC0F12">
        <w:rPr>
          <w:vertAlign w:val="superscript"/>
        </w:rPr>
        <w:t>st</w:t>
      </w:r>
      <w:r w:rsidR="00FC0F12">
        <w:t xml:space="preserve"> January 2024</w:t>
      </w:r>
      <w:r w:rsidR="00F94914">
        <w:t xml:space="preserve"> </w:t>
      </w:r>
      <w:r w:rsidR="00FC0F12">
        <w:t>will be decided. In any event, she observed that Arnold LJ’s decision signifies the continued relevance of CJEU decisions</w:t>
      </w:r>
      <w:r w:rsidR="0081061C">
        <w:t xml:space="preserve"> in a post-Brexit landscape</w:t>
      </w:r>
      <w:r w:rsidR="00FC0F12">
        <w:t xml:space="preserve">, and that </w:t>
      </w:r>
      <w:r w:rsidR="00FC0F12">
        <w:rPr>
          <w:i/>
          <w:iCs/>
        </w:rPr>
        <w:t>THJ</w:t>
      </w:r>
      <w:r w:rsidR="00FC0F12">
        <w:t xml:space="preserve"> will likely be frequently cited in </w:t>
      </w:r>
      <w:r w:rsidR="00E65996">
        <w:t>the future</w:t>
      </w:r>
      <w:r w:rsidR="00FC0F12">
        <w:t xml:space="preserve">. </w:t>
      </w:r>
    </w:p>
    <w:p w:rsidR="001F79A7" w:rsidP="00957020" w:rsidRDefault="00EF0915" w14:paraId="1C51ECE5" w14:textId="5F6794C1">
      <w:r>
        <w:t xml:space="preserve">Though </w:t>
      </w:r>
      <w:r w:rsidR="00C40706">
        <w:t>these cases</w:t>
      </w:r>
      <w:r>
        <w:t xml:space="preserve"> engage</w:t>
      </w:r>
      <w:r w:rsidR="00AF7FDD">
        <w:t xml:space="preserve"> </w:t>
      </w:r>
      <w:r w:rsidR="00264882">
        <w:t xml:space="preserve">different </w:t>
      </w:r>
      <w:r w:rsidR="00EF0315">
        <w:t>copyright principles</w:t>
      </w:r>
      <w:r w:rsidR="00460B18">
        <w:t>, and s</w:t>
      </w:r>
      <w:r>
        <w:t>pan</w:t>
      </w:r>
      <w:r w:rsidR="00460B18">
        <w:t xml:space="preserve"> across</w:t>
      </w:r>
      <w:r w:rsidR="005C4B00">
        <w:t xml:space="preserve"> four centuries,</w:t>
      </w:r>
      <w:r w:rsidR="00E229EF">
        <w:t xml:space="preserve"> the </w:t>
      </w:r>
      <w:r w:rsidR="00EF0315">
        <w:t>dynamic nature</w:t>
      </w:r>
      <w:r w:rsidR="00E229EF">
        <w:rPr>
          <w:b/>
          <w:bCs/>
        </w:rPr>
        <w:t xml:space="preserve"> </w:t>
      </w:r>
      <w:r w:rsidR="00E229EF">
        <w:t xml:space="preserve">of copyright law shines through each. </w:t>
      </w:r>
      <w:r w:rsidR="00A66843">
        <w:t>More</w:t>
      </w:r>
      <w:r w:rsidR="00B45319">
        <w:t>over</w:t>
      </w:r>
      <w:r w:rsidR="00A66843">
        <w:t>, they highlight the</w:t>
      </w:r>
      <w:r w:rsidR="00792EE6">
        <w:t xml:space="preserve"> intersectionality</w:t>
      </w:r>
      <w:r w:rsidR="003D724D">
        <w:rPr>
          <w:b/>
          <w:bCs/>
        </w:rPr>
        <w:t xml:space="preserve"> </w:t>
      </w:r>
      <w:r w:rsidR="003D724D">
        <w:t xml:space="preserve">of copyright, culture and society, </w:t>
      </w:r>
      <w:r w:rsidR="0096423A">
        <w:t xml:space="preserve">which is important to take heed of in a </w:t>
      </w:r>
      <w:r w:rsidR="00D42549">
        <w:t>world which is changing more rapidly than ever before.</w:t>
      </w:r>
      <w:r w:rsidR="0096423A">
        <w:t xml:space="preserve"> </w:t>
      </w:r>
    </w:p>
    <w:sectPr w:rsidR="001F79A7" w:rsidSect="00C01F3B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1F3B" w:rsidP="009D4316" w:rsidRDefault="00C01F3B" w14:paraId="4E092C64" w14:textId="77777777">
      <w:pPr>
        <w:spacing w:after="0" w:line="240" w:lineRule="auto"/>
      </w:pPr>
      <w:r>
        <w:separator/>
      </w:r>
    </w:p>
  </w:endnote>
  <w:endnote w:type="continuationSeparator" w:id="0">
    <w:p w:rsidR="00C01F3B" w:rsidP="009D4316" w:rsidRDefault="00C01F3B" w14:paraId="75F6BE0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1F3B" w:rsidP="009D4316" w:rsidRDefault="00C01F3B" w14:paraId="436F64C5" w14:textId="77777777">
      <w:pPr>
        <w:spacing w:after="0" w:line="240" w:lineRule="auto"/>
      </w:pPr>
      <w:r>
        <w:separator/>
      </w:r>
    </w:p>
  </w:footnote>
  <w:footnote w:type="continuationSeparator" w:id="0">
    <w:p w:rsidR="00C01F3B" w:rsidP="009D4316" w:rsidRDefault="00C01F3B" w14:paraId="0D1B6305" w14:textId="77777777">
      <w:pPr>
        <w:spacing w:after="0" w:line="240" w:lineRule="auto"/>
      </w:pPr>
      <w:r>
        <w:continuationSeparator/>
      </w:r>
    </w:p>
  </w:footnote>
  <w:footnote w:id="1">
    <w:p w:rsidR="00463F7E" w:rsidRDefault="00463F7E" w14:paraId="0C90DB7A" w14:textId="57A0C3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80B07">
        <w:t>‘</w:t>
      </w:r>
      <w:r w:rsidRPr="00780B07">
        <w:t>Pope v Curl</w:t>
      </w:r>
      <w:r w:rsidRPr="00780B07" w:rsidR="00780B07">
        <w:t>,</w:t>
      </w:r>
      <w:r w:rsidR="00780B07">
        <w:t xml:space="preserve"> London </w:t>
      </w:r>
      <w:r w:rsidRPr="00463F7E">
        <w:t>(1741)</w:t>
      </w:r>
      <w:r w:rsidR="00780B07">
        <w:t>’ in</w:t>
      </w:r>
      <w:r w:rsidRPr="00463F7E">
        <w:t xml:space="preserve"> </w:t>
      </w:r>
      <w:r w:rsidRPr="00780B07">
        <w:rPr>
          <w:i/>
          <w:iCs/>
        </w:rPr>
        <w:t>Primary Sources on Copyright (1450-1900)</w:t>
      </w:r>
      <w:r w:rsidR="00780B07">
        <w:t xml:space="preserve"> (e</w:t>
      </w:r>
      <w:r w:rsidRPr="00463F7E">
        <w:t>ds L Bently &amp; M</w:t>
      </w:r>
      <w:r w:rsidR="00780B07">
        <w:t xml:space="preserve"> </w:t>
      </w:r>
      <w:r w:rsidRPr="00463F7E">
        <w:t>Kretschmer</w:t>
      </w:r>
      <w:r w:rsidR="00CC5C5F">
        <w:t>).</w:t>
      </w:r>
    </w:p>
  </w:footnote>
  <w:footnote w:id="2">
    <w:p w:rsidR="00217AB8" w:rsidRDefault="00217AB8" w14:paraId="6B46B555" w14:textId="15A80475">
      <w:pPr>
        <w:pStyle w:val="FootnoteText"/>
      </w:pPr>
      <w:r>
        <w:rPr>
          <w:rStyle w:val="FootnoteReference"/>
        </w:rPr>
        <w:footnoteRef/>
      </w:r>
      <w:r>
        <w:t xml:space="preserve"> see e.g. </w:t>
      </w:r>
      <w:r w:rsidRPr="0038236F">
        <w:rPr>
          <w:i/>
          <w:iCs/>
        </w:rPr>
        <w:t>Millar v Taylor</w:t>
      </w:r>
      <w:r w:rsidRPr="0038236F">
        <w:t xml:space="preserve"> (1769) 4 Burr</w:t>
      </w:r>
      <w:r>
        <w:t xml:space="preserve"> </w:t>
      </w:r>
      <w:r w:rsidRPr="0038236F">
        <w:t>2303</w:t>
      </w:r>
      <w:r>
        <w:t xml:space="preserve">; </w:t>
      </w:r>
      <w:r w:rsidRPr="0007566D">
        <w:rPr>
          <w:i/>
          <w:iCs/>
        </w:rPr>
        <w:t>Donaldson v Beckett</w:t>
      </w:r>
      <w:r w:rsidRPr="0007566D">
        <w:t xml:space="preserve"> (1774) </w:t>
      </w:r>
      <w:r>
        <w:t>1 ER 837.</w:t>
      </w:r>
    </w:p>
  </w:footnote>
  <w:footnote w:id="3">
    <w:p w:rsidR="00C72871" w:rsidRDefault="00C72871" w14:paraId="4ACBEC4E" w14:textId="57F7B48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72871">
        <w:rPr>
          <w:i/>
          <w:iCs/>
        </w:rPr>
        <w:t>Glyn v Weston Feature Film Co</w:t>
      </w:r>
      <w:r w:rsidRPr="00C72871">
        <w:t xml:space="preserve"> [1916] 1 Ch 261</w:t>
      </w:r>
      <w:r>
        <w:t>.</w:t>
      </w:r>
    </w:p>
  </w:footnote>
  <w:footnote w:id="4">
    <w:p w:rsidR="00FE127E" w:rsidRDefault="00FE127E" w14:paraId="4FD808D1" w14:textId="39A2E91F">
      <w:pPr>
        <w:pStyle w:val="FootnoteText"/>
      </w:pPr>
      <w:r>
        <w:rPr>
          <w:rStyle w:val="FootnoteReference"/>
        </w:rPr>
        <w:footnoteRef/>
      </w:r>
      <w:r>
        <w:t xml:space="preserve"> ibid 269-70.</w:t>
      </w:r>
    </w:p>
  </w:footnote>
  <w:footnote w:id="5">
    <w:p w:rsidR="00A264E7" w:rsidRDefault="00A264E7" w14:paraId="47244FCA" w14:textId="35355F4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64E7">
        <w:t>(1845) 135 ER 794</w:t>
      </w:r>
      <w:r>
        <w:t>.</w:t>
      </w:r>
    </w:p>
  </w:footnote>
  <w:footnote w:id="6">
    <w:p w:rsidR="007A3B30" w:rsidRDefault="007A3B30" w14:paraId="2AD2A38B" w14:textId="6A96F9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A3B30">
        <w:t>[2023] EWCA Civ 1354</w:t>
      </w:r>
      <w:r>
        <w:t>.</w:t>
      </w:r>
    </w:p>
  </w:footnote>
  <w:footnote w:id="7">
    <w:p w:rsidR="006354B6" w:rsidP="00410B70" w:rsidRDefault="006354B6" w14:paraId="178E7E1F" w14:textId="211400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10B70">
        <w:t xml:space="preserve">see e.g. </w:t>
      </w:r>
      <w:r w:rsidRPr="00410B70" w:rsidR="00410B70">
        <w:rPr>
          <w:i/>
          <w:iCs/>
        </w:rPr>
        <w:t>Infopaq International A/S v Danske Dagblades Forening</w:t>
      </w:r>
      <w:r w:rsidR="00410B70">
        <w:t xml:space="preserve"> (C-5/08) (AOIC); </w:t>
      </w:r>
      <w:r w:rsidRPr="00B6675A" w:rsidR="00B6675A">
        <w:rPr>
          <w:i/>
          <w:iCs/>
        </w:rPr>
        <w:t xml:space="preserve">Nova Productions v Mazooma Games </w:t>
      </w:r>
      <w:r w:rsidRPr="00B6675A" w:rsidR="00B6675A">
        <w:t>[2006] EWHC 24 (Ch)</w:t>
      </w:r>
      <w:r w:rsidR="00B6675A">
        <w:t xml:space="preserve"> (skill and labour).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9300A"/>
    <w:multiLevelType w:val="hybridMultilevel"/>
    <w:tmpl w:val="6DA01DD4"/>
    <w:lvl w:ilvl="0" w:tplc="BED8F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9685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366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D89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901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02D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56A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40C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100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0777142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phen Edwards">
    <w15:presenceInfo w15:providerId="Windows Live" w15:userId="d41b6c8aed6949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46"/>
    <w:rsid w:val="000010E8"/>
    <w:rsid w:val="00004804"/>
    <w:rsid w:val="00007EFA"/>
    <w:rsid w:val="00011125"/>
    <w:rsid w:val="00011D32"/>
    <w:rsid w:val="00012970"/>
    <w:rsid w:val="000153F5"/>
    <w:rsid w:val="00016AD5"/>
    <w:rsid w:val="00024E87"/>
    <w:rsid w:val="0002636F"/>
    <w:rsid w:val="00043295"/>
    <w:rsid w:val="000447B3"/>
    <w:rsid w:val="00047EC6"/>
    <w:rsid w:val="000530B0"/>
    <w:rsid w:val="0005737C"/>
    <w:rsid w:val="00065C50"/>
    <w:rsid w:val="0007566D"/>
    <w:rsid w:val="00082707"/>
    <w:rsid w:val="000836EB"/>
    <w:rsid w:val="00083949"/>
    <w:rsid w:val="00096B46"/>
    <w:rsid w:val="000B7D64"/>
    <w:rsid w:val="000C3BA2"/>
    <w:rsid w:val="000C427C"/>
    <w:rsid w:val="000D04C8"/>
    <w:rsid w:val="000E395F"/>
    <w:rsid w:val="00103141"/>
    <w:rsid w:val="001039F7"/>
    <w:rsid w:val="00111B79"/>
    <w:rsid w:val="00114E38"/>
    <w:rsid w:val="0011546E"/>
    <w:rsid w:val="001177C1"/>
    <w:rsid w:val="0012329C"/>
    <w:rsid w:val="00123955"/>
    <w:rsid w:val="00133768"/>
    <w:rsid w:val="00152045"/>
    <w:rsid w:val="00155D38"/>
    <w:rsid w:val="0015777B"/>
    <w:rsid w:val="001612E6"/>
    <w:rsid w:val="00162337"/>
    <w:rsid w:val="00162BD4"/>
    <w:rsid w:val="00166A7A"/>
    <w:rsid w:val="00167709"/>
    <w:rsid w:val="001705C1"/>
    <w:rsid w:val="0017331C"/>
    <w:rsid w:val="0017621D"/>
    <w:rsid w:val="001B20FB"/>
    <w:rsid w:val="001B44A5"/>
    <w:rsid w:val="001B4A6C"/>
    <w:rsid w:val="001C17F2"/>
    <w:rsid w:val="001C71D2"/>
    <w:rsid w:val="001E0208"/>
    <w:rsid w:val="001E1868"/>
    <w:rsid w:val="001F0479"/>
    <w:rsid w:val="001F4F5E"/>
    <w:rsid w:val="001F6F4E"/>
    <w:rsid w:val="001F79A7"/>
    <w:rsid w:val="00213E9B"/>
    <w:rsid w:val="00216189"/>
    <w:rsid w:val="002167B1"/>
    <w:rsid w:val="00217AB8"/>
    <w:rsid w:val="00221A82"/>
    <w:rsid w:val="00224419"/>
    <w:rsid w:val="00244E99"/>
    <w:rsid w:val="00250910"/>
    <w:rsid w:val="002605BA"/>
    <w:rsid w:val="00264882"/>
    <w:rsid w:val="00267600"/>
    <w:rsid w:val="00267D3D"/>
    <w:rsid w:val="00273CFB"/>
    <w:rsid w:val="0027522B"/>
    <w:rsid w:val="00276D01"/>
    <w:rsid w:val="002840A1"/>
    <w:rsid w:val="002868BC"/>
    <w:rsid w:val="002A1DA5"/>
    <w:rsid w:val="002A5C48"/>
    <w:rsid w:val="002A683C"/>
    <w:rsid w:val="002A6F3C"/>
    <w:rsid w:val="002B673F"/>
    <w:rsid w:val="002C3CD0"/>
    <w:rsid w:val="002C617E"/>
    <w:rsid w:val="002C6C8A"/>
    <w:rsid w:val="002D0273"/>
    <w:rsid w:val="002D20C6"/>
    <w:rsid w:val="002E2CBB"/>
    <w:rsid w:val="002E410D"/>
    <w:rsid w:val="002F0C63"/>
    <w:rsid w:val="002F33DB"/>
    <w:rsid w:val="002F75FA"/>
    <w:rsid w:val="003008B1"/>
    <w:rsid w:val="00304A6C"/>
    <w:rsid w:val="00311C06"/>
    <w:rsid w:val="00312BFE"/>
    <w:rsid w:val="003151B4"/>
    <w:rsid w:val="00323C33"/>
    <w:rsid w:val="003268C1"/>
    <w:rsid w:val="003269D9"/>
    <w:rsid w:val="0034515E"/>
    <w:rsid w:val="0035663E"/>
    <w:rsid w:val="00367406"/>
    <w:rsid w:val="00376AF7"/>
    <w:rsid w:val="00380CB8"/>
    <w:rsid w:val="0038236F"/>
    <w:rsid w:val="00383052"/>
    <w:rsid w:val="00385548"/>
    <w:rsid w:val="003A4A42"/>
    <w:rsid w:val="003A598A"/>
    <w:rsid w:val="003B52B5"/>
    <w:rsid w:val="003C0464"/>
    <w:rsid w:val="003C6A17"/>
    <w:rsid w:val="003D724D"/>
    <w:rsid w:val="003E576A"/>
    <w:rsid w:val="003E6115"/>
    <w:rsid w:val="003E79EA"/>
    <w:rsid w:val="003F3036"/>
    <w:rsid w:val="003F3F38"/>
    <w:rsid w:val="003F400E"/>
    <w:rsid w:val="003F6A5E"/>
    <w:rsid w:val="00410B70"/>
    <w:rsid w:val="00412819"/>
    <w:rsid w:val="00423BEB"/>
    <w:rsid w:val="0043748D"/>
    <w:rsid w:val="0043798F"/>
    <w:rsid w:val="00437FFA"/>
    <w:rsid w:val="004404EF"/>
    <w:rsid w:val="00447BBF"/>
    <w:rsid w:val="004528FB"/>
    <w:rsid w:val="00454FFE"/>
    <w:rsid w:val="004571A6"/>
    <w:rsid w:val="004606C4"/>
    <w:rsid w:val="00460B18"/>
    <w:rsid w:val="004613AD"/>
    <w:rsid w:val="00463F7E"/>
    <w:rsid w:val="00485E52"/>
    <w:rsid w:val="004A15CF"/>
    <w:rsid w:val="004A1CA0"/>
    <w:rsid w:val="004A4BF5"/>
    <w:rsid w:val="004B2B02"/>
    <w:rsid w:val="004B343B"/>
    <w:rsid w:val="004B781A"/>
    <w:rsid w:val="004D48DD"/>
    <w:rsid w:val="004D6517"/>
    <w:rsid w:val="004D6D02"/>
    <w:rsid w:val="004E09F9"/>
    <w:rsid w:val="004E28D3"/>
    <w:rsid w:val="004E634C"/>
    <w:rsid w:val="004F578A"/>
    <w:rsid w:val="004F7C3E"/>
    <w:rsid w:val="00502FF8"/>
    <w:rsid w:val="00504408"/>
    <w:rsid w:val="0050776F"/>
    <w:rsid w:val="00514235"/>
    <w:rsid w:val="00517DF0"/>
    <w:rsid w:val="0052292E"/>
    <w:rsid w:val="00524CDB"/>
    <w:rsid w:val="0052582B"/>
    <w:rsid w:val="005262C7"/>
    <w:rsid w:val="005269E0"/>
    <w:rsid w:val="00531DC6"/>
    <w:rsid w:val="00532229"/>
    <w:rsid w:val="005352CA"/>
    <w:rsid w:val="005447D7"/>
    <w:rsid w:val="00560544"/>
    <w:rsid w:val="00566927"/>
    <w:rsid w:val="00570E8F"/>
    <w:rsid w:val="00572C5D"/>
    <w:rsid w:val="00576F14"/>
    <w:rsid w:val="00583A3C"/>
    <w:rsid w:val="00585063"/>
    <w:rsid w:val="005910CC"/>
    <w:rsid w:val="005979C8"/>
    <w:rsid w:val="005A4FFE"/>
    <w:rsid w:val="005B6BF0"/>
    <w:rsid w:val="005C01E7"/>
    <w:rsid w:val="005C4B00"/>
    <w:rsid w:val="005C6870"/>
    <w:rsid w:val="005F5E2E"/>
    <w:rsid w:val="00600656"/>
    <w:rsid w:val="00603435"/>
    <w:rsid w:val="006204A0"/>
    <w:rsid w:val="00621021"/>
    <w:rsid w:val="006212B3"/>
    <w:rsid w:val="0063216F"/>
    <w:rsid w:val="006354B6"/>
    <w:rsid w:val="00644AA0"/>
    <w:rsid w:val="00650FDA"/>
    <w:rsid w:val="006553F3"/>
    <w:rsid w:val="00663236"/>
    <w:rsid w:val="006729CA"/>
    <w:rsid w:val="006736AA"/>
    <w:rsid w:val="00682A5C"/>
    <w:rsid w:val="006942DF"/>
    <w:rsid w:val="006A1CBB"/>
    <w:rsid w:val="006B0680"/>
    <w:rsid w:val="006B142D"/>
    <w:rsid w:val="006B1A2C"/>
    <w:rsid w:val="006B57D2"/>
    <w:rsid w:val="006C20E2"/>
    <w:rsid w:val="006C5269"/>
    <w:rsid w:val="006C5FD0"/>
    <w:rsid w:val="006D105E"/>
    <w:rsid w:val="006D2C87"/>
    <w:rsid w:val="006D36F7"/>
    <w:rsid w:val="006D416E"/>
    <w:rsid w:val="006E2E33"/>
    <w:rsid w:val="006E6552"/>
    <w:rsid w:val="006E6B2C"/>
    <w:rsid w:val="006F0DB4"/>
    <w:rsid w:val="006F42D6"/>
    <w:rsid w:val="006F5416"/>
    <w:rsid w:val="00703A81"/>
    <w:rsid w:val="00704855"/>
    <w:rsid w:val="00705E61"/>
    <w:rsid w:val="007101C4"/>
    <w:rsid w:val="00715400"/>
    <w:rsid w:val="007160F7"/>
    <w:rsid w:val="00731F03"/>
    <w:rsid w:val="0074076E"/>
    <w:rsid w:val="00742E15"/>
    <w:rsid w:val="00744127"/>
    <w:rsid w:val="00744D65"/>
    <w:rsid w:val="00745ADF"/>
    <w:rsid w:val="00750D0F"/>
    <w:rsid w:val="00753587"/>
    <w:rsid w:val="0075456A"/>
    <w:rsid w:val="007655F9"/>
    <w:rsid w:val="00767332"/>
    <w:rsid w:val="00773523"/>
    <w:rsid w:val="00773629"/>
    <w:rsid w:val="007759B1"/>
    <w:rsid w:val="00776432"/>
    <w:rsid w:val="00780B07"/>
    <w:rsid w:val="00782DEF"/>
    <w:rsid w:val="0078609C"/>
    <w:rsid w:val="00787788"/>
    <w:rsid w:val="00792EE6"/>
    <w:rsid w:val="007A0A91"/>
    <w:rsid w:val="007A3B30"/>
    <w:rsid w:val="007A3D01"/>
    <w:rsid w:val="007B521B"/>
    <w:rsid w:val="007D002C"/>
    <w:rsid w:val="007D14D8"/>
    <w:rsid w:val="007E4E51"/>
    <w:rsid w:val="007E54F9"/>
    <w:rsid w:val="007F7081"/>
    <w:rsid w:val="00801C3B"/>
    <w:rsid w:val="00805E07"/>
    <w:rsid w:val="0081061C"/>
    <w:rsid w:val="00815314"/>
    <w:rsid w:val="00816FA9"/>
    <w:rsid w:val="00821A7F"/>
    <w:rsid w:val="00825C42"/>
    <w:rsid w:val="00825D23"/>
    <w:rsid w:val="00836C2D"/>
    <w:rsid w:val="00844188"/>
    <w:rsid w:val="0085597F"/>
    <w:rsid w:val="008601CF"/>
    <w:rsid w:val="0086331C"/>
    <w:rsid w:val="00863822"/>
    <w:rsid w:val="00866C05"/>
    <w:rsid w:val="008700EC"/>
    <w:rsid w:val="00874A75"/>
    <w:rsid w:val="008832E8"/>
    <w:rsid w:val="00884B65"/>
    <w:rsid w:val="008856F1"/>
    <w:rsid w:val="00886650"/>
    <w:rsid w:val="008879E6"/>
    <w:rsid w:val="008A61B9"/>
    <w:rsid w:val="008B0CA5"/>
    <w:rsid w:val="008C17DA"/>
    <w:rsid w:val="008C4C84"/>
    <w:rsid w:val="008C52A4"/>
    <w:rsid w:val="008C6DAF"/>
    <w:rsid w:val="008C77B0"/>
    <w:rsid w:val="008D2290"/>
    <w:rsid w:val="008F7E78"/>
    <w:rsid w:val="00901782"/>
    <w:rsid w:val="00902836"/>
    <w:rsid w:val="009058A7"/>
    <w:rsid w:val="00907E92"/>
    <w:rsid w:val="00910CEC"/>
    <w:rsid w:val="00911E39"/>
    <w:rsid w:val="00916640"/>
    <w:rsid w:val="009170AA"/>
    <w:rsid w:val="00923833"/>
    <w:rsid w:val="009343F8"/>
    <w:rsid w:val="00934B93"/>
    <w:rsid w:val="00936947"/>
    <w:rsid w:val="00942F6B"/>
    <w:rsid w:val="0094750C"/>
    <w:rsid w:val="0095610F"/>
    <w:rsid w:val="00957020"/>
    <w:rsid w:val="00957205"/>
    <w:rsid w:val="00962564"/>
    <w:rsid w:val="0096423A"/>
    <w:rsid w:val="00972B66"/>
    <w:rsid w:val="009740E2"/>
    <w:rsid w:val="00994257"/>
    <w:rsid w:val="00997D42"/>
    <w:rsid w:val="009C17DE"/>
    <w:rsid w:val="009C2B34"/>
    <w:rsid w:val="009C4BE0"/>
    <w:rsid w:val="009D235B"/>
    <w:rsid w:val="009D356B"/>
    <w:rsid w:val="009D4316"/>
    <w:rsid w:val="009F7CFA"/>
    <w:rsid w:val="00A03B4E"/>
    <w:rsid w:val="00A10347"/>
    <w:rsid w:val="00A237EB"/>
    <w:rsid w:val="00A245EF"/>
    <w:rsid w:val="00A264E7"/>
    <w:rsid w:val="00A318B5"/>
    <w:rsid w:val="00A33442"/>
    <w:rsid w:val="00A37D54"/>
    <w:rsid w:val="00A41226"/>
    <w:rsid w:val="00A451D8"/>
    <w:rsid w:val="00A6165D"/>
    <w:rsid w:val="00A66843"/>
    <w:rsid w:val="00A6711E"/>
    <w:rsid w:val="00A72032"/>
    <w:rsid w:val="00A73E2D"/>
    <w:rsid w:val="00A82CAC"/>
    <w:rsid w:val="00A83A21"/>
    <w:rsid w:val="00A84A78"/>
    <w:rsid w:val="00A91EC9"/>
    <w:rsid w:val="00AA5EDD"/>
    <w:rsid w:val="00AB07D0"/>
    <w:rsid w:val="00AE3F38"/>
    <w:rsid w:val="00AE64D9"/>
    <w:rsid w:val="00AF2133"/>
    <w:rsid w:val="00AF7FDD"/>
    <w:rsid w:val="00B05164"/>
    <w:rsid w:val="00B0623A"/>
    <w:rsid w:val="00B14553"/>
    <w:rsid w:val="00B15EF6"/>
    <w:rsid w:val="00B30438"/>
    <w:rsid w:val="00B35AEF"/>
    <w:rsid w:val="00B42B36"/>
    <w:rsid w:val="00B42B3A"/>
    <w:rsid w:val="00B42C0C"/>
    <w:rsid w:val="00B45319"/>
    <w:rsid w:val="00B47A81"/>
    <w:rsid w:val="00B50F3C"/>
    <w:rsid w:val="00B5387F"/>
    <w:rsid w:val="00B549DC"/>
    <w:rsid w:val="00B57261"/>
    <w:rsid w:val="00B6146A"/>
    <w:rsid w:val="00B64872"/>
    <w:rsid w:val="00B6675A"/>
    <w:rsid w:val="00B703ED"/>
    <w:rsid w:val="00B71BE6"/>
    <w:rsid w:val="00B90411"/>
    <w:rsid w:val="00B92565"/>
    <w:rsid w:val="00B94912"/>
    <w:rsid w:val="00BA134D"/>
    <w:rsid w:val="00BA27D9"/>
    <w:rsid w:val="00BA7D65"/>
    <w:rsid w:val="00BB2728"/>
    <w:rsid w:val="00BB2C71"/>
    <w:rsid w:val="00BB2EF4"/>
    <w:rsid w:val="00BB65EC"/>
    <w:rsid w:val="00BC235D"/>
    <w:rsid w:val="00BC5EE1"/>
    <w:rsid w:val="00C01F3B"/>
    <w:rsid w:val="00C05C05"/>
    <w:rsid w:val="00C15FA8"/>
    <w:rsid w:val="00C24D27"/>
    <w:rsid w:val="00C34F22"/>
    <w:rsid w:val="00C37D21"/>
    <w:rsid w:val="00C40706"/>
    <w:rsid w:val="00C428CF"/>
    <w:rsid w:val="00C43293"/>
    <w:rsid w:val="00C540C8"/>
    <w:rsid w:val="00C57109"/>
    <w:rsid w:val="00C57892"/>
    <w:rsid w:val="00C63698"/>
    <w:rsid w:val="00C70A8B"/>
    <w:rsid w:val="00C70B38"/>
    <w:rsid w:val="00C72871"/>
    <w:rsid w:val="00C80454"/>
    <w:rsid w:val="00C86CB4"/>
    <w:rsid w:val="00C920E9"/>
    <w:rsid w:val="00C923BB"/>
    <w:rsid w:val="00C9322F"/>
    <w:rsid w:val="00C9348C"/>
    <w:rsid w:val="00CB00F1"/>
    <w:rsid w:val="00CB1DC3"/>
    <w:rsid w:val="00CB707A"/>
    <w:rsid w:val="00CC5C5F"/>
    <w:rsid w:val="00CD3756"/>
    <w:rsid w:val="00CD3E1D"/>
    <w:rsid w:val="00CD57FE"/>
    <w:rsid w:val="00CE1315"/>
    <w:rsid w:val="00CE4BB1"/>
    <w:rsid w:val="00CE50D4"/>
    <w:rsid w:val="00CF0939"/>
    <w:rsid w:val="00CF54D6"/>
    <w:rsid w:val="00D05F1A"/>
    <w:rsid w:val="00D22A05"/>
    <w:rsid w:val="00D23E2D"/>
    <w:rsid w:val="00D26EEB"/>
    <w:rsid w:val="00D400E7"/>
    <w:rsid w:val="00D42549"/>
    <w:rsid w:val="00D56F90"/>
    <w:rsid w:val="00D56FBA"/>
    <w:rsid w:val="00D607B9"/>
    <w:rsid w:val="00D649A6"/>
    <w:rsid w:val="00D65144"/>
    <w:rsid w:val="00D8324F"/>
    <w:rsid w:val="00D93EBA"/>
    <w:rsid w:val="00DA6C12"/>
    <w:rsid w:val="00DB251E"/>
    <w:rsid w:val="00DB70A0"/>
    <w:rsid w:val="00DB73AC"/>
    <w:rsid w:val="00DC1546"/>
    <w:rsid w:val="00DC5BC3"/>
    <w:rsid w:val="00DE0701"/>
    <w:rsid w:val="00DE2585"/>
    <w:rsid w:val="00DE60A2"/>
    <w:rsid w:val="00DF1DB2"/>
    <w:rsid w:val="00DF3730"/>
    <w:rsid w:val="00DF53FD"/>
    <w:rsid w:val="00E00CB5"/>
    <w:rsid w:val="00E0269D"/>
    <w:rsid w:val="00E10B31"/>
    <w:rsid w:val="00E1279C"/>
    <w:rsid w:val="00E161F3"/>
    <w:rsid w:val="00E221AA"/>
    <w:rsid w:val="00E229EF"/>
    <w:rsid w:val="00E24DCD"/>
    <w:rsid w:val="00E35298"/>
    <w:rsid w:val="00E4240C"/>
    <w:rsid w:val="00E4301A"/>
    <w:rsid w:val="00E624AA"/>
    <w:rsid w:val="00E65996"/>
    <w:rsid w:val="00E66F17"/>
    <w:rsid w:val="00E97142"/>
    <w:rsid w:val="00EA1B4A"/>
    <w:rsid w:val="00EA3A64"/>
    <w:rsid w:val="00EA745C"/>
    <w:rsid w:val="00EB6363"/>
    <w:rsid w:val="00EC2E17"/>
    <w:rsid w:val="00EC3895"/>
    <w:rsid w:val="00EC4636"/>
    <w:rsid w:val="00ED1002"/>
    <w:rsid w:val="00ED36A2"/>
    <w:rsid w:val="00EE1865"/>
    <w:rsid w:val="00EE19A6"/>
    <w:rsid w:val="00EE25C3"/>
    <w:rsid w:val="00EF0315"/>
    <w:rsid w:val="00EF0915"/>
    <w:rsid w:val="00EF51A4"/>
    <w:rsid w:val="00EF542B"/>
    <w:rsid w:val="00F04041"/>
    <w:rsid w:val="00F0573E"/>
    <w:rsid w:val="00F07D0A"/>
    <w:rsid w:val="00F101AC"/>
    <w:rsid w:val="00F115E1"/>
    <w:rsid w:val="00F150ED"/>
    <w:rsid w:val="00F3049B"/>
    <w:rsid w:val="00F357EC"/>
    <w:rsid w:val="00F41643"/>
    <w:rsid w:val="00F5027E"/>
    <w:rsid w:val="00F5592F"/>
    <w:rsid w:val="00F6239E"/>
    <w:rsid w:val="00F62B41"/>
    <w:rsid w:val="00F62BB8"/>
    <w:rsid w:val="00F80C49"/>
    <w:rsid w:val="00F85A42"/>
    <w:rsid w:val="00F90DFB"/>
    <w:rsid w:val="00F94914"/>
    <w:rsid w:val="00FB19FA"/>
    <w:rsid w:val="00FB2D94"/>
    <w:rsid w:val="00FB7B61"/>
    <w:rsid w:val="00FC0F12"/>
    <w:rsid w:val="00FC2E1A"/>
    <w:rsid w:val="00FD18A8"/>
    <w:rsid w:val="00FD5EA7"/>
    <w:rsid w:val="00FE127E"/>
    <w:rsid w:val="00FE651A"/>
    <w:rsid w:val="00FF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A31D1"/>
  <w15:chartTrackingRefBased/>
  <w15:docId w15:val="{8BC18EC1-2E2B-489E-9986-1C518956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1DC3"/>
    <w:pPr>
      <w:spacing w:line="276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54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54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5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5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5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5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5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5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C154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C154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C154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C154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C154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C154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C154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C154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C15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54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C154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5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C1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54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C15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5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5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54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C15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546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316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D4316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4316"/>
    <w:rPr>
      <w:vertAlign w:val="superscript"/>
    </w:rPr>
  </w:style>
  <w:style w:type="paragraph" w:styleId="Revision">
    <w:name w:val="Revision"/>
    <w:hidden/>
    <w:uiPriority w:val="99"/>
    <w:semiHidden/>
    <w:rsid w:val="005910CC"/>
    <w:pPr>
      <w:spacing w:after="0" w:line="240" w:lineRule="auto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5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4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4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6F31E-6689-4F90-A71C-BD9DFA431E25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Pages>2</ap:Pages>
  <ap:Words>949</ap:Words>
  <ap:Characters>5413</ap:Characters>
  <ap:Application>Microsoft Office Word</ap:Application>
  <ap:Lines>45</ap:Lines>
  <ap:Paragraphs>12</ap:Paragraphs>
  <ap:ScaleCrop>false</ap:ScaleCrop>
  <ap:LinksUpToDate>false</ap:LinksUpToDate>
  <ap:CharactersWithSpaces>6350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2024-02-06T11:24:45.0000000Z</lastPrinted>
  <dcterms:created xsi:type="dcterms:W3CDTF">2024-02-06T11:24:45.0000000Z</dcterms:created>
  <dcterms:modified xsi:type="dcterms:W3CDTF">2024-02-06T11:24:45.0000000Z</dcterms:modified>
</coreProperties>
</file>