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WRITING TOPIC BRAIN DRAIN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Link bài tập: https://www.ieltstutor.vn/blog/so-tay-tu-vung-writing-topic-brain-drain 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Từ vựng topic tham khảo thêm: https://www.ieltsdanang.vn/blog/ielts-tu-vung-topic-brain-drain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Học viên hoàn thiện các ô trống theo những từ đã được IELTS TUTOR chọn sẵn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Sổ tay từ vựng writing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https://docs.google.com/document/d/1uYCI5a6S2yamHablzN5f6QGyKszCgF_s/edit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935"/>
        <w:gridCol w:w="1815"/>
        <w:gridCol w:w="3030"/>
        <w:gridCol w:w="1965"/>
        <w:gridCol w:w="2040"/>
        <w:gridCol w:w="2130"/>
        <w:tblGridChange w:id="0">
          <w:tblGrid>
            <w:gridCol w:w="690"/>
            <w:gridCol w:w="1935"/>
            <w:gridCol w:w="1815"/>
            <w:gridCol w:w="3030"/>
            <w:gridCol w:w="1965"/>
            <w:gridCol w:w="2040"/>
            <w:gridCol w:w="213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trọng tâm của 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mà học viên tự viết ứng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/ Cụm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be on a balanced diet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Following a balanced diet is necessary for modern people, especially office workers who have to sit at their desks for a very long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 a sedentary lifestyle 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careful dieting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suffer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illegal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persecution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justice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victimize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prosperous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conflict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determining 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intellectual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competitiveness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dynamic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entrepreneur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alleviate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relocate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technical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favorable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mechanism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acquaint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patriotism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unfair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WRITING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YCI5a6S2yamHablzN5f6QGyKszCgF_s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cach-hoc-vocabulary-nho-lau-ielts" TargetMode="External"/><Relationship Id="rId8" Type="http://schemas.openxmlformats.org/officeDocument/2006/relationships/hyperlink" Target="https://www.ieltstutor.me/blog/tu-dien-phai-hoc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oUz6HWa2Up0R75muNoULYlItrA==">AMUW2mUzP1bPUjLM7ER1PEWI2qm/3F4cQQskS6rFc5d35E44gi8/Baz3ITl74lFPJs3Wse1Hhfh2C0Bemao0QBpWDZfE0L6roj1fu8DGaswVenY4hSf5tew=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