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WORK 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https://www.ieltstutor.vn/blog/so-tay-tu-vung-writing-topic-work?categoryId=638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https://www.ieltsdanang.vn/blog/ielts-speaking-tu-vung-topic-work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widespread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breadwinner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cover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compete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rivalry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efficiency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accumulate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training (noun)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analyze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workplace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require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primarily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nurture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workforce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peak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mature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appreciate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cloud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impressionable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supportive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MCdmRDQ+HvRP2UDy4sxYY6vFAQ==">AMUW2mXKknVerG84W0cof9Oe6VFzR9rPp4vhDP9xrZ3+/feEkPACTNKd7VJfg9ddI6dKTQ+13cicV8Xgxe4aWJvBMH/Esh0TmV1g1IktUrp0zeX/0Wq69aE=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