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F23ED" w14:textId="77777777" w:rsidR="003370CF" w:rsidRPr="00B6651B" w:rsidRDefault="003370CF" w:rsidP="003370CF">
      <w:pPr>
        <w:rPr>
          <w:rStyle w:val="Strong"/>
          <w:b w:val="0"/>
          <w:bCs w:val="0"/>
          <w:u w:val="single"/>
          <w:shd w:val="clear" w:color="auto" w:fill="FFFFFF"/>
        </w:rPr>
      </w:pPr>
    </w:p>
    <w:p w14:paraId="0D2855DD" w14:textId="235191CE" w:rsidR="003370CF" w:rsidRPr="00B6651B" w:rsidRDefault="003370CF" w:rsidP="003370CF">
      <w:pPr>
        <w:jc w:val="center"/>
        <w:rPr>
          <w:rStyle w:val="Strong"/>
          <w:b w:val="0"/>
          <w:bCs w:val="0"/>
          <w:u w:val="single"/>
          <w:shd w:val="clear" w:color="auto" w:fill="FFFFFF"/>
        </w:rPr>
      </w:pPr>
      <w:r w:rsidRPr="00B6651B">
        <w:rPr>
          <w:rStyle w:val="Strong"/>
          <w:b w:val="0"/>
          <w:bCs w:val="0"/>
          <w:u w:val="single"/>
          <w:shd w:val="clear" w:color="auto" w:fill="FFFFFF"/>
        </w:rPr>
        <w:t>Pastiche versus Quotation: A Tale of Two Exceptions?</w:t>
      </w:r>
    </w:p>
    <w:p w14:paraId="281F21AE" w14:textId="59C24214" w:rsidR="0017621D" w:rsidRPr="00B6651B" w:rsidRDefault="003370CF" w:rsidP="00597AD2">
      <w:pPr>
        <w:spacing w:before="240" w:line="360" w:lineRule="auto"/>
      </w:pPr>
      <w:r w:rsidRPr="00B6651B">
        <w:t>On 9</w:t>
      </w:r>
      <w:r w:rsidRPr="00B6651B">
        <w:rPr>
          <w:vertAlign w:val="superscript"/>
        </w:rPr>
        <w:t>th</w:t>
      </w:r>
      <w:r w:rsidRPr="00B6651B">
        <w:t xml:space="preserve"> May 2024, BLACA hosted ‘Pastiche versus Quotation: A Tale of Two Exceptions’, where Brigitte Lindner and Professor Tanya Aplin examined the </w:t>
      </w:r>
      <w:r w:rsidR="00573955" w:rsidRPr="00B6651B">
        <w:t xml:space="preserve">purpose and scope of the </w:t>
      </w:r>
      <w:r w:rsidRPr="00B6651B">
        <w:t>pastiche exception from a UK and international perspective. Ms Lindner</w:t>
      </w:r>
      <w:r w:rsidR="00573955" w:rsidRPr="00B6651B">
        <w:t xml:space="preserve"> provided a comparative analysis of the pastiche exception in EU Member States, while Professor Aplin </w:t>
      </w:r>
      <w:r w:rsidR="00465ACF">
        <w:t>presented</w:t>
      </w:r>
      <w:r w:rsidR="00573955" w:rsidRPr="00B6651B">
        <w:rPr>
          <w:b/>
          <w:bCs/>
        </w:rPr>
        <w:t xml:space="preserve"> </w:t>
      </w:r>
      <w:r w:rsidR="00573955" w:rsidRPr="00B6651B">
        <w:t>her</w:t>
      </w:r>
      <w:r w:rsidR="00465ACF">
        <w:t xml:space="preserve"> </w:t>
      </w:r>
      <w:r w:rsidR="00573955" w:rsidRPr="00B6651B">
        <w:t xml:space="preserve">proposal of pastiche as a subset of the quotation exception. </w:t>
      </w:r>
    </w:p>
    <w:p w14:paraId="1E373839" w14:textId="6A9C17D4" w:rsidR="00B6651B" w:rsidRPr="00EF09ED" w:rsidRDefault="00734D62" w:rsidP="003370CF">
      <w:pPr>
        <w:spacing w:line="360" w:lineRule="auto"/>
        <w:rPr>
          <w:i/>
          <w:iCs/>
        </w:rPr>
      </w:pPr>
      <w:r w:rsidRPr="00B6651B">
        <w:t xml:space="preserve">Ms Lindner began by examining the origins of the pastiche exception in the EU, noting the significant influence of French legislators. </w:t>
      </w:r>
      <w:r w:rsidR="00F34A6F">
        <w:t>P</w:t>
      </w:r>
      <w:r w:rsidR="00B6651B">
        <w:t xml:space="preserve">astiche works can be traced back to the French writer Marcel Proust in the 1920s, </w:t>
      </w:r>
      <w:r w:rsidR="00B6651B">
        <w:rPr>
          <w:i/>
          <w:iCs/>
        </w:rPr>
        <w:t>Pastiches et M</w:t>
      </w:r>
      <w:r w:rsidR="00AC13E4">
        <w:rPr>
          <w:i/>
          <w:iCs/>
          <w:lang w:val="de-CH"/>
        </w:rPr>
        <w:t>é</w:t>
      </w:r>
      <w:proofErr w:type="spellStart"/>
      <w:r w:rsidR="00B6651B">
        <w:rPr>
          <w:i/>
          <w:iCs/>
        </w:rPr>
        <w:t>langes</w:t>
      </w:r>
      <w:proofErr w:type="spellEnd"/>
      <w:r w:rsidR="00F34A6F">
        <w:t>, and the exception first appeared in 1957</w:t>
      </w:r>
      <w:r w:rsidR="00B6651B">
        <w:t>. In practice, pastiche is treated as a sub-category of parod</w:t>
      </w:r>
      <w:r w:rsidR="00465ACF">
        <w:t xml:space="preserve">y, and </w:t>
      </w:r>
      <w:r w:rsidR="00EF09ED">
        <w:t>specific conditions have emerged such as</w:t>
      </w:r>
      <w:r w:rsidR="00465ACF">
        <w:t xml:space="preserve"> </w:t>
      </w:r>
      <w:r w:rsidR="00EF09ED">
        <w:t>(</w:t>
      </w:r>
      <w:proofErr w:type="spellStart"/>
      <w:r w:rsidR="00EF09ED">
        <w:t>i</w:t>
      </w:r>
      <w:proofErr w:type="spellEnd"/>
      <w:r w:rsidR="00EF09ED">
        <w:t>) no risk of confusion; (ii) humour; and (iii) compatibility with fair practice</w:t>
      </w:r>
      <w:r w:rsidR="00465ACF">
        <w:t xml:space="preserve">. </w:t>
      </w:r>
      <w:r w:rsidR="00EF09ED">
        <w:t xml:space="preserve">Ms Lindner </w:t>
      </w:r>
      <w:r w:rsidR="00EF09ED" w:rsidRPr="00465ACF">
        <w:t>observed</w:t>
      </w:r>
      <w:r w:rsidR="00EF09ED">
        <w:rPr>
          <w:b/>
          <w:bCs/>
        </w:rPr>
        <w:t xml:space="preserve"> </w:t>
      </w:r>
      <w:r w:rsidR="00EF09ED">
        <w:t>a subtle difference in terminology between parody and pastiche cases</w:t>
      </w:r>
      <w:r w:rsidR="00F34A6F">
        <w:t xml:space="preserve"> – ‘</w:t>
      </w:r>
      <w:r w:rsidR="00EF09ED">
        <w:rPr>
          <w:i/>
          <w:iCs/>
        </w:rPr>
        <w:t xml:space="preserve">intention de faire </w:t>
      </w:r>
      <w:proofErr w:type="spellStart"/>
      <w:r w:rsidR="00EF09ED">
        <w:rPr>
          <w:i/>
          <w:iCs/>
        </w:rPr>
        <w:t>rire</w:t>
      </w:r>
      <w:proofErr w:type="spellEnd"/>
      <w:r w:rsidR="00F34A6F">
        <w:t>’</w:t>
      </w:r>
      <w:r w:rsidR="00EF09ED">
        <w:rPr>
          <w:i/>
          <w:iCs/>
        </w:rPr>
        <w:t xml:space="preserve"> </w:t>
      </w:r>
      <w:r w:rsidR="00EF09ED">
        <w:t xml:space="preserve">(intention to make one laugh) </w:t>
      </w:r>
      <w:r w:rsidR="00F34A6F">
        <w:t>vs</w:t>
      </w:r>
      <w:r w:rsidR="00EF09ED">
        <w:t xml:space="preserve"> </w:t>
      </w:r>
      <w:r w:rsidR="00F34A6F">
        <w:t>‘</w:t>
      </w:r>
      <w:r w:rsidR="00EF09ED">
        <w:rPr>
          <w:i/>
          <w:iCs/>
        </w:rPr>
        <w:t xml:space="preserve">intention de faire </w:t>
      </w:r>
      <w:proofErr w:type="spellStart"/>
      <w:r w:rsidR="00EF09ED">
        <w:rPr>
          <w:i/>
          <w:iCs/>
        </w:rPr>
        <w:t>sourir</w:t>
      </w:r>
      <w:r w:rsidR="00CD1476">
        <w:rPr>
          <w:i/>
          <w:iCs/>
        </w:rPr>
        <w:t>e</w:t>
      </w:r>
      <w:proofErr w:type="spellEnd"/>
      <w:r w:rsidR="00F34A6F">
        <w:rPr>
          <w:i/>
          <w:iCs/>
        </w:rPr>
        <w:t>’</w:t>
      </w:r>
      <w:r w:rsidR="00EF09ED">
        <w:rPr>
          <w:i/>
          <w:iCs/>
        </w:rPr>
        <w:t xml:space="preserve"> </w:t>
      </w:r>
      <w:r w:rsidR="00EF09ED">
        <w:t xml:space="preserve">(intention to make one smile) </w:t>
      </w:r>
      <w:r w:rsidR="00F34A6F">
        <w:t xml:space="preserve">– </w:t>
      </w:r>
      <w:r w:rsidR="00EF09ED">
        <w:t xml:space="preserve">perhaps suggesting that </w:t>
      </w:r>
      <w:r w:rsidR="00F34A6F">
        <w:t>courts</w:t>
      </w:r>
      <w:r w:rsidR="00EF09ED">
        <w:t xml:space="preserve"> acknowledge a difference</w:t>
      </w:r>
      <w:r w:rsidR="00465ACF">
        <w:t xml:space="preserve"> between these </w:t>
      </w:r>
      <w:r w:rsidR="00B67961">
        <w:t>exceptions</w:t>
      </w:r>
      <w:r w:rsidR="00EF09ED">
        <w:t xml:space="preserve">. </w:t>
      </w:r>
    </w:p>
    <w:p w14:paraId="009947B5" w14:textId="7FB91AAC" w:rsidR="00F34A6F" w:rsidRDefault="003D266B" w:rsidP="003370CF">
      <w:pPr>
        <w:spacing w:line="360" w:lineRule="auto"/>
      </w:pPr>
      <w:r w:rsidRPr="00B6651B">
        <w:rPr>
          <w:noProof/>
        </w:rPr>
        <w:drawing>
          <wp:anchor distT="0" distB="0" distL="114300" distR="114300" simplePos="0" relativeHeight="251658240" behindDoc="0" locked="0" layoutInCell="1" allowOverlap="1" wp14:anchorId="55BB7010" wp14:editId="1D8CC494">
            <wp:simplePos x="0" y="0"/>
            <wp:positionH relativeFrom="margin">
              <wp:align>left</wp:align>
            </wp:positionH>
            <wp:positionV relativeFrom="margin">
              <wp:posOffset>6753860</wp:posOffset>
            </wp:positionV>
            <wp:extent cx="5486400" cy="2679700"/>
            <wp:effectExtent l="0" t="0" r="0" b="6350"/>
            <wp:wrapSquare wrapText="bothSides"/>
            <wp:docPr id="1804754036" name="Picture 1" descr="A screenshot of a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4036" name="Picture 1" descr="A screenshot of a calenda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076" cy="268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D62" w:rsidRPr="00B6651B">
        <w:t>At the behest of France, caricature, parody and pastiche received protection a</w:t>
      </w:r>
      <w:r w:rsidR="00B67961">
        <w:t>cross Europe</w:t>
      </w:r>
      <w:r w:rsidR="00734D62" w:rsidRPr="00B6651B">
        <w:t xml:space="preserve"> through Article 5(3)(k) Directive 2001/29/EC (‘InfoSoc’). </w:t>
      </w:r>
      <w:r w:rsidR="00465ACF">
        <w:t>I</w:t>
      </w:r>
      <w:r w:rsidR="00734D62" w:rsidRPr="00B6651B">
        <w:t xml:space="preserve">mplementation of this provision was optional for a number of years until the </w:t>
      </w:r>
      <w:r w:rsidR="00B67961">
        <w:t>adoption</w:t>
      </w:r>
      <w:r w:rsidR="00734D62" w:rsidRPr="00B6651B">
        <w:t xml:space="preserve"> of Article 17(7)(2) Directive 2019/790 (‘DSM Directive’). This directive partially </w:t>
      </w:r>
      <w:r w:rsidR="00B67961">
        <w:t>rendered</w:t>
      </w:r>
      <w:r w:rsidR="00734D62" w:rsidRPr="00B6651B">
        <w:t xml:space="preserve"> the pastiche exception mandatory – though only in the context of user-generated content uploaded to ‘online</w:t>
      </w:r>
      <w:r w:rsidR="00AC13E4">
        <w:t xml:space="preserve"> </w:t>
      </w:r>
      <w:r w:rsidR="00734D62" w:rsidRPr="00B6651B">
        <w:t>content</w:t>
      </w:r>
      <w:r w:rsidR="00AC13E4">
        <w:t>-</w:t>
      </w:r>
      <w:r w:rsidR="00734D62" w:rsidRPr="00B6651B">
        <w:t xml:space="preserve">sharing services’. Ms Lindner provided a comprehensive account of EU Member States’ implementation of the pastiche exception </w:t>
      </w:r>
      <w:r w:rsidR="00597AD2" w:rsidRPr="00B6651B">
        <w:t>pre- and post- InfoSoc and the DSM Directive, illustrating a large disparity between Member States:</w:t>
      </w:r>
    </w:p>
    <w:p w14:paraId="2CE562C0" w14:textId="05BDA9EB" w:rsidR="00E94DC0" w:rsidRDefault="00597AD2" w:rsidP="003370CF">
      <w:pPr>
        <w:spacing w:line="360" w:lineRule="auto"/>
      </w:pPr>
      <w:r w:rsidRPr="00B6651B">
        <w:lastRenderedPageBreak/>
        <w:t xml:space="preserve">Ms Lindner also examined the wide range of approaches to implementation, highlighting that despite the Directives, the pastiche exception is far from harmonised across the EU. </w:t>
      </w:r>
      <w:r w:rsidR="00465ACF">
        <w:t>Four</w:t>
      </w:r>
      <w:r w:rsidRPr="00B6651B">
        <w:t xml:space="preserve"> distinct approaches</w:t>
      </w:r>
      <w:r w:rsidR="00465ACF">
        <w:t xml:space="preserve"> </w:t>
      </w:r>
      <w:r w:rsidR="00F34A6F">
        <w:t>can be seen</w:t>
      </w:r>
      <w:r w:rsidRPr="00B6651B">
        <w:t>: (</w:t>
      </w:r>
      <w:proofErr w:type="spellStart"/>
      <w:r w:rsidRPr="00B6651B">
        <w:t>i</w:t>
      </w:r>
      <w:proofErr w:type="spellEnd"/>
      <w:r w:rsidRPr="00B6651B">
        <w:t>) standalone provision</w:t>
      </w:r>
      <w:r w:rsidR="00F34A6F">
        <w:t>s</w:t>
      </w:r>
      <w:r w:rsidRPr="00B6651B">
        <w:t xml:space="preserve"> dedicated to parody</w:t>
      </w:r>
      <w:r w:rsidR="00465ACF">
        <w:t xml:space="preserve">, </w:t>
      </w:r>
      <w:r w:rsidRPr="00B6651B">
        <w:t>caricature and</w:t>
      </w:r>
      <w:r w:rsidR="00465ACF">
        <w:t xml:space="preserve"> </w:t>
      </w:r>
      <w:r w:rsidRPr="00B6651B">
        <w:t xml:space="preserve">pastiche; (ii) pastiche as a subgroup of quotation; (iii) reference to transformation or adaptation; and (iv) part of fair dealing. Ms Lindner </w:t>
      </w:r>
      <w:r w:rsidR="00B6651B" w:rsidRPr="00B6651B">
        <w:t>observed various conditions of protection, including:</w:t>
      </w:r>
      <w:r w:rsidR="00EF09ED">
        <w:t xml:space="preserve"> </w:t>
      </w:r>
      <w:r w:rsidR="00B6651B" w:rsidRPr="00B6651B">
        <w:t xml:space="preserve">disclosure; publication; fair practice; necessary/justified/motivated </w:t>
      </w:r>
      <w:r w:rsidR="00B6651B" w:rsidRPr="00B6651B">
        <w:rPr>
          <w:i/>
          <w:iCs/>
        </w:rPr>
        <w:t xml:space="preserve">for the purpose of </w:t>
      </w:r>
      <w:r w:rsidR="00B6651B" w:rsidRPr="00B6651B">
        <w:t>pastiche;</w:t>
      </w:r>
      <w:r w:rsidR="00E94DC0">
        <w:t xml:space="preserve"> and</w:t>
      </w:r>
      <w:r w:rsidR="00B6651B" w:rsidRPr="00B6651B">
        <w:t xml:space="preserve"> humour, mockery or critique</w:t>
      </w:r>
      <w:r w:rsidR="00E94DC0">
        <w:t xml:space="preserve"> </w:t>
      </w:r>
      <w:r w:rsidR="00E94DC0">
        <w:rPr>
          <w:i/>
          <w:iCs/>
        </w:rPr>
        <w:t>inter alia</w:t>
      </w:r>
      <w:r w:rsidR="00B6651B" w:rsidRPr="00B6651B">
        <w:t xml:space="preserve">. </w:t>
      </w:r>
    </w:p>
    <w:p w14:paraId="2C9F40C8" w14:textId="311F65F4" w:rsidR="00597AD2" w:rsidRDefault="00F34A6F" w:rsidP="003370CF">
      <w:pPr>
        <w:spacing w:line="360" w:lineRule="auto"/>
      </w:pPr>
      <w:r>
        <w:t xml:space="preserve">Ms Lindner illuminated </w:t>
      </w:r>
      <w:r w:rsidR="00E94DC0">
        <w:t>Germany</w:t>
      </w:r>
      <w:r>
        <w:t>’s</w:t>
      </w:r>
      <w:r w:rsidR="00E94DC0">
        <w:t xml:space="preserve"> unconventional approach to pastiche, having only provided</w:t>
      </w:r>
      <w:r w:rsidR="00EF09ED">
        <w:t xml:space="preserve"> a specific pastiche exception post-DSM. Prior to 2021, </w:t>
      </w:r>
      <w:r w:rsidR="00EF09ED" w:rsidRPr="00EF09ED">
        <w:t>§</w:t>
      </w:r>
      <w:r w:rsidR="00EF09ED">
        <w:t xml:space="preserve">24 </w:t>
      </w:r>
      <w:proofErr w:type="spellStart"/>
      <w:r w:rsidR="00EF09ED">
        <w:t>aF</w:t>
      </w:r>
      <w:proofErr w:type="spellEnd"/>
      <w:r w:rsidR="00EF09ED">
        <w:t xml:space="preserve"> on Author’s Right </w:t>
      </w:r>
      <w:proofErr w:type="spellStart"/>
      <w:r w:rsidR="001B1040" w:rsidRPr="001B1040">
        <w:t>Urheberrechtsgesetz</w:t>
      </w:r>
      <w:proofErr w:type="spellEnd"/>
      <w:r w:rsidR="001B1040">
        <w:t xml:space="preserve"> (</w:t>
      </w:r>
      <w:proofErr w:type="spellStart"/>
      <w:r w:rsidR="001B1040">
        <w:t>UrhG</w:t>
      </w:r>
      <w:proofErr w:type="spellEnd"/>
      <w:r w:rsidR="001B1040">
        <w:t xml:space="preserve">) provided a ‘free use’ </w:t>
      </w:r>
      <w:r w:rsidR="00B67961">
        <w:t xml:space="preserve">provision </w:t>
      </w:r>
      <w:r w:rsidR="001B1040">
        <w:t xml:space="preserve">for works which were ‘inspired’ by another, but </w:t>
      </w:r>
      <w:r w:rsidR="00E94DC0">
        <w:t xml:space="preserve">where the </w:t>
      </w:r>
      <w:r w:rsidR="001B1040">
        <w:t xml:space="preserve">original work is ‘fading’. </w:t>
      </w:r>
      <w:r>
        <w:t>Where</w:t>
      </w:r>
      <w:r w:rsidR="001B1040">
        <w:t xml:space="preserve"> there is no fading</w:t>
      </w:r>
      <w:r>
        <w:t>,</w:t>
      </w:r>
      <w:r w:rsidR="001B1040">
        <w:t xml:space="preserve"> the new work would be considered infringing. </w:t>
      </w:r>
      <w:r w:rsidR="00486E16">
        <w:t xml:space="preserve">This provision was considered incompatible with Art 5(3) InfoSoc since it </w:t>
      </w:r>
      <w:r w:rsidR="00AC13E4">
        <w:t>was</w:t>
      </w:r>
      <w:r w:rsidR="00486E16">
        <w:t xml:space="preserve"> not </w:t>
      </w:r>
      <w:r w:rsidR="00AC13E4">
        <w:t xml:space="preserve">covered by the </w:t>
      </w:r>
      <w:r w:rsidR="00486E16">
        <w:t>exhaustive</w:t>
      </w:r>
      <w:r w:rsidR="00AC13E4">
        <w:t xml:space="preserve"> list</w:t>
      </w:r>
      <w:r w:rsidR="00290EA8">
        <w:t xml:space="preserve"> of exceptions</w:t>
      </w:r>
      <w:r w:rsidR="00486E16">
        <w:t xml:space="preserve">, and </w:t>
      </w:r>
      <w:r w:rsidR="00486E16" w:rsidRPr="00486E16">
        <w:t>§</w:t>
      </w:r>
      <w:r w:rsidR="00486E16">
        <w:t xml:space="preserve">23 </w:t>
      </w:r>
      <w:proofErr w:type="spellStart"/>
      <w:r w:rsidR="00486E16">
        <w:t>UrhG</w:t>
      </w:r>
      <w:proofErr w:type="spellEnd"/>
      <w:r w:rsidR="00B67961">
        <w:t xml:space="preserve"> </w:t>
      </w:r>
      <w:r w:rsidR="00AC13E4">
        <w:t xml:space="preserve">governing adaptation </w:t>
      </w:r>
      <w:r w:rsidR="00B67961">
        <w:t>was subsequently</w:t>
      </w:r>
      <w:r w:rsidR="00AC13E4">
        <w:t xml:space="preserve"> amended</w:t>
      </w:r>
      <w:r w:rsidR="00486E16">
        <w:t xml:space="preserve">. Yet, Ms Lindner aptly pointed out that this provision is effectively a rewording of the </w:t>
      </w:r>
      <w:r w:rsidR="00E94DC0">
        <w:t xml:space="preserve">former </w:t>
      </w:r>
      <w:r w:rsidR="00E94DC0" w:rsidRPr="00EF09ED">
        <w:t>§</w:t>
      </w:r>
      <w:r w:rsidR="00E94DC0">
        <w:t>24</w:t>
      </w:r>
      <w:r>
        <w:t xml:space="preserve">. </w:t>
      </w:r>
      <w:r w:rsidR="00486E16">
        <w:t xml:space="preserve">Following the DSM Directive, </w:t>
      </w:r>
      <w:r w:rsidR="00486E16" w:rsidRPr="00486E16">
        <w:t>§</w:t>
      </w:r>
      <w:r w:rsidR="00486E16">
        <w:t xml:space="preserve">51a </w:t>
      </w:r>
      <w:proofErr w:type="spellStart"/>
      <w:r w:rsidR="00486E16">
        <w:t>UrhG</w:t>
      </w:r>
      <w:proofErr w:type="spellEnd"/>
      <w:r w:rsidR="00486E16">
        <w:t xml:space="preserve"> </w:t>
      </w:r>
      <w:r w:rsidR="003D266B">
        <w:t xml:space="preserve">introduced a specific pastiche exception. Notably, it </w:t>
      </w:r>
      <w:r w:rsidR="00486E16">
        <w:t xml:space="preserve">has already been invoked in </w:t>
      </w:r>
      <w:r w:rsidR="003D266B">
        <w:t>five</w:t>
      </w:r>
      <w:r w:rsidR="00486E16">
        <w:t xml:space="preserve"> cases since 2021, the most </w:t>
      </w:r>
      <w:r w:rsidR="003D266B">
        <w:t>significant</w:t>
      </w:r>
      <w:r w:rsidR="00486E16">
        <w:t xml:space="preserve"> being </w:t>
      </w:r>
      <w:proofErr w:type="spellStart"/>
      <w:r w:rsidR="00486E16">
        <w:rPr>
          <w:i/>
          <w:iCs/>
        </w:rPr>
        <w:t>Metall</w:t>
      </w:r>
      <w:proofErr w:type="spellEnd"/>
      <w:r w:rsidR="00486E16">
        <w:rPr>
          <w:i/>
          <w:iCs/>
        </w:rPr>
        <w:t xml:space="preserve"> auf </w:t>
      </w:r>
      <w:proofErr w:type="spellStart"/>
      <w:r w:rsidR="00486E16">
        <w:rPr>
          <w:i/>
          <w:iCs/>
        </w:rPr>
        <w:t>Metall</w:t>
      </w:r>
      <w:proofErr w:type="spellEnd"/>
      <w:r w:rsidR="00486E16">
        <w:rPr>
          <w:i/>
          <w:iCs/>
        </w:rPr>
        <w:t xml:space="preserve"> </w:t>
      </w:r>
      <w:r w:rsidR="00486E16">
        <w:t>(‘</w:t>
      </w:r>
      <w:r w:rsidR="00486E16">
        <w:rPr>
          <w:i/>
          <w:iCs/>
        </w:rPr>
        <w:t>Pelham’</w:t>
      </w:r>
      <w:r w:rsidR="00486E16">
        <w:t>).</w:t>
      </w:r>
      <w:r w:rsidR="00486E16">
        <w:rPr>
          <w:rStyle w:val="FootnoteReference"/>
        </w:rPr>
        <w:footnoteReference w:id="1"/>
      </w:r>
      <w:r w:rsidR="00486E16">
        <w:t xml:space="preserve"> Here, the Federal Court referred several questions to the CJEU, including: (</w:t>
      </w:r>
      <w:proofErr w:type="spellStart"/>
      <w:r w:rsidR="00486E16">
        <w:t>i</w:t>
      </w:r>
      <w:proofErr w:type="spellEnd"/>
      <w:r w:rsidR="00486E16">
        <w:t xml:space="preserve">) whether </w:t>
      </w:r>
      <w:r w:rsidR="00776709">
        <w:t>Art 5(3)(k) InfoSoc can be considered a catch-all clause for artistic engagement with pre-existing works</w:t>
      </w:r>
      <w:r w:rsidR="003816AA">
        <w:t xml:space="preserve">; (ii) whether pastiche is subject to limiting criteria; and whether (iii) </w:t>
      </w:r>
      <w:r>
        <w:t>intention is required</w:t>
      </w:r>
      <w:r w:rsidR="003816AA">
        <w:t>.</w:t>
      </w:r>
      <w:r w:rsidR="003816AA">
        <w:rPr>
          <w:rStyle w:val="FootnoteReference"/>
        </w:rPr>
        <w:footnoteReference w:id="2"/>
      </w:r>
      <w:r w:rsidR="003816AA">
        <w:t xml:space="preserve"> </w:t>
      </w:r>
      <w:r w:rsidR="004B5BE0">
        <w:t xml:space="preserve">Ms Lindner noted that the Court of Justice’s response to these questions will have significant implications for </w:t>
      </w:r>
      <w:r w:rsidR="00E94DC0">
        <w:t xml:space="preserve">the future of </w:t>
      </w:r>
      <w:r w:rsidR="004B5BE0">
        <w:t xml:space="preserve">copyright in the EU, </w:t>
      </w:r>
      <w:r w:rsidR="00E94DC0">
        <w:t>and</w:t>
      </w:r>
      <w:r w:rsidR="004B5BE0">
        <w:t xml:space="preserve"> opined that the issue of what constitutes a pastiche work could be resolved by returning to Proust</w:t>
      </w:r>
      <w:r w:rsidR="00282F2C">
        <w:t xml:space="preserve">. Indeed, one of the conditions for participation in the Proustian pastiche competition organised by the </w:t>
      </w:r>
      <w:r w:rsidR="00282F2C">
        <w:rPr>
          <w:lang w:val="de-CH"/>
        </w:rPr>
        <w:t>Société des Amis de Marcel Proust et des Amis de Combray is</w:t>
      </w:r>
      <w:r w:rsidR="004B5BE0">
        <w:t>: ‘</w:t>
      </w:r>
      <w:proofErr w:type="spellStart"/>
      <w:r w:rsidR="004B5BE0">
        <w:rPr>
          <w:i/>
          <w:iCs/>
        </w:rPr>
        <w:t>s’inspirer</w:t>
      </w:r>
      <w:proofErr w:type="spellEnd"/>
      <w:r w:rsidR="004B5BE0">
        <w:rPr>
          <w:i/>
          <w:iCs/>
        </w:rPr>
        <w:t xml:space="preserve"> du style de [</w:t>
      </w:r>
      <w:proofErr w:type="spellStart"/>
      <w:r w:rsidR="004B5BE0">
        <w:rPr>
          <w:i/>
          <w:iCs/>
        </w:rPr>
        <w:t>l’auteur</w:t>
      </w:r>
      <w:proofErr w:type="spellEnd"/>
      <w:r w:rsidR="004B5BE0">
        <w:rPr>
          <w:i/>
          <w:iCs/>
        </w:rPr>
        <w:t xml:space="preserve">] pour donner </w:t>
      </w:r>
      <w:proofErr w:type="spellStart"/>
      <w:r w:rsidR="004B5BE0">
        <w:rPr>
          <w:i/>
          <w:iCs/>
        </w:rPr>
        <w:t>l’illusion</w:t>
      </w:r>
      <w:proofErr w:type="spellEnd"/>
      <w:r w:rsidR="004B5BE0">
        <w:rPr>
          <w:i/>
          <w:iCs/>
        </w:rPr>
        <w:t xml:space="preserve"> que le </w:t>
      </w:r>
      <w:proofErr w:type="spellStart"/>
      <w:r w:rsidR="004B5BE0">
        <w:rPr>
          <w:i/>
          <w:iCs/>
        </w:rPr>
        <w:t>texte</w:t>
      </w:r>
      <w:proofErr w:type="spellEnd"/>
      <w:r w:rsidR="004B5BE0">
        <w:rPr>
          <w:i/>
          <w:iCs/>
        </w:rPr>
        <w:t xml:space="preserve"> </w:t>
      </w:r>
      <w:proofErr w:type="spellStart"/>
      <w:r w:rsidR="004B5BE0">
        <w:rPr>
          <w:i/>
          <w:iCs/>
        </w:rPr>
        <w:t>pourrait</w:t>
      </w:r>
      <w:proofErr w:type="spellEnd"/>
      <w:r w:rsidR="004B5BE0">
        <w:rPr>
          <w:i/>
          <w:iCs/>
        </w:rPr>
        <w:t xml:space="preserve"> </w:t>
      </w:r>
      <w:proofErr w:type="spellStart"/>
      <w:r w:rsidR="004B5BE0">
        <w:rPr>
          <w:i/>
          <w:iCs/>
        </w:rPr>
        <w:t>être</w:t>
      </w:r>
      <w:proofErr w:type="spellEnd"/>
      <w:r w:rsidR="004B5BE0">
        <w:rPr>
          <w:i/>
          <w:iCs/>
        </w:rPr>
        <w:t xml:space="preserve"> de </w:t>
      </w:r>
      <w:proofErr w:type="spellStart"/>
      <w:r w:rsidR="004B5BE0">
        <w:rPr>
          <w:i/>
          <w:iCs/>
        </w:rPr>
        <w:t>sa</w:t>
      </w:r>
      <w:proofErr w:type="spellEnd"/>
      <w:r w:rsidR="004B5BE0">
        <w:rPr>
          <w:i/>
          <w:iCs/>
        </w:rPr>
        <w:t xml:space="preserve"> plume</w:t>
      </w:r>
      <w:r w:rsidR="004B5BE0">
        <w:t>’.</w:t>
      </w:r>
      <w:r w:rsidR="004B5BE0">
        <w:rPr>
          <w:rStyle w:val="FootnoteReference"/>
        </w:rPr>
        <w:footnoteReference w:id="3"/>
      </w:r>
      <w:r w:rsidR="004B5BE0">
        <w:t xml:space="preserve"> </w:t>
      </w:r>
    </w:p>
    <w:p w14:paraId="6B5DB50B" w14:textId="6694C3EF" w:rsidR="004B5BE0" w:rsidRDefault="00E94DC0" w:rsidP="003370CF">
      <w:pPr>
        <w:spacing w:line="360" w:lineRule="auto"/>
      </w:pPr>
      <w:r>
        <w:t>Professor</w:t>
      </w:r>
      <w:r w:rsidR="004B5BE0">
        <w:t xml:space="preserve"> Aplin proposes that parody, pastiche and caricature are a subset of the quotation exception. Prof Aplin explored the advantages and disadvantages of </w:t>
      </w:r>
      <w:r>
        <w:t>protectio</w:t>
      </w:r>
      <w:r w:rsidR="00F34A6F">
        <w:t>n</w:t>
      </w:r>
      <w:r w:rsidR="004B5BE0">
        <w:t xml:space="preserve"> as distinct exceptions, or as part of the genus of quotation. </w:t>
      </w:r>
      <w:r w:rsidR="00F34A6F">
        <w:t>Section</w:t>
      </w:r>
      <w:r w:rsidR="00563736">
        <w:t xml:space="preserve"> 30</w:t>
      </w:r>
      <w:proofErr w:type="gramStart"/>
      <w:r w:rsidR="00563736">
        <w:t>A(</w:t>
      </w:r>
      <w:proofErr w:type="gramEnd"/>
      <w:r w:rsidR="00563736">
        <w:t xml:space="preserve">1) CDPA, Art 5(3) InfoSoc and Art 17(7) DSM </w:t>
      </w:r>
      <w:r w:rsidR="00563736">
        <w:rPr>
          <w:i/>
          <w:iCs/>
        </w:rPr>
        <w:t>inter alia</w:t>
      </w:r>
      <w:r w:rsidR="00F34A6F">
        <w:t xml:space="preserve"> indicate </w:t>
      </w:r>
      <w:r w:rsidR="00563736">
        <w:t xml:space="preserve">significant legislative support at a national and international level for their distinct protection. National and EU case law also suggests distinct protection – for example, the CJEU expressed in </w:t>
      </w:r>
      <w:proofErr w:type="spellStart"/>
      <w:r w:rsidR="00563736">
        <w:rPr>
          <w:i/>
          <w:iCs/>
        </w:rPr>
        <w:t>Deckmyn</w:t>
      </w:r>
      <w:proofErr w:type="spellEnd"/>
      <w:r w:rsidR="00563736">
        <w:rPr>
          <w:i/>
          <w:iCs/>
        </w:rPr>
        <w:t xml:space="preserve"> </w:t>
      </w:r>
      <w:r w:rsidR="00563736">
        <w:t xml:space="preserve">and </w:t>
      </w:r>
      <w:r w:rsidR="00563736">
        <w:rPr>
          <w:i/>
          <w:iCs/>
        </w:rPr>
        <w:t xml:space="preserve">Pelham </w:t>
      </w:r>
      <w:r w:rsidR="00563736">
        <w:t xml:space="preserve">that ‘parody’ </w:t>
      </w:r>
      <w:r w:rsidR="00563736">
        <w:lastRenderedPageBreak/>
        <w:t>and ‘quotation’ have autonomous meanings in the EU, presupposing different conditions.</w:t>
      </w:r>
      <w:r w:rsidR="00563736">
        <w:rPr>
          <w:rStyle w:val="FootnoteReference"/>
        </w:rPr>
        <w:footnoteReference w:id="4"/>
      </w:r>
      <w:r w:rsidR="00563736">
        <w:t xml:space="preserve"> Prof Aplin </w:t>
      </w:r>
      <w:r>
        <w:t>put forwar</w:t>
      </w:r>
      <w:r w:rsidR="00563736">
        <w:t xml:space="preserve">d three </w:t>
      </w:r>
      <w:r>
        <w:t>principal</w:t>
      </w:r>
      <w:r w:rsidR="00563736">
        <w:rPr>
          <w:b/>
          <w:bCs/>
        </w:rPr>
        <w:t xml:space="preserve"> </w:t>
      </w:r>
      <w:r w:rsidR="00563736">
        <w:t>advantages of distinct protection: (</w:t>
      </w:r>
      <w:proofErr w:type="spellStart"/>
      <w:r w:rsidR="00563736">
        <w:t>i</w:t>
      </w:r>
      <w:proofErr w:type="spellEnd"/>
      <w:r w:rsidR="00563736">
        <w:t xml:space="preserve">) </w:t>
      </w:r>
      <w:r w:rsidR="00563736">
        <w:rPr>
          <w:i/>
          <w:iCs/>
        </w:rPr>
        <w:t xml:space="preserve">clarity </w:t>
      </w:r>
      <w:r w:rsidR="00563736">
        <w:t xml:space="preserve">– more easily distinguishable; (ii) </w:t>
      </w:r>
      <w:r w:rsidR="00563736">
        <w:rPr>
          <w:i/>
          <w:iCs/>
        </w:rPr>
        <w:t xml:space="preserve">certainty </w:t>
      </w:r>
      <w:r w:rsidR="00563736">
        <w:t xml:space="preserve">– for users to know when their use falls within a certain exception; and (iii) </w:t>
      </w:r>
      <w:r w:rsidR="00563736">
        <w:rPr>
          <w:i/>
          <w:iCs/>
        </w:rPr>
        <w:t xml:space="preserve">cabining </w:t>
      </w:r>
      <w:r w:rsidR="00563736">
        <w:t xml:space="preserve">– restricts exempt uses to specific definitions. However, </w:t>
      </w:r>
      <w:r>
        <w:t>she</w:t>
      </w:r>
      <w:r w:rsidR="00563736">
        <w:t xml:space="preserve"> questioned </w:t>
      </w:r>
      <w:r w:rsidR="00AC1D28">
        <w:t xml:space="preserve">the tangibility of these ‘advantages’, </w:t>
      </w:r>
      <w:r>
        <w:t>highlighting</w:t>
      </w:r>
      <w:r w:rsidR="00AC1D28">
        <w:rPr>
          <w:b/>
          <w:bCs/>
        </w:rPr>
        <w:t xml:space="preserve"> </w:t>
      </w:r>
      <w:r w:rsidR="00AC1D28">
        <w:t xml:space="preserve">that over-fixating on </w:t>
      </w:r>
      <w:r>
        <w:t xml:space="preserve">the </w:t>
      </w:r>
      <w:r w:rsidR="00AC1D28">
        <w:t>categoris</w:t>
      </w:r>
      <w:r>
        <w:t>ation of</w:t>
      </w:r>
      <w:r w:rsidR="00AC1D28">
        <w:t xml:space="preserve"> exceptions may pigeonhole uses</w:t>
      </w:r>
      <w:r>
        <w:t>.</w:t>
      </w:r>
    </w:p>
    <w:p w14:paraId="59E04099" w14:textId="1D8F49B7" w:rsidR="00F2534A" w:rsidRPr="00F2534A" w:rsidRDefault="00AC1D28" w:rsidP="003370CF">
      <w:pPr>
        <w:spacing w:line="360" w:lineRule="auto"/>
      </w:pPr>
      <w:r>
        <w:t xml:space="preserve">Accordingly, Prof Aplin proposes that pastiche is part of the genus of quotation. She points out that the language of Art 10(1) Berne and its </w:t>
      </w:r>
      <w:r>
        <w:rPr>
          <w:i/>
          <w:iCs/>
        </w:rPr>
        <w:t xml:space="preserve">travaux </w:t>
      </w:r>
      <w:r>
        <w:t>make clear that it is a mandatory exception, requiring fairness</w:t>
      </w:r>
      <w:r w:rsidR="00E94DC0">
        <w:t xml:space="preserve">, </w:t>
      </w:r>
      <w:r>
        <w:t>but not limited to a type of work, act or purpose. The first advantage of this approach is that it focuses on the overarching normative justifications of copyright exceptions – the balance of interests and values between users and rightholders. This approach also avoids some of the limitations of the three-step test by allowing a wide range of interests to be considered, including moral rights. Prof Aplin therefore suggests that the CJEU defined quotation too narrowly by providing specific purposes</w:t>
      </w:r>
      <w:r w:rsidR="00F2534A">
        <w:t xml:space="preserve">, and </w:t>
      </w:r>
      <w:r w:rsidR="00E94DC0">
        <w:t xml:space="preserve">instead </w:t>
      </w:r>
      <w:r w:rsidR="00F2534A">
        <w:t xml:space="preserve">recommends a </w:t>
      </w:r>
      <w:r w:rsidR="00E94DC0">
        <w:t>broader</w:t>
      </w:r>
      <w:r w:rsidR="00F2534A">
        <w:t xml:space="preserve"> requirement of ‘dialogue’ with the source work. She also proposes that the CJEU should have considered Art 10(1) when interpreting parody. </w:t>
      </w:r>
      <w:r>
        <w:t>However, it does not follow tha</w:t>
      </w:r>
      <w:r w:rsidR="00F2534A">
        <w:t xml:space="preserve">t Prof Aplin and Professor Lionel Bently’s thesis requires a ‘fair use’ exception at the national level. Instead, it </w:t>
      </w:r>
      <w:r w:rsidR="00E94DC0">
        <w:t>encourages</w:t>
      </w:r>
      <w:r w:rsidR="00F2534A">
        <w:rPr>
          <w:b/>
          <w:bCs/>
        </w:rPr>
        <w:t xml:space="preserve"> </w:t>
      </w:r>
      <w:r w:rsidR="00F2534A">
        <w:t xml:space="preserve">reform to national quotation exceptions which are restricted by quantitative/purpose/work conditions, and justifies broad notions of parody/caricature/pastiche centred around freedom of the arts and expression. For UK courts, </w:t>
      </w:r>
      <w:r w:rsidR="00E94DC0">
        <w:t>this means</w:t>
      </w:r>
      <w:r w:rsidR="00F2534A">
        <w:t xml:space="preserve"> that specific definitions</w:t>
      </w:r>
      <w:r w:rsidR="00E94DC0">
        <w:t xml:space="preserve"> should</w:t>
      </w:r>
      <w:r w:rsidR="00F2534A">
        <w:t xml:space="preserve"> be used loosely and instead, more emphasis placed on the fairness assessment. Prof Aplin’s thesis prompted much engagement amongst attendees, raising</w:t>
      </w:r>
      <w:r w:rsidR="0040285B">
        <w:t xml:space="preserve"> questions </w:t>
      </w:r>
      <w:r w:rsidR="00E94DC0">
        <w:t xml:space="preserve">such as how authors would be attributed, and whether </w:t>
      </w:r>
      <w:r w:rsidR="00F34A6F">
        <w:t>it</w:t>
      </w:r>
      <w:r w:rsidR="00E94DC0">
        <w:t xml:space="preserve"> would superficially insert a common law approach into civil law systems</w:t>
      </w:r>
      <w:r w:rsidR="0040285B">
        <w:t xml:space="preserve">. Prof Aplin pointed out that attribution is not required under Art 10(1) Berne, and that her approach grants Member States flexibility to implement it how they desire – the thesis justifies, rather than mandates, fair use provisions. </w:t>
      </w:r>
    </w:p>
    <w:sectPr w:rsidR="00F2534A" w:rsidRPr="00F2534A" w:rsidSect="00465ACF">
      <w:pgSz w:w="11906" w:h="16838"/>
      <w:pgMar w:top="964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FC2B9" w14:textId="77777777" w:rsidR="00335F57" w:rsidRDefault="00335F57" w:rsidP="00B6651B">
      <w:pPr>
        <w:spacing w:after="0" w:line="240" w:lineRule="auto"/>
      </w:pPr>
      <w:r>
        <w:separator/>
      </w:r>
    </w:p>
  </w:endnote>
  <w:endnote w:type="continuationSeparator" w:id="0">
    <w:p w14:paraId="23892331" w14:textId="77777777" w:rsidR="00335F57" w:rsidRDefault="00335F57" w:rsidP="00B6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73214" w14:textId="77777777" w:rsidR="00335F57" w:rsidRDefault="00335F57" w:rsidP="00B6651B">
      <w:pPr>
        <w:spacing w:after="0" w:line="240" w:lineRule="auto"/>
      </w:pPr>
      <w:r>
        <w:separator/>
      </w:r>
    </w:p>
  </w:footnote>
  <w:footnote w:type="continuationSeparator" w:id="0">
    <w:p w14:paraId="5DC334BD" w14:textId="77777777" w:rsidR="00335F57" w:rsidRDefault="00335F57" w:rsidP="00B6651B">
      <w:pPr>
        <w:spacing w:after="0" w:line="240" w:lineRule="auto"/>
      </w:pPr>
      <w:r>
        <w:continuationSeparator/>
      </w:r>
    </w:p>
  </w:footnote>
  <w:footnote w:id="1">
    <w:p w14:paraId="12AB5C1E" w14:textId="33093629" w:rsidR="00486E16" w:rsidRDefault="00486E16">
      <w:pPr>
        <w:pStyle w:val="FootnoteText"/>
      </w:pPr>
      <w:r>
        <w:rPr>
          <w:rStyle w:val="FootnoteReference"/>
        </w:rPr>
        <w:footnoteRef/>
      </w:r>
      <w:r>
        <w:t xml:space="preserve"> OLG Hamburg 28.04.2022 5 U 48/05.</w:t>
      </w:r>
    </w:p>
  </w:footnote>
  <w:footnote w:id="2">
    <w:p w14:paraId="6C43293B" w14:textId="78D0500E" w:rsidR="003816AA" w:rsidRDefault="003816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205C2">
        <w:t xml:space="preserve">Case </w:t>
      </w:r>
      <w:r w:rsidR="00F34A6F">
        <w:t>C-</w:t>
      </w:r>
      <w:r>
        <w:t>590/23</w:t>
      </w:r>
    </w:p>
  </w:footnote>
  <w:footnote w:id="3">
    <w:p w14:paraId="47015C21" w14:textId="7D63B38E" w:rsidR="004B5BE0" w:rsidRDefault="004B5BE0">
      <w:pPr>
        <w:pStyle w:val="FootnoteText"/>
      </w:pPr>
      <w:r>
        <w:rPr>
          <w:rStyle w:val="FootnoteReference"/>
        </w:rPr>
        <w:footnoteRef/>
      </w:r>
      <w:r>
        <w:t xml:space="preserve"> ‘Being inspired by the author’s style to give the impression that the text could be from his pen’</w:t>
      </w:r>
      <w:r w:rsidR="00282F2C">
        <w:t xml:space="preserve">. Cf </w:t>
      </w:r>
      <w:r w:rsidR="00282F2C" w:rsidRPr="00282F2C">
        <w:t>https://www.amisdeproust.fr/fr/concours/concourspastiches2024</w:t>
      </w:r>
      <w:r w:rsidR="00282F2C">
        <w:t>.</w:t>
      </w:r>
    </w:p>
  </w:footnote>
  <w:footnote w:id="4">
    <w:p w14:paraId="18F64206" w14:textId="6E5FB93D" w:rsidR="00563736" w:rsidRDefault="00563736">
      <w:pPr>
        <w:pStyle w:val="FootnoteText"/>
      </w:pPr>
      <w:r>
        <w:rPr>
          <w:rStyle w:val="FootnoteReference"/>
        </w:rPr>
        <w:footnoteRef/>
      </w:r>
      <w:r>
        <w:t xml:space="preserve"> Case C-201/13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CF"/>
    <w:rsid w:val="00167709"/>
    <w:rsid w:val="0017621D"/>
    <w:rsid w:val="00180D50"/>
    <w:rsid w:val="001B1040"/>
    <w:rsid w:val="00282F2C"/>
    <w:rsid w:val="00290EA8"/>
    <w:rsid w:val="002A1DFF"/>
    <w:rsid w:val="00335F57"/>
    <w:rsid w:val="003370CF"/>
    <w:rsid w:val="003567AC"/>
    <w:rsid w:val="003816AA"/>
    <w:rsid w:val="003D266B"/>
    <w:rsid w:val="003D6AD2"/>
    <w:rsid w:val="0040285B"/>
    <w:rsid w:val="00465ACF"/>
    <w:rsid w:val="00486E16"/>
    <w:rsid w:val="004B5BE0"/>
    <w:rsid w:val="00563736"/>
    <w:rsid w:val="00573955"/>
    <w:rsid w:val="00597AD2"/>
    <w:rsid w:val="006C6F62"/>
    <w:rsid w:val="007205C2"/>
    <w:rsid w:val="00734D62"/>
    <w:rsid w:val="00776709"/>
    <w:rsid w:val="008438CF"/>
    <w:rsid w:val="00886650"/>
    <w:rsid w:val="008B0CA5"/>
    <w:rsid w:val="009308F1"/>
    <w:rsid w:val="00AC13E4"/>
    <w:rsid w:val="00AC1D28"/>
    <w:rsid w:val="00B6651B"/>
    <w:rsid w:val="00B67961"/>
    <w:rsid w:val="00CD1476"/>
    <w:rsid w:val="00D246A8"/>
    <w:rsid w:val="00D26319"/>
    <w:rsid w:val="00D55524"/>
    <w:rsid w:val="00D96182"/>
    <w:rsid w:val="00DE1FF3"/>
    <w:rsid w:val="00DF1C4F"/>
    <w:rsid w:val="00E02A44"/>
    <w:rsid w:val="00E94DC0"/>
    <w:rsid w:val="00EF09ED"/>
    <w:rsid w:val="00F2534A"/>
    <w:rsid w:val="00F34550"/>
    <w:rsid w:val="00F3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7F13"/>
  <w15:chartTrackingRefBased/>
  <w15:docId w15:val="{866205F7-436D-4302-937D-E66B1F1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CF"/>
    <w:pPr>
      <w:spacing w:line="276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0C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370C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5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651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651B"/>
    <w:rPr>
      <w:vertAlign w:val="superscript"/>
    </w:rPr>
  </w:style>
  <w:style w:type="paragraph" w:styleId="Revision">
    <w:name w:val="Revision"/>
    <w:hidden/>
    <w:uiPriority w:val="99"/>
    <w:semiHidden/>
    <w:rsid w:val="00CD14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1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1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47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47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D6413-39EB-4B98-9A8B-8A46FBC3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Aaliyah Lindo</dc:creator>
  <cp:keywords/>
  <dc:description/>
  <cp:lastModifiedBy>Aaliyah Lindo</cp:lastModifiedBy>
  <cp:revision>2</cp:revision>
  <dcterms:created xsi:type="dcterms:W3CDTF">2024-06-05T10:19:00Z</dcterms:created>
  <dcterms:modified xsi:type="dcterms:W3CDTF">2024-06-05T10:19:00Z</dcterms:modified>
</cp:coreProperties>
</file>