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4AB3" w14:textId="77777777" w:rsidR="008A3055" w:rsidRDefault="00882C87">
      <w:pPr>
        <w:spacing w:line="242" w:lineRule="auto"/>
        <w:ind w:left="1213" w:right="1009" w:hanging="413"/>
        <w:rPr>
          <w:b/>
          <w:sz w:val="28"/>
        </w:rPr>
      </w:pPr>
      <w:r>
        <w:rPr>
          <w:b/>
          <w:sz w:val="28"/>
        </w:rPr>
        <w:t>Request Form and Treatment Protocol for Use of New Unlicensed Medicine or new off-label indication</w:t>
      </w:r>
    </w:p>
    <w:tbl>
      <w:tblPr>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8A3055" w14:paraId="69F6FC62" w14:textId="77777777" w:rsidTr="00645DC0">
        <w:trPr>
          <w:trHeight w:val="8582"/>
        </w:trPr>
        <w:tc>
          <w:tcPr>
            <w:tcW w:w="10632" w:type="dxa"/>
          </w:tcPr>
          <w:p w14:paraId="4B406C06" w14:textId="77777777" w:rsidR="008A3055" w:rsidRDefault="008A3055">
            <w:pPr>
              <w:pStyle w:val="TableParagraph"/>
              <w:spacing w:before="8"/>
              <w:ind w:left="0"/>
              <w:rPr>
                <w:b/>
                <w:sz w:val="19"/>
              </w:rPr>
            </w:pPr>
          </w:p>
          <w:p w14:paraId="017D0876" w14:textId="0367211D" w:rsidR="008A3055" w:rsidRDefault="00882C87">
            <w:pPr>
              <w:pStyle w:val="TableParagraph"/>
              <w:spacing w:before="1"/>
              <w:ind w:right="388"/>
              <w:rPr>
                <w:sz w:val="20"/>
              </w:rPr>
            </w:pPr>
            <w:r>
              <w:rPr>
                <w:sz w:val="20"/>
              </w:rPr>
              <w:t xml:space="preserve">This form should be completed by the consultant wishing to use a new unlicensed product or off-label purpose. The form </w:t>
            </w:r>
            <w:r w:rsidR="00B85BA2">
              <w:rPr>
                <w:sz w:val="20"/>
              </w:rPr>
              <w:t xml:space="preserve">can </w:t>
            </w:r>
            <w:r>
              <w:rPr>
                <w:sz w:val="20"/>
              </w:rPr>
              <w:t>be sent to the as part of the submission for approval to use the product.</w:t>
            </w:r>
          </w:p>
          <w:p w14:paraId="34BA4805" w14:textId="77777777" w:rsidR="008A3055" w:rsidRDefault="008A3055">
            <w:pPr>
              <w:pStyle w:val="TableParagraph"/>
              <w:spacing w:before="10"/>
              <w:ind w:left="0"/>
              <w:rPr>
                <w:b/>
                <w:sz w:val="19"/>
              </w:rPr>
            </w:pPr>
          </w:p>
          <w:p w14:paraId="1A1D1CDC" w14:textId="08C94427" w:rsidR="008A3055" w:rsidRPr="00F15BE1" w:rsidRDefault="00882C87" w:rsidP="00F15BE1">
            <w:pPr>
              <w:pStyle w:val="TableParagraph"/>
              <w:ind w:right="388"/>
              <w:rPr>
                <w:sz w:val="20"/>
              </w:rPr>
            </w:pPr>
            <w:r>
              <w:rPr>
                <w:sz w:val="20"/>
              </w:rPr>
              <w:t xml:space="preserve">Before completing this form, you </w:t>
            </w:r>
            <w:r w:rsidR="00B85BA2">
              <w:rPr>
                <w:sz w:val="20"/>
              </w:rPr>
              <w:t>should be familiar with your jurisdiction’s</w:t>
            </w:r>
            <w:r w:rsidR="00F15BE1">
              <w:rPr>
                <w:sz w:val="20"/>
              </w:rPr>
              <w:t>, practising organisation</w:t>
            </w:r>
            <w:r w:rsidR="00B85BA2">
              <w:rPr>
                <w:sz w:val="20"/>
              </w:rPr>
              <w:t xml:space="preserve"> and professional indemnity insurance’s </w:t>
            </w:r>
            <w:r w:rsidR="00F15BE1">
              <w:rPr>
                <w:sz w:val="20"/>
              </w:rPr>
              <w:t xml:space="preserve">practises, </w:t>
            </w:r>
            <w:proofErr w:type="gramStart"/>
            <w:r w:rsidR="00B85BA2">
              <w:rPr>
                <w:sz w:val="20"/>
              </w:rPr>
              <w:t>polic</w:t>
            </w:r>
            <w:r w:rsidR="00F15BE1">
              <w:rPr>
                <w:sz w:val="20"/>
              </w:rPr>
              <w:t>ies</w:t>
            </w:r>
            <w:proofErr w:type="gramEnd"/>
            <w:r w:rsidR="00B85BA2">
              <w:rPr>
                <w:sz w:val="20"/>
              </w:rPr>
              <w:t xml:space="preserve"> </w:t>
            </w:r>
            <w:r>
              <w:rPr>
                <w:sz w:val="20"/>
              </w:rPr>
              <w:t>and procedures for the use of unlicensed medicines and must be aware of your responsibilities.</w:t>
            </w:r>
          </w:p>
          <w:p w14:paraId="2C40C765" w14:textId="2FFD690D" w:rsidR="00B85BA2" w:rsidRDefault="00B85BA2">
            <w:pPr>
              <w:pStyle w:val="TableParagraph"/>
              <w:rPr>
                <w:sz w:val="20"/>
              </w:rPr>
            </w:pPr>
          </w:p>
          <w:tbl>
            <w:tblPr>
              <w:tblStyle w:val="TableGrid"/>
              <w:tblW w:w="0" w:type="auto"/>
              <w:tblInd w:w="112" w:type="dxa"/>
              <w:tblLayout w:type="fixed"/>
              <w:tblLook w:val="04A0" w:firstRow="1" w:lastRow="0" w:firstColumn="1" w:lastColumn="0" w:noHBand="0" w:noVBand="1"/>
            </w:tblPr>
            <w:tblGrid>
              <w:gridCol w:w="2581"/>
              <w:gridCol w:w="7791"/>
            </w:tblGrid>
            <w:tr w:rsidR="00B85BA2" w14:paraId="25881203" w14:textId="77777777" w:rsidTr="00645DC0">
              <w:tc>
                <w:tcPr>
                  <w:tcW w:w="2581" w:type="dxa"/>
                </w:tcPr>
                <w:p w14:paraId="3E7A4F9D" w14:textId="0F64333F" w:rsidR="00B85BA2" w:rsidRDefault="00B85BA2">
                  <w:pPr>
                    <w:pStyle w:val="TableParagraph"/>
                    <w:ind w:left="0"/>
                    <w:rPr>
                      <w:sz w:val="20"/>
                    </w:rPr>
                  </w:pPr>
                  <w:r>
                    <w:rPr>
                      <w:sz w:val="20"/>
                    </w:rPr>
                    <w:t xml:space="preserve">Generic </w:t>
                  </w:r>
                  <w:r w:rsidR="00096D3C">
                    <w:rPr>
                      <w:sz w:val="20"/>
                    </w:rPr>
                    <w:t>name</w:t>
                  </w:r>
                </w:p>
              </w:tc>
              <w:tc>
                <w:tcPr>
                  <w:tcW w:w="7791" w:type="dxa"/>
                </w:tcPr>
                <w:p w14:paraId="754CFCB8" w14:textId="77777777" w:rsidR="00B85BA2" w:rsidRDefault="00B85BA2">
                  <w:pPr>
                    <w:pStyle w:val="TableParagraph"/>
                    <w:ind w:left="0"/>
                    <w:rPr>
                      <w:sz w:val="20"/>
                    </w:rPr>
                  </w:pPr>
                </w:p>
              </w:tc>
            </w:tr>
            <w:tr w:rsidR="00B85BA2" w14:paraId="41631D72" w14:textId="77777777" w:rsidTr="00645DC0">
              <w:tc>
                <w:tcPr>
                  <w:tcW w:w="2581" w:type="dxa"/>
                </w:tcPr>
                <w:p w14:paraId="7027B79B" w14:textId="7F29F70A" w:rsidR="00B85BA2" w:rsidRDefault="00B85BA2">
                  <w:pPr>
                    <w:pStyle w:val="TableParagraph"/>
                    <w:ind w:left="0"/>
                    <w:rPr>
                      <w:sz w:val="20"/>
                    </w:rPr>
                  </w:pPr>
                  <w:r>
                    <w:rPr>
                      <w:sz w:val="20"/>
                    </w:rPr>
                    <w:t>International non-proprietary name</w:t>
                  </w:r>
                </w:p>
              </w:tc>
              <w:tc>
                <w:tcPr>
                  <w:tcW w:w="7791" w:type="dxa"/>
                </w:tcPr>
                <w:p w14:paraId="3EBBB031" w14:textId="5FE582A5" w:rsidR="00B85BA2" w:rsidRDefault="00B85BA2">
                  <w:pPr>
                    <w:pStyle w:val="TableParagraph"/>
                    <w:ind w:left="0"/>
                    <w:rPr>
                      <w:sz w:val="20"/>
                    </w:rPr>
                  </w:pPr>
                  <w:r>
                    <w:rPr>
                      <w:sz w:val="20"/>
                    </w:rPr>
                    <w:t>Metformin Sustained Release</w:t>
                  </w:r>
                </w:p>
              </w:tc>
            </w:tr>
            <w:tr w:rsidR="00B85BA2" w14:paraId="40DF7873" w14:textId="77777777" w:rsidTr="00645DC0">
              <w:tc>
                <w:tcPr>
                  <w:tcW w:w="2581" w:type="dxa"/>
                </w:tcPr>
                <w:p w14:paraId="126D697F" w14:textId="31DE2A0F" w:rsidR="00B85BA2" w:rsidRDefault="00B85BA2">
                  <w:pPr>
                    <w:pStyle w:val="TableParagraph"/>
                    <w:ind w:left="0"/>
                    <w:rPr>
                      <w:sz w:val="20"/>
                    </w:rPr>
                  </w:pPr>
                  <w:r>
                    <w:rPr>
                      <w:sz w:val="20"/>
                    </w:rPr>
                    <w:t>Pharmaceutical form</w:t>
                  </w:r>
                </w:p>
              </w:tc>
              <w:tc>
                <w:tcPr>
                  <w:tcW w:w="7791" w:type="dxa"/>
                </w:tcPr>
                <w:p w14:paraId="0A74E0C4" w14:textId="63F30E4B" w:rsidR="00B85BA2" w:rsidRDefault="00B85BA2">
                  <w:pPr>
                    <w:pStyle w:val="TableParagraph"/>
                    <w:ind w:left="0"/>
                    <w:rPr>
                      <w:sz w:val="20"/>
                    </w:rPr>
                  </w:pPr>
                  <w:r>
                    <w:rPr>
                      <w:sz w:val="20"/>
                    </w:rPr>
                    <w:t>Pill</w:t>
                  </w:r>
                </w:p>
              </w:tc>
            </w:tr>
            <w:tr w:rsidR="00B85BA2" w14:paraId="5780889C" w14:textId="77777777" w:rsidTr="00645DC0">
              <w:tc>
                <w:tcPr>
                  <w:tcW w:w="2581" w:type="dxa"/>
                </w:tcPr>
                <w:p w14:paraId="581CA4EC" w14:textId="0070746B" w:rsidR="00B85BA2" w:rsidRDefault="00B85BA2">
                  <w:pPr>
                    <w:pStyle w:val="TableParagraph"/>
                    <w:ind w:left="0"/>
                    <w:rPr>
                      <w:sz w:val="20"/>
                    </w:rPr>
                  </w:pPr>
                  <w:r>
                    <w:rPr>
                      <w:sz w:val="20"/>
                    </w:rPr>
                    <w:t>Dose</w:t>
                  </w:r>
                </w:p>
              </w:tc>
              <w:tc>
                <w:tcPr>
                  <w:tcW w:w="7791" w:type="dxa"/>
                </w:tcPr>
                <w:p w14:paraId="5DEFE712" w14:textId="72612221" w:rsidR="00B85BA2" w:rsidRDefault="00B85BA2">
                  <w:pPr>
                    <w:pStyle w:val="TableParagraph"/>
                    <w:ind w:left="0"/>
                    <w:rPr>
                      <w:sz w:val="20"/>
                    </w:rPr>
                  </w:pPr>
                  <w:r>
                    <w:rPr>
                      <w:sz w:val="20"/>
                    </w:rPr>
                    <w:t>500 mg</w:t>
                  </w:r>
                  <w:r w:rsidR="00645DC0">
                    <w:rPr>
                      <w:sz w:val="20"/>
                    </w:rPr>
                    <w:t xml:space="preserve"> (</w:t>
                  </w:r>
                  <w:r w:rsidR="00645DC0" w:rsidRPr="00645DC0">
                    <w:rPr>
                      <w:b/>
                      <w:bCs/>
                      <w:sz w:val="20"/>
                    </w:rPr>
                    <w:t>or 250 mg if over age 80</w:t>
                  </w:r>
                  <w:r w:rsidR="00645DC0">
                    <w:rPr>
                      <w:sz w:val="20"/>
                    </w:rPr>
                    <w:t>) (delete as appropriate)</w:t>
                  </w:r>
                </w:p>
              </w:tc>
            </w:tr>
            <w:tr w:rsidR="00B85BA2" w14:paraId="6FF9DE56" w14:textId="77777777" w:rsidTr="00645DC0">
              <w:tc>
                <w:tcPr>
                  <w:tcW w:w="2581" w:type="dxa"/>
                </w:tcPr>
                <w:p w14:paraId="69622AB4" w14:textId="1FE32E9E" w:rsidR="00B85BA2" w:rsidRDefault="00B85BA2">
                  <w:pPr>
                    <w:pStyle w:val="TableParagraph"/>
                    <w:ind w:left="0"/>
                    <w:rPr>
                      <w:sz w:val="20"/>
                    </w:rPr>
                  </w:pPr>
                  <w:r>
                    <w:rPr>
                      <w:sz w:val="20"/>
                    </w:rPr>
                    <w:t>Route</w:t>
                  </w:r>
                </w:p>
              </w:tc>
              <w:tc>
                <w:tcPr>
                  <w:tcW w:w="7791" w:type="dxa"/>
                </w:tcPr>
                <w:p w14:paraId="760D1C0C" w14:textId="780980F4" w:rsidR="00B85BA2" w:rsidRDefault="00B85BA2">
                  <w:pPr>
                    <w:pStyle w:val="TableParagraph"/>
                    <w:ind w:left="0"/>
                    <w:rPr>
                      <w:sz w:val="20"/>
                    </w:rPr>
                  </w:pPr>
                  <w:r>
                    <w:rPr>
                      <w:sz w:val="20"/>
                    </w:rPr>
                    <w:t>Oral</w:t>
                  </w:r>
                </w:p>
              </w:tc>
            </w:tr>
            <w:tr w:rsidR="00B85BA2" w14:paraId="7C27501B" w14:textId="77777777" w:rsidTr="00645DC0">
              <w:tc>
                <w:tcPr>
                  <w:tcW w:w="2581" w:type="dxa"/>
                </w:tcPr>
                <w:p w14:paraId="76B1A3BA" w14:textId="2766DB72" w:rsidR="00B85BA2" w:rsidRDefault="00B85BA2">
                  <w:pPr>
                    <w:pStyle w:val="TableParagraph"/>
                    <w:ind w:left="0"/>
                    <w:rPr>
                      <w:sz w:val="20"/>
                    </w:rPr>
                  </w:pPr>
                  <w:r>
                    <w:rPr>
                      <w:sz w:val="20"/>
                    </w:rPr>
                    <w:t>Frequency</w:t>
                  </w:r>
                </w:p>
              </w:tc>
              <w:tc>
                <w:tcPr>
                  <w:tcW w:w="7791" w:type="dxa"/>
                </w:tcPr>
                <w:p w14:paraId="384E9068" w14:textId="77777777" w:rsidR="00B85BA2" w:rsidRDefault="00B85BA2">
                  <w:pPr>
                    <w:pStyle w:val="TableParagraph"/>
                    <w:ind w:left="0"/>
                    <w:rPr>
                      <w:sz w:val="20"/>
                    </w:rPr>
                  </w:pPr>
                  <w:r>
                    <w:rPr>
                      <w:sz w:val="20"/>
                    </w:rPr>
                    <w:t>Daily after meals</w:t>
                  </w:r>
                </w:p>
                <w:p w14:paraId="17E30AF0" w14:textId="70F29DB1" w:rsidR="00B85BA2" w:rsidRDefault="00B85BA2">
                  <w:pPr>
                    <w:pStyle w:val="TableParagraph"/>
                    <w:ind w:left="0"/>
                    <w:rPr>
                      <w:sz w:val="20"/>
                    </w:rPr>
                  </w:pPr>
                  <w:r>
                    <w:rPr>
                      <w:sz w:val="20"/>
                    </w:rPr>
                    <w:t>May not want to take on days with intense exercise</w:t>
                  </w:r>
                </w:p>
              </w:tc>
            </w:tr>
            <w:tr w:rsidR="00B85BA2" w14:paraId="76B2D75E" w14:textId="77777777" w:rsidTr="00645DC0">
              <w:tc>
                <w:tcPr>
                  <w:tcW w:w="2581" w:type="dxa"/>
                </w:tcPr>
                <w:p w14:paraId="1A79D864" w14:textId="2D110EAA" w:rsidR="00B85BA2" w:rsidRDefault="00B85BA2">
                  <w:pPr>
                    <w:pStyle w:val="TableParagraph"/>
                    <w:ind w:left="0"/>
                    <w:rPr>
                      <w:sz w:val="20"/>
                    </w:rPr>
                  </w:pPr>
                  <w:r>
                    <w:rPr>
                      <w:sz w:val="20"/>
                    </w:rPr>
                    <w:t xml:space="preserve">Dose increase </w:t>
                  </w:r>
                </w:p>
              </w:tc>
              <w:tc>
                <w:tcPr>
                  <w:tcW w:w="7791" w:type="dxa"/>
                </w:tcPr>
                <w:p w14:paraId="4F6F2A33" w14:textId="6855EEF5" w:rsidR="00B85BA2" w:rsidRDefault="00B85BA2">
                  <w:pPr>
                    <w:pStyle w:val="TableParagraph"/>
                    <w:ind w:left="0"/>
                    <w:rPr>
                      <w:sz w:val="20"/>
                    </w:rPr>
                  </w:pPr>
                  <w:r>
                    <w:rPr>
                      <w:sz w:val="20"/>
                    </w:rPr>
                    <w:t xml:space="preserve">Start with 250 mg daily for 2 weeks then increase to 500 mg daily </w:t>
                  </w:r>
                </w:p>
              </w:tc>
            </w:tr>
            <w:tr w:rsidR="00B85BA2" w14:paraId="4571FF81" w14:textId="77777777" w:rsidTr="00645DC0">
              <w:tc>
                <w:tcPr>
                  <w:tcW w:w="2581" w:type="dxa"/>
                </w:tcPr>
                <w:p w14:paraId="219BB99F" w14:textId="3E231F34" w:rsidR="00B85BA2" w:rsidRDefault="00B85BA2">
                  <w:pPr>
                    <w:pStyle w:val="TableParagraph"/>
                    <w:ind w:left="0"/>
                    <w:rPr>
                      <w:sz w:val="20"/>
                    </w:rPr>
                  </w:pPr>
                  <w:r>
                    <w:rPr>
                      <w:sz w:val="20"/>
                    </w:rPr>
                    <w:t>Duration of treatment</w:t>
                  </w:r>
                </w:p>
              </w:tc>
              <w:tc>
                <w:tcPr>
                  <w:tcW w:w="7791" w:type="dxa"/>
                </w:tcPr>
                <w:p w14:paraId="6E2CBD95" w14:textId="39239C7A" w:rsidR="00B85BA2" w:rsidRDefault="00B85BA2">
                  <w:pPr>
                    <w:pStyle w:val="TableParagraph"/>
                    <w:ind w:left="0"/>
                    <w:rPr>
                      <w:sz w:val="20"/>
                    </w:rPr>
                  </w:pPr>
                  <w:r>
                    <w:rPr>
                      <w:sz w:val="20"/>
                    </w:rPr>
                    <w:t>3 months then review</w:t>
                  </w:r>
                  <w:r w:rsidR="00645DC0">
                    <w:rPr>
                      <w:sz w:val="20"/>
                    </w:rPr>
                    <w:t xml:space="preserve"> for side effects</w:t>
                  </w:r>
                  <w:r w:rsidR="00A37FF5">
                    <w:rPr>
                      <w:sz w:val="20"/>
                    </w:rPr>
                    <w:t xml:space="preserve">: </w:t>
                  </w:r>
                  <w:r w:rsidR="00645DC0">
                    <w:rPr>
                      <w:sz w:val="20"/>
                    </w:rPr>
                    <w:t xml:space="preserve">if </w:t>
                  </w:r>
                  <w:r w:rsidR="00A37FF5">
                    <w:rPr>
                      <w:sz w:val="20"/>
                    </w:rPr>
                    <w:t xml:space="preserve">intestinal </w:t>
                  </w:r>
                  <w:r w:rsidR="00645DC0">
                    <w:rPr>
                      <w:sz w:val="20"/>
                    </w:rPr>
                    <w:t xml:space="preserve">side effects advise stopping for 2 weeks and restarting at lowest dose, taking after meals, taking </w:t>
                  </w:r>
                  <w:r w:rsidR="00A37FF5">
                    <w:rPr>
                      <w:sz w:val="20"/>
                    </w:rPr>
                    <w:t xml:space="preserve">with </w:t>
                  </w:r>
                  <w:r w:rsidR="00645DC0">
                    <w:rPr>
                      <w:sz w:val="20"/>
                    </w:rPr>
                    <w:t>daily lactobacillus probiotic</w:t>
                  </w:r>
                  <w:r w:rsidR="00A37FF5">
                    <w:rPr>
                      <w:sz w:val="20"/>
                    </w:rPr>
                    <w:t xml:space="preserve"> supplements </w:t>
                  </w:r>
                  <w:r w:rsidR="00645DC0">
                    <w:rPr>
                      <w:sz w:val="20"/>
                    </w:rPr>
                    <w:t>or psyllium husk</w:t>
                  </w:r>
                  <w:r w:rsidR="00A37FF5">
                    <w:rPr>
                      <w:sz w:val="20"/>
                    </w:rPr>
                    <w:t>, or</w:t>
                  </w:r>
                  <w:r w:rsidR="009067AD">
                    <w:rPr>
                      <w:sz w:val="20"/>
                    </w:rPr>
                    <w:t xml:space="preserve"> with peppermint tea </w:t>
                  </w:r>
                </w:p>
              </w:tc>
            </w:tr>
            <w:tr w:rsidR="00645DC0" w14:paraId="3CFCF2CE" w14:textId="77777777" w:rsidTr="00645DC0">
              <w:tc>
                <w:tcPr>
                  <w:tcW w:w="2581" w:type="dxa"/>
                </w:tcPr>
                <w:p w14:paraId="1ED83117" w14:textId="317BDAB4" w:rsidR="00645DC0" w:rsidRDefault="00645DC0">
                  <w:pPr>
                    <w:pStyle w:val="TableParagraph"/>
                    <w:ind w:left="0"/>
                    <w:rPr>
                      <w:sz w:val="20"/>
                    </w:rPr>
                  </w:pPr>
                  <w:r>
                    <w:rPr>
                      <w:sz w:val="20"/>
                    </w:rPr>
                    <w:t xml:space="preserve">Indication </w:t>
                  </w:r>
                </w:p>
              </w:tc>
              <w:tc>
                <w:tcPr>
                  <w:tcW w:w="7791" w:type="dxa"/>
                </w:tcPr>
                <w:p w14:paraId="66E0111A" w14:textId="77777777" w:rsidR="00645DC0" w:rsidRDefault="00645DC0">
                  <w:pPr>
                    <w:pStyle w:val="TableParagraph"/>
                    <w:ind w:left="0"/>
                    <w:rPr>
                      <w:sz w:val="20"/>
                    </w:rPr>
                  </w:pPr>
                  <w:bookmarkStart w:id="0" w:name="_GoBack"/>
                  <w:bookmarkEnd w:id="0"/>
                </w:p>
              </w:tc>
            </w:tr>
            <w:tr w:rsidR="00B85BA2" w14:paraId="43497A8E" w14:textId="77777777" w:rsidTr="00645DC0">
              <w:tc>
                <w:tcPr>
                  <w:tcW w:w="2581" w:type="dxa"/>
                </w:tcPr>
                <w:p w14:paraId="7F621002" w14:textId="6DF5EC68" w:rsidR="00B85BA2" w:rsidRDefault="00B85BA2">
                  <w:pPr>
                    <w:pStyle w:val="TableParagraph"/>
                    <w:ind w:left="0"/>
                    <w:rPr>
                      <w:sz w:val="20"/>
                    </w:rPr>
                  </w:pPr>
                  <w:r>
                    <w:rPr>
                      <w:sz w:val="20"/>
                    </w:rPr>
                    <w:t xml:space="preserve">Why is use of this unlicensed medicine being considered? </w:t>
                  </w:r>
                </w:p>
              </w:tc>
              <w:tc>
                <w:tcPr>
                  <w:tcW w:w="7791" w:type="dxa"/>
                </w:tcPr>
                <w:p w14:paraId="700D24CB" w14:textId="562EDD93" w:rsidR="00B85BA2" w:rsidRDefault="00B85BA2">
                  <w:pPr>
                    <w:pStyle w:val="TableParagraph"/>
                    <w:ind w:left="0"/>
                    <w:rPr>
                      <w:sz w:val="20"/>
                    </w:rPr>
                  </w:pPr>
                </w:p>
              </w:tc>
            </w:tr>
            <w:tr w:rsidR="00F15BE1" w14:paraId="36B130C8" w14:textId="77777777" w:rsidTr="00645DC0">
              <w:tc>
                <w:tcPr>
                  <w:tcW w:w="2581" w:type="dxa"/>
                </w:tcPr>
                <w:p w14:paraId="761F415B" w14:textId="55EA7129" w:rsidR="00F15BE1" w:rsidRDefault="00F15BE1" w:rsidP="00F15BE1">
                  <w:pPr>
                    <w:pStyle w:val="TableParagraph"/>
                    <w:ind w:left="0"/>
                    <w:rPr>
                      <w:sz w:val="20"/>
                    </w:rPr>
                  </w:pPr>
                  <w:r>
                    <w:rPr>
                      <w:sz w:val="20"/>
                    </w:rPr>
                    <w:t xml:space="preserve">Please outline the clinical evidence of efficacy to support the use of this product in this </w:t>
                  </w:r>
                  <w:proofErr w:type="gramStart"/>
                  <w:r>
                    <w:rPr>
                      <w:sz w:val="20"/>
                    </w:rPr>
                    <w:t>manner?</w:t>
                  </w:r>
                  <w:proofErr w:type="gramEnd"/>
                  <w:r>
                    <w:rPr>
                      <w:sz w:val="20"/>
                    </w:rPr>
                    <w:t xml:space="preserve"> </w:t>
                  </w:r>
                </w:p>
              </w:tc>
              <w:tc>
                <w:tcPr>
                  <w:tcW w:w="7791" w:type="dxa"/>
                </w:tcPr>
                <w:p w14:paraId="281B3446" w14:textId="63215635" w:rsidR="00F15BE1" w:rsidRPr="00B7404C" w:rsidRDefault="00F15BE1" w:rsidP="00F15BE1">
                  <w:pPr>
                    <w:pStyle w:val="TableParagraph"/>
                    <w:ind w:left="0"/>
                    <w:rPr>
                      <w:sz w:val="20"/>
                      <w:szCs w:val="20"/>
                    </w:rPr>
                  </w:pPr>
                  <w:r w:rsidRPr="00B7404C">
                    <w:rPr>
                      <w:sz w:val="20"/>
                      <w:szCs w:val="20"/>
                    </w:rPr>
                    <w:t xml:space="preserve">See - </w:t>
                  </w:r>
                  <w:hyperlink r:id="rId7" w:history="1">
                    <w:r w:rsidR="00B7404C" w:rsidRPr="00B7404C">
                      <w:rPr>
                        <w:rStyle w:val="Hyperlink"/>
                        <w:sz w:val="20"/>
                        <w:szCs w:val="20"/>
                      </w:rPr>
                      <w:t>https://www.londonhealthmanager.com/blog/metformin-longevity-review-weight-loss-side-effects-aging-and-cancer</w:t>
                    </w:r>
                  </w:hyperlink>
                </w:p>
              </w:tc>
            </w:tr>
            <w:tr w:rsidR="00F15BE1" w14:paraId="159D8EB0" w14:textId="77777777" w:rsidTr="00645DC0">
              <w:tc>
                <w:tcPr>
                  <w:tcW w:w="2581" w:type="dxa"/>
                </w:tcPr>
                <w:p w14:paraId="376B2D44" w14:textId="444F992A" w:rsidR="00F15BE1" w:rsidRDefault="00F15BE1" w:rsidP="00F15BE1">
                  <w:pPr>
                    <w:pStyle w:val="TableParagraph"/>
                    <w:ind w:left="0"/>
                    <w:rPr>
                      <w:sz w:val="20"/>
                    </w:rPr>
                  </w:pPr>
                  <w:r>
                    <w:rPr>
                      <w:sz w:val="20"/>
                    </w:rPr>
                    <w:t>Please outline the safety risks</w:t>
                  </w:r>
                </w:p>
              </w:tc>
              <w:tc>
                <w:tcPr>
                  <w:tcW w:w="7791" w:type="dxa"/>
                </w:tcPr>
                <w:p w14:paraId="25B46BF0" w14:textId="6AB10F86" w:rsidR="00F15BE1" w:rsidRPr="00B7404C" w:rsidRDefault="00F15BE1" w:rsidP="00F15BE1">
                  <w:pPr>
                    <w:pStyle w:val="TableParagraph"/>
                    <w:ind w:left="0"/>
                    <w:rPr>
                      <w:sz w:val="20"/>
                      <w:szCs w:val="20"/>
                    </w:rPr>
                  </w:pPr>
                  <w:r w:rsidRPr="00B7404C">
                    <w:rPr>
                      <w:sz w:val="20"/>
                      <w:szCs w:val="20"/>
                    </w:rPr>
                    <w:t xml:space="preserve">See - </w:t>
                  </w:r>
                  <w:hyperlink r:id="rId8" w:history="1">
                    <w:r w:rsidR="00B7404C" w:rsidRPr="00B7404C">
                      <w:rPr>
                        <w:rStyle w:val="Hyperlink"/>
                        <w:sz w:val="20"/>
                        <w:szCs w:val="20"/>
                      </w:rPr>
                      <w:t>https://www.londonhealthmanager.com/blog/metformin-longevity-review-weight-loss-side-effects-aging-and-cancer</w:t>
                    </w:r>
                  </w:hyperlink>
                </w:p>
              </w:tc>
            </w:tr>
            <w:tr w:rsidR="00F15BE1" w14:paraId="4905E328" w14:textId="77777777" w:rsidTr="00645DC0">
              <w:tc>
                <w:tcPr>
                  <w:tcW w:w="2581" w:type="dxa"/>
                </w:tcPr>
                <w:p w14:paraId="203929EF" w14:textId="7093B4FC" w:rsidR="00F15BE1" w:rsidRDefault="00F15BE1" w:rsidP="00F15BE1">
                  <w:pPr>
                    <w:pStyle w:val="TableParagraph"/>
                    <w:ind w:left="0"/>
                    <w:rPr>
                      <w:sz w:val="20"/>
                    </w:rPr>
                  </w:pPr>
                  <w:r>
                    <w:rPr>
                      <w:sz w:val="20"/>
                    </w:rPr>
                    <w:t>In what situations should you stop this medication</w:t>
                  </w:r>
                </w:p>
              </w:tc>
              <w:tc>
                <w:tcPr>
                  <w:tcW w:w="7791" w:type="dxa"/>
                </w:tcPr>
                <w:p w14:paraId="2E674A09" w14:textId="6068BF4B" w:rsidR="00F15BE1" w:rsidRDefault="00F15BE1" w:rsidP="00F15BE1">
                  <w:pPr>
                    <w:pStyle w:val="TableParagraph"/>
                    <w:numPr>
                      <w:ilvl w:val="0"/>
                      <w:numId w:val="1"/>
                    </w:numPr>
                    <w:rPr>
                      <w:sz w:val="20"/>
                    </w:rPr>
                  </w:pPr>
                  <w:r>
                    <w:rPr>
                      <w:sz w:val="20"/>
                    </w:rPr>
                    <w:t xml:space="preserve">During </w:t>
                  </w:r>
                  <w:r w:rsidR="00645DC0">
                    <w:rPr>
                      <w:sz w:val="20"/>
                    </w:rPr>
                    <w:t xml:space="preserve">days doing </w:t>
                  </w:r>
                  <w:r>
                    <w:rPr>
                      <w:sz w:val="20"/>
                    </w:rPr>
                    <w:t>intense exercise</w:t>
                  </w:r>
                  <w:r w:rsidR="00645DC0">
                    <w:rPr>
                      <w:sz w:val="20"/>
                    </w:rPr>
                    <w:t xml:space="preserve"> (may prevent mitochondrial benefits) </w:t>
                  </w:r>
                </w:p>
                <w:p w14:paraId="1A7A7D68" w14:textId="68BBFFDC" w:rsidR="00645DC0" w:rsidRDefault="00645DC0" w:rsidP="00645DC0">
                  <w:pPr>
                    <w:pStyle w:val="TableParagraph"/>
                    <w:numPr>
                      <w:ilvl w:val="0"/>
                      <w:numId w:val="1"/>
                    </w:numPr>
                    <w:rPr>
                      <w:sz w:val="20"/>
                    </w:rPr>
                  </w:pPr>
                  <w:r>
                    <w:rPr>
                      <w:sz w:val="20"/>
                    </w:rPr>
                    <w:t>During acute illness such as hospital admission (check with clinician)</w:t>
                  </w:r>
                </w:p>
                <w:p w14:paraId="4F838983" w14:textId="21B58CF5" w:rsidR="00F15BE1" w:rsidRDefault="00F15BE1" w:rsidP="00F15BE1">
                  <w:pPr>
                    <w:pStyle w:val="TableParagraph"/>
                    <w:numPr>
                      <w:ilvl w:val="0"/>
                      <w:numId w:val="1"/>
                    </w:numPr>
                    <w:rPr>
                      <w:sz w:val="20"/>
                    </w:rPr>
                  </w:pPr>
                  <w:r>
                    <w:rPr>
                      <w:sz w:val="20"/>
                    </w:rPr>
                    <w:t xml:space="preserve">During </w:t>
                  </w:r>
                  <w:proofErr w:type="spellStart"/>
                  <w:r>
                    <w:rPr>
                      <w:sz w:val="20"/>
                    </w:rPr>
                    <w:t>diarrheoa</w:t>
                  </w:r>
                  <w:proofErr w:type="spellEnd"/>
                  <w:r>
                    <w:rPr>
                      <w:sz w:val="20"/>
                    </w:rPr>
                    <w:t xml:space="preserve"> and vomiting</w:t>
                  </w:r>
                  <w:r w:rsidR="00645DC0">
                    <w:rPr>
                      <w:sz w:val="20"/>
                    </w:rPr>
                    <w:t xml:space="preserve"> (increased risk of lactic acidosis)</w:t>
                  </w:r>
                </w:p>
                <w:p w14:paraId="4C0A7A62" w14:textId="3FB3EAFD" w:rsidR="00F15BE1" w:rsidRPr="00B85BA2" w:rsidRDefault="00F15BE1" w:rsidP="00F15BE1">
                  <w:pPr>
                    <w:pStyle w:val="TableParagraph"/>
                    <w:numPr>
                      <w:ilvl w:val="0"/>
                      <w:numId w:val="1"/>
                    </w:numPr>
                    <w:rPr>
                      <w:sz w:val="20"/>
                    </w:rPr>
                  </w:pPr>
                  <w:r w:rsidRPr="00B85BA2">
                    <w:rPr>
                      <w:sz w:val="20"/>
                    </w:rPr>
                    <w:t xml:space="preserve">At least 2 days before having imaging scans that use injected contrast (contrast CT, MRI, PET etc.) </w:t>
                  </w:r>
                </w:p>
              </w:tc>
            </w:tr>
            <w:tr w:rsidR="00F15BE1" w14:paraId="4DAB2FD5" w14:textId="77777777" w:rsidTr="00645DC0">
              <w:tc>
                <w:tcPr>
                  <w:tcW w:w="2581" w:type="dxa"/>
                </w:tcPr>
                <w:p w14:paraId="20B53D42" w14:textId="52A52EEF" w:rsidR="00F15BE1" w:rsidRDefault="00F15BE1" w:rsidP="00F15BE1">
                  <w:pPr>
                    <w:pStyle w:val="TableParagraph"/>
                    <w:ind w:left="0"/>
                    <w:rPr>
                      <w:sz w:val="20"/>
                    </w:rPr>
                  </w:pPr>
                  <w:r>
                    <w:rPr>
                      <w:sz w:val="20"/>
                    </w:rPr>
                    <w:t>What monitoring is required and at what frequency and reason?</w:t>
                  </w:r>
                </w:p>
              </w:tc>
              <w:tc>
                <w:tcPr>
                  <w:tcW w:w="7791" w:type="dxa"/>
                </w:tcPr>
                <w:p w14:paraId="2CD508FA" w14:textId="6BA9F028" w:rsidR="00F15BE1" w:rsidRDefault="00F15BE1" w:rsidP="00F15BE1">
                  <w:pPr>
                    <w:pStyle w:val="TableParagraph"/>
                    <w:numPr>
                      <w:ilvl w:val="0"/>
                      <w:numId w:val="2"/>
                    </w:numPr>
                    <w:rPr>
                      <w:sz w:val="20"/>
                    </w:rPr>
                  </w:pPr>
                  <w:r>
                    <w:rPr>
                      <w:sz w:val="20"/>
                    </w:rPr>
                    <w:t xml:space="preserve">Annually </w:t>
                  </w:r>
                  <w:r w:rsidRPr="00B85BA2">
                    <w:rPr>
                      <w:sz w:val="20"/>
                    </w:rPr>
                    <w:sym w:font="Wingdings" w:char="F0E0"/>
                  </w:r>
                  <w:r>
                    <w:rPr>
                      <w:sz w:val="20"/>
                    </w:rPr>
                    <w:t xml:space="preserve"> </w:t>
                  </w:r>
                  <w:r w:rsidRPr="00B85BA2">
                    <w:rPr>
                      <w:sz w:val="20"/>
                    </w:rPr>
                    <w:t>Creatinine and estimated glomerular filtration rate (eGFR)</w:t>
                  </w:r>
                  <w:r>
                    <w:rPr>
                      <w:sz w:val="20"/>
                    </w:rPr>
                    <w:t xml:space="preserve"> (for increased risk of lactic acidosis)</w:t>
                  </w:r>
                </w:p>
                <w:p w14:paraId="123C92B6" w14:textId="703C3073" w:rsidR="00F15BE1" w:rsidRDefault="00F15BE1" w:rsidP="00F15BE1">
                  <w:pPr>
                    <w:pStyle w:val="TableParagraph"/>
                    <w:numPr>
                      <w:ilvl w:val="0"/>
                      <w:numId w:val="2"/>
                    </w:numPr>
                    <w:rPr>
                      <w:sz w:val="20"/>
                    </w:rPr>
                  </w:pPr>
                  <w:r>
                    <w:rPr>
                      <w:sz w:val="20"/>
                    </w:rPr>
                    <w:t>Total B12 (for risk of metformin induced B12 deficiency)</w:t>
                  </w:r>
                </w:p>
                <w:p w14:paraId="63FBCB17" w14:textId="2E4B25F6" w:rsidR="00F15BE1" w:rsidRPr="00B85BA2" w:rsidRDefault="00F15BE1" w:rsidP="00F15BE1">
                  <w:pPr>
                    <w:pStyle w:val="TableParagraph"/>
                    <w:numPr>
                      <w:ilvl w:val="0"/>
                      <w:numId w:val="2"/>
                    </w:numPr>
                    <w:rPr>
                      <w:sz w:val="20"/>
                    </w:rPr>
                  </w:pPr>
                  <w:r>
                    <w:rPr>
                      <w:sz w:val="20"/>
                    </w:rPr>
                    <w:t>Full blood count (for B12 deficiency anaemia)</w:t>
                  </w:r>
                </w:p>
              </w:tc>
            </w:tr>
            <w:tr w:rsidR="00645DC0" w14:paraId="0727860F" w14:textId="77777777" w:rsidTr="00645DC0">
              <w:tc>
                <w:tcPr>
                  <w:tcW w:w="2581" w:type="dxa"/>
                </w:tcPr>
                <w:p w14:paraId="5B8AD2A2" w14:textId="58E59676" w:rsidR="00645DC0" w:rsidRDefault="00645DC0" w:rsidP="00F15BE1">
                  <w:pPr>
                    <w:pStyle w:val="TableParagraph"/>
                    <w:ind w:left="0"/>
                    <w:rPr>
                      <w:sz w:val="20"/>
                    </w:rPr>
                  </w:pPr>
                  <w:r>
                    <w:rPr>
                      <w:sz w:val="20"/>
                    </w:rPr>
                    <w:t>Co-prescriptions required</w:t>
                  </w:r>
                </w:p>
              </w:tc>
              <w:tc>
                <w:tcPr>
                  <w:tcW w:w="7791" w:type="dxa"/>
                </w:tcPr>
                <w:p w14:paraId="6C27080A" w14:textId="6B0A5801" w:rsidR="00645DC0" w:rsidRDefault="00645DC0" w:rsidP="00645DC0">
                  <w:pPr>
                    <w:pStyle w:val="TableParagraph"/>
                    <w:numPr>
                      <w:ilvl w:val="0"/>
                      <w:numId w:val="3"/>
                    </w:numPr>
                    <w:rPr>
                      <w:sz w:val="20"/>
                    </w:rPr>
                  </w:pPr>
                  <w:r>
                    <w:rPr>
                      <w:sz w:val="20"/>
                    </w:rPr>
                    <w:t xml:space="preserve">Around 100 micrograms daily of </w:t>
                  </w:r>
                  <w:proofErr w:type="spellStart"/>
                  <w:r>
                    <w:rPr>
                      <w:sz w:val="20"/>
                    </w:rPr>
                    <w:t>methylcobalamin</w:t>
                  </w:r>
                  <w:proofErr w:type="spellEnd"/>
                  <w:r>
                    <w:rPr>
                      <w:sz w:val="20"/>
                    </w:rPr>
                    <w:t xml:space="preserve"> B12, or around 1000 micrograms weekly, as part of an orally taken B12 complex (pills are fine unless client has condition that has causes poor gut absorption, injections and sublingual sprays have no benefit otherwise)</w:t>
                  </w:r>
                </w:p>
                <w:p w14:paraId="06DF0FF5" w14:textId="55F84BCD" w:rsidR="00645DC0" w:rsidRDefault="00645DC0" w:rsidP="00645DC0">
                  <w:pPr>
                    <w:pStyle w:val="TableParagraph"/>
                    <w:numPr>
                      <w:ilvl w:val="0"/>
                      <w:numId w:val="3"/>
                    </w:numPr>
                    <w:rPr>
                      <w:sz w:val="20"/>
                    </w:rPr>
                  </w:pPr>
                  <w:r>
                    <w:rPr>
                      <w:sz w:val="20"/>
                    </w:rPr>
                    <w:t>Good to supplement other B vitamins in concert with B12 so as not to cause secondary B vitamin deficiencies (as recommended by Biolab UK)</w:t>
                  </w:r>
                </w:p>
                <w:p w14:paraId="77BF763A" w14:textId="62E4E792" w:rsidR="00645DC0" w:rsidRDefault="00645DC0" w:rsidP="00645DC0">
                  <w:pPr>
                    <w:pStyle w:val="TableParagraph"/>
                    <w:numPr>
                      <w:ilvl w:val="0"/>
                      <w:numId w:val="3"/>
                    </w:numPr>
                    <w:rPr>
                      <w:sz w:val="20"/>
                    </w:rPr>
                  </w:pPr>
                  <w:r>
                    <w:rPr>
                      <w:sz w:val="20"/>
                    </w:rPr>
                    <w:t xml:space="preserve">We recommend HALF A PILL ONLY of </w:t>
                  </w:r>
                  <w:proofErr w:type="spellStart"/>
                  <w:r>
                    <w:rPr>
                      <w:sz w:val="20"/>
                    </w:rPr>
                    <w:t>Igennus</w:t>
                  </w:r>
                  <w:proofErr w:type="spellEnd"/>
                  <w:r>
                    <w:rPr>
                      <w:sz w:val="20"/>
                    </w:rPr>
                    <w:t xml:space="preserve"> B12 complex from Amazon (</w:t>
                  </w:r>
                  <w:hyperlink r:id="rId9" w:history="1">
                    <w:r w:rsidRPr="00645DC0">
                      <w:rPr>
                        <w:rStyle w:val="Hyperlink"/>
                        <w:b/>
                        <w:bCs/>
                        <w:sz w:val="20"/>
                      </w:rPr>
                      <w:t>click to buy</w:t>
                    </w:r>
                    <w:r>
                      <w:rPr>
                        <w:rStyle w:val="Hyperlink"/>
                        <w:sz w:val="20"/>
                      </w:rPr>
                      <w:t xml:space="preserve"> </w:t>
                    </w:r>
                  </w:hyperlink>
                  <w:r>
                    <w:rPr>
                      <w:sz w:val="20"/>
                    </w:rPr>
                    <w:t>) (no affiliation); this costs around £27 or $35 a year.</w:t>
                  </w:r>
                </w:p>
              </w:tc>
            </w:tr>
            <w:tr w:rsidR="00F15BE1" w14:paraId="272BA222" w14:textId="77777777" w:rsidTr="00645DC0">
              <w:tc>
                <w:tcPr>
                  <w:tcW w:w="2581" w:type="dxa"/>
                </w:tcPr>
                <w:p w14:paraId="4EE7AE59" w14:textId="1EB2B796" w:rsidR="00F15BE1" w:rsidRDefault="00F15BE1" w:rsidP="00F15BE1">
                  <w:pPr>
                    <w:pStyle w:val="TableParagraph"/>
                    <w:ind w:left="0"/>
                    <w:rPr>
                      <w:sz w:val="20"/>
                    </w:rPr>
                  </w:pPr>
                  <w:r>
                    <w:rPr>
                      <w:sz w:val="20"/>
                    </w:rPr>
                    <w:t>Name of prescriber</w:t>
                  </w:r>
                </w:p>
              </w:tc>
              <w:tc>
                <w:tcPr>
                  <w:tcW w:w="7791" w:type="dxa"/>
                </w:tcPr>
                <w:p w14:paraId="2918601B" w14:textId="77777777" w:rsidR="00F15BE1" w:rsidRDefault="00F15BE1" w:rsidP="00F15BE1">
                  <w:pPr>
                    <w:pStyle w:val="TableParagraph"/>
                    <w:ind w:left="360"/>
                    <w:rPr>
                      <w:sz w:val="20"/>
                    </w:rPr>
                  </w:pPr>
                </w:p>
              </w:tc>
            </w:tr>
            <w:tr w:rsidR="00F15BE1" w14:paraId="6A02F13B" w14:textId="77777777" w:rsidTr="00645DC0">
              <w:tc>
                <w:tcPr>
                  <w:tcW w:w="2581" w:type="dxa"/>
                </w:tcPr>
                <w:p w14:paraId="6A3C7720" w14:textId="4B981D7C" w:rsidR="00F15BE1" w:rsidRDefault="00F15BE1" w:rsidP="00F15BE1">
                  <w:pPr>
                    <w:pStyle w:val="TableParagraph"/>
                    <w:ind w:left="0"/>
                    <w:rPr>
                      <w:sz w:val="20"/>
                    </w:rPr>
                  </w:pPr>
                  <w:r>
                    <w:rPr>
                      <w:sz w:val="20"/>
                    </w:rPr>
                    <w:t xml:space="preserve">Registration </w:t>
                  </w:r>
                  <w:r w:rsidR="00645DC0">
                    <w:rPr>
                      <w:sz w:val="20"/>
                    </w:rPr>
                    <w:t>number</w:t>
                  </w:r>
                </w:p>
              </w:tc>
              <w:tc>
                <w:tcPr>
                  <w:tcW w:w="7791" w:type="dxa"/>
                </w:tcPr>
                <w:p w14:paraId="2CB2FF90" w14:textId="77777777" w:rsidR="00F15BE1" w:rsidRDefault="00F15BE1" w:rsidP="00F15BE1">
                  <w:pPr>
                    <w:pStyle w:val="TableParagraph"/>
                    <w:ind w:left="360"/>
                    <w:rPr>
                      <w:sz w:val="20"/>
                    </w:rPr>
                  </w:pPr>
                </w:p>
              </w:tc>
            </w:tr>
            <w:tr w:rsidR="00F15BE1" w14:paraId="60F747BB" w14:textId="77777777" w:rsidTr="00645DC0">
              <w:tc>
                <w:tcPr>
                  <w:tcW w:w="2581" w:type="dxa"/>
                </w:tcPr>
                <w:p w14:paraId="4FF7C047" w14:textId="010F6725" w:rsidR="00F15BE1" w:rsidRDefault="00F15BE1" w:rsidP="00F15BE1">
                  <w:pPr>
                    <w:pStyle w:val="TableParagraph"/>
                    <w:ind w:left="0"/>
                    <w:rPr>
                      <w:sz w:val="20"/>
                    </w:rPr>
                  </w:pPr>
                  <w:r>
                    <w:rPr>
                      <w:sz w:val="20"/>
                    </w:rPr>
                    <w:t xml:space="preserve">Signature </w:t>
                  </w:r>
                </w:p>
              </w:tc>
              <w:tc>
                <w:tcPr>
                  <w:tcW w:w="7791" w:type="dxa"/>
                </w:tcPr>
                <w:p w14:paraId="6E983A08" w14:textId="77777777" w:rsidR="00F15BE1" w:rsidRDefault="00F15BE1" w:rsidP="00F15BE1">
                  <w:pPr>
                    <w:pStyle w:val="TableParagraph"/>
                    <w:ind w:left="360"/>
                    <w:rPr>
                      <w:sz w:val="20"/>
                    </w:rPr>
                  </w:pPr>
                </w:p>
              </w:tc>
            </w:tr>
            <w:tr w:rsidR="00F15BE1" w14:paraId="7F0F4006" w14:textId="77777777" w:rsidTr="00645DC0">
              <w:tc>
                <w:tcPr>
                  <w:tcW w:w="2581" w:type="dxa"/>
                </w:tcPr>
                <w:p w14:paraId="0987B079" w14:textId="341BDDD9" w:rsidR="00F15BE1" w:rsidRDefault="00F15BE1" w:rsidP="00F15BE1">
                  <w:pPr>
                    <w:pStyle w:val="TableParagraph"/>
                    <w:ind w:left="0"/>
                    <w:rPr>
                      <w:sz w:val="20"/>
                    </w:rPr>
                  </w:pPr>
                  <w:r>
                    <w:rPr>
                      <w:sz w:val="20"/>
                    </w:rPr>
                    <w:t>Date of prescription</w:t>
                  </w:r>
                </w:p>
              </w:tc>
              <w:tc>
                <w:tcPr>
                  <w:tcW w:w="7791" w:type="dxa"/>
                </w:tcPr>
                <w:p w14:paraId="3589B5C6" w14:textId="77777777" w:rsidR="00F15BE1" w:rsidRDefault="00F15BE1" w:rsidP="00F15BE1">
                  <w:pPr>
                    <w:pStyle w:val="TableParagraph"/>
                    <w:ind w:left="360"/>
                    <w:rPr>
                      <w:sz w:val="20"/>
                    </w:rPr>
                  </w:pPr>
                </w:p>
              </w:tc>
            </w:tr>
          </w:tbl>
          <w:p w14:paraId="56FD2439" w14:textId="69CDB858" w:rsidR="008A3055" w:rsidRDefault="008A3055">
            <w:pPr>
              <w:pStyle w:val="TableParagraph"/>
              <w:spacing w:before="1"/>
              <w:rPr>
                <w:sz w:val="20"/>
              </w:rPr>
            </w:pPr>
          </w:p>
          <w:p w14:paraId="11ACD651" w14:textId="77777777" w:rsidR="00F15BE1" w:rsidRDefault="00F15BE1" w:rsidP="00F15BE1">
            <w:pPr>
              <w:pStyle w:val="Heading2"/>
              <w:spacing w:before="93"/>
            </w:pPr>
            <w:r>
              <w:t>PATIENT CONSENT</w:t>
            </w:r>
          </w:p>
          <w:p w14:paraId="2EA68F5C" w14:textId="77777777" w:rsidR="00F15BE1" w:rsidRDefault="00F15BE1" w:rsidP="00F15BE1">
            <w:pPr>
              <w:pStyle w:val="BodyText"/>
              <w:spacing w:before="3"/>
              <w:rPr>
                <w:b/>
              </w:rPr>
            </w:pPr>
          </w:p>
          <w:p w14:paraId="7E186D1B" w14:textId="1C3A12FB" w:rsidR="00F15BE1" w:rsidRDefault="00F15BE1" w:rsidP="009067AD">
            <w:pPr>
              <w:pStyle w:val="BodyText"/>
              <w:ind w:left="140" w:right="144"/>
              <w:jc w:val="both"/>
            </w:pPr>
            <w:r>
              <w:t>I confirm that I understand that metformin is not licensed for marketing in this country and that I consent for it to be used as part of my treatment plan.</w:t>
            </w:r>
            <w:r w:rsidR="009067AD">
              <w:t xml:space="preserve"> </w:t>
            </w:r>
            <w:r>
              <w:t>The Doctor supervising this treatment has satisfactorily answered all the questions I have about this medication and its status.</w:t>
            </w:r>
          </w:p>
          <w:p w14:paraId="302D9674" w14:textId="5FF1A5D3" w:rsidR="00F15BE1" w:rsidRDefault="00F15BE1" w:rsidP="00F15BE1">
            <w:pPr>
              <w:pStyle w:val="BodyText"/>
              <w:ind w:left="140"/>
            </w:pPr>
          </w:p>
          <w:tbl>
            <w:tblPr>
              <w:tblStyle w:val="TableGrid"/>
              <w:tblW w:w="0" w:type="auto"/>
              <w:tblInd w:w="140" w:type="dxa"/>
              <w:tblLayout w:type="fixed"/>
              <w:tblLook w:val="04A0" w:firstRow="1" w:lastRow="0" w:firstColumn="1" w:lastColumn="0" w:noHBand="0" w:noVBand="1"/>
            </w:tblPr>
            <w:tblGrid>
              <w:gridCol w:w="4949"/>
              <w:gridCol w:w="4950"/>
            </w:tblGrid>
            <w:tr w:rsidR="00F15BE1" w14:paraId="79BD1C6F" w14:textId="77777777" w:rsidTr="00F15BE1">
              <w:tc>
                <w:tcPr>
                  <w:tcW w:w="4949" w:type="dxa"/>
                </w:tcPr>
                <w:p w14:paraId="2F5487AC" w14:textId="2193F434" w:rsidR="00F15BE1" w:rsidRDefault="00F15BE1" w:rsidP="00F15BE1">
                  <w:pPr>
                    <w:pStyle w:val="BodyText"/>
                  </w:pPr>
                  <w:r>
                    <w:t xml:space="preserve">Name of </w:t>
                  </w:r>
                  <w:proofErr w:type="spellStart"/>
                  <w:r>
                    <w:t>prescribee</w:t>
                  </w:r>
                  <w:proofErr w:type="spellEnd"/>
                </w:p>
              </w:tc>
              <w:tc>
                <w:tcPr>
                  <w:tcW w:w="4950" w:type="dxa"/>
                </w:tcPr>
                <w:p w14:paraId="58E58F73" w14:textId="77777777" w:rsidR="00F15BE1" w:rsidRDefault="00F15BE1" w:rsidP="00F15BE1">
                  <w:pPr>
                    <w:pStyle w:val="BodyText"/>
                  </w:pPr>
                </w:p>
              </w:tc>
            </w:tr>
            <w:tr w:rsidR="00F15BE1" w14:paraId="59097F5F" w14:textId="77777777" w:rsidTr="00F15BE1">
              <w:tc>
                <w:tcPr>
                  <w:tcW w:w="4949" w:type="dxa"/>
                </w:tcPr>
                <w:p w14:paraId="66F8B4D3" w14:textId="1F42F7C5" w:rsidR="00F15BE1" w:rsidRDefault="00F15BE1" w:rsidP="00F15BE1">
                  <w:pPr>
                    <w:pStyle w:val="BodyText"/>
                  </w:pPr>
                  <w:r>
                    <w:t>Signature of prescribe</w:t>
                  </w:r>
                </w:p>
              </w:tc>
              <w:tc>
                <w:tcPr>
                  <w:tcW w:w="4950" w:type="dxa"/>
                </w:tcPr>
                <w:p w14:paraId="6E3DEF12" w14:textId="77777777" w:rsidR="00F15BE1" w:rsidRDefault="00F15BE1" w:rsidP="00F15BE1">
                  <w:pPr>
                    <w:pStyle w:val="BodyText"/>
                  </w:pPr>
                </w:p>
              </w:tc>
            </w:tr>
            <w:tr w:rsidR="00F15BE1" w14:paraId="6BA97ADB" w14:textId="77777777" w:rsidTr="00F15BE1">
              <w:tc>
                <w:tcPr>
                  <w:tcW w:w="4949" w:type="dxa"/>
                </w:tcPr>
                <w:p w14:paraId="5C6846D6" w14:textId="3D44AE99" w:rsidR="00F15BE1" w:rsidRDefault="00F15BE1" w:rsidP="00F15BE1">
                  <w:pPr>
                    <w:pStyle w:val="BodyText"/>
                  </w:pPr>
                  <w:r>
                    <w:t>Date</w:t>
                  </w:r>
                </w:p>
              </w:tc>
              <w:tc>
                <w:tcPr>
                  <w:tcW w:w="4950" w:type="dxa"/>
                </w:tcPr>
                <w:p w14:paraId="27726C17" w14:textId="77777777" w:rsidR="00F15BE1" w:rsidRDefault="00F15BE1" w:rsidP="00F15BE1">
                  <w:pPr>
                    <w:pStyle w:val="BodyText"/>
                  </w:pPr>
                </w:p>
              </w:tc>
            </w:tr>
          </w:tbl>
          <w:p w14:paraId="250C7526" w14:textId="0EEB0A9D" w:rsidR="00F15BE1" w:rsidRDefault="00F15BE1" w:rsidP="00F15BE1">
            <w:pPr>
              <w:pStyle w:val="Heading1"/>
              <w:jc w:val="both"/>
              <w:rPr>
                <w:sz w:val="20"/>
              </w:rPr>
            </w:pPr>
          </w:p>
        </w:tc>
      </w:tr>
    </w:tbl>
    <w:p w14:paraId="1209B090" w14:textId="353B361F" w:rsidR="008A3055" w:rsidRDefault="008A3055" w:rsidP="009067AD">
      <w:pPr>
        <w:pStyle w:val="BodyText"/>
        <w:ind w:left="220" w:right="2504"/>
      </w:pPr>
    </w:p>
    <w:sectPr w:rsidR="008A3055" w:rsidSect="00645DC0">
      <w:type w:val="continuous"/>
      <w:pgSz w:w="11910" w:h="16840"/>
      <w:pgMar w:top="284" w:right="13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5583" w14:textId="77777777" w:rsidR="00E03580" w:rsidRDefault="00E03580" w:rsidP="00F15BE1">
      <w:r>
        <w:separator/>
      </w:r>
    </w:p>
  </w:endnote>
  <w:endnote w:type="continuationSeparator" w:id="0">
    <w:p w14:paraId="66FC954E" w14:textId="77777777" w:rsidR="00E03580" w:rsidRDefault="00E03580" w:rsidP="00F1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52CA" w14:textId="77777777" w:rsidR="00E03580" w:rsidRDefault="00E03580" w:rsidP="00F15BE1">
      <w:r>
        <w:separator/>
      </w:r>
    </w:p>
  </w:footnote>
  <w:footnote w:type="continuationSeparator" w:id="0">
    <w:p w14:paraId="07387ECC" w14:textId="77777777" w:rsidR="00E03580" w:rsidRDefault="00E03580" w:rsidP="00F1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175"/>
    <w:multiLevelType w:val="hybridMultilevel"/>
    <w:tmpl w:val="792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E2515E"/>
    <w:multiLevelType w:val="hybridMultilevel"/>
    <w:tmpl w:val="76B2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C932F4"/>
    <w:multiLevelType w:val="hybridMultilevel"/>
    <w:tmpl w:val="D33A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55"/>
    <w:rsid w:val="00096D3C"/>
    <w:rsid w:val="00645DC0"/>
    <w:rsid w:val="00882C87"/>
    <w:rsid w:val="008A3055"/>
    <w:rsid w:val="009067AD"/>
    <w:rsid w:val="00A37FF5"/>
    <w:rsid w:val="00B12FCD"/>
    <w:rsid w:val="00B7404C"/>
    <w:rsid w:val="00B85BA2"/>
    <w:rsid w:val="00E03580"/>
    <w:rsid w:val="00F1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BC12"/>
  <w15:docId w15:val="{99CDDF6B-870E-43D6-A8C6-44717702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rsid w:val="00F15BE1"/>
    <w:pPr>
      <w:ind w:left="140"/>
      <w:outlineLvl w:val="0"/>
    </w:pPr>
    <w:rPr>
      <w:sz w:val="24"/>
      <w:szCs w:val="24"/>
    </w:rPr>
  </w:style>
  <w:style w:type="paragraph" w:styleId="Heading2">
    <w:name w:val="heading 2"/>
    <w:basedOn w:val="Normal"/>
    <w:link w:val="Heading2Char"/>
    <w:uiPriority w:val="9"/>
    <w:unhideWhenUsed/>
    <w:qFormat/>
    <w:rsid w:val="00F15BE1"/>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table" w:styleId="TableGrid">
    <w:name w:val="Table Grid"/>
    <w:basedOn w:val="TableNormal"/>
    <w:uiPriority w:val="39"/>
    <w:rsid w:val="00B8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BE1"/>
    <w:rPr>
      <w:color w:val="0000FF"/>
      <w:u w:val="single"/>
    </w:rPr>
  </w:style>
  <w:style w:type="character" w:styleId="UnresolvedMention">
    <w:name w:val="Unresolved Mention"/>
    <w:basedOn w:val="DefaultParagraphFont"/>
    <w:uiPriority w:val="99"/>
    <w:semiHidden/>
    <w:unhideWhenUsed/>
    <w:rsid w:val="00F15BE1"/>
    <w:rPr>
      <w:color w:val="605E5C"/>
      <w:shd w:val="clear" w:color="auto" w:fill="E1DFDD"/>
    </w:rPr>
  </w:style>
  <w:style w:type="character" w:customStyle="1" w:styleId="Heading1Char">
    <w:name w:val="Heading 1 Char"/>
    <w:basedOn w:val="DefaultParagraphFont"/>
    <w:link w:val="Heading1"/>
    <w:uiPriority w:val="9"/>
    <w:rsid w:val="00F15BE1"/>
    <w:rPr>
      <w:rFonts w:ascii="Arial" w:eastAsia="Arial" w:hAnsi="Arial" w:cs="Arial"/>
      <w:sz w:val="24"/>
      <w:szCs w:val="24"/>
      <w:lang w:val="en-GB" w:eastAsia="en-GB" w:bidi="en-GB"/>
    </w:rPr>
  </w:style>
  <w:style w:type="character" w:customStyle="1" w:styleId="Heading2Char">
    <w:name w:val="Heading 2 Char"/>
    <w:basedOn w:val="DefaultParagraphFont"/>
    <w:link w:val="Heading2"/>
    <w:uiPriority w:val="9"/>
    <w:rsid w:val="00F15BE1"/>
    <w:rPr>
      <w:rFonts w:ascii="Arial" w:eastAsia="Arial" w:hAnsi="Arial" w:cs="Arial"/>
      <w:b/>
      <w:bCs/>
      <w:lang w:val="en-GB" w:eastAsia="en-GB" w:bidi="en-GB"/>
    </w:rPr>
  </w:style>
  <w:style w:type="paragraph" w:styleId="Header">
    <w:name w:val="header"/>
    <w:basedOn w:val="Normal"/>
    <w:link w:val="HeaderChar"/>
    <w:uiPriority w:val="99"/>
    <w:unhideWhenUsed/>
    <w:rsid w:val="00F15BE1"/>
    <w:pPr>
      <w:tabs>
        <w:tab w:val="center" w:pos="4513"/>
        <w:tab w:val="right" w:pos="9026"/>
      </w:tabs>
    </w:pPr>
  </w:style>
  <w:style w:type="character" w:customStyle="1" w:styleId="HeaderChar">
    <w:name w:val="Header Char"/>
    <w:basedOn w:val="DefaultParagraphFont"/>
    <w:link w:val="Header"/>
    <w:uiPriority w:val="99"/>
    <w:rsid w:val="00F15BE1"/>
    <w:rPr>
      <w:rFonts w:ascii="Arial" w:eastAsia="Arial" w:hAnsi="Arial" w:cs="Arial"/>
      <w:lang w:val="en-GB" w:eastAsia="en-GB" w:bidi="en-GB"/>
    </w:rPr>
  </w:style>
  <w:style w:type="paragraph" w:styleId="Footer">
    <w:name w:val="footer"/>
    <w:basedOn w:val="Normal"/>
    <w:link w:val="FooterChar"/>
    <w:uiPriority w:val="99"/>
    <w:unhideWhenUsed/>
    <w:rsid w:val="00F15BE1"/>
    <w:pPr>
      <w:tabs>
        <w:tab w:val="center" w:pos="4513"/>
        <w:tab w:val="right" w:pos="9026"/>
      </w:tabs>
    </w:pPr>
  </w:style>
  <w:style w:type="character" w:customStyle="1" w:styleId="FooterChar">
    <w:name w:val="Footer Char"/>
    <w:basedOn w:val="DefaultParagraphFont"/>
    <w:link w:val="Footer"/>
    <w:uiPriority w:val="99"/>
    <w:rsid w:val="00F15BE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ondonhealthmanager.com/blog/metformin-longevity-review-weight-loss-side-effects-aging-and-cancer" TargetMode="External"/><Relationship Id="rId3" Type="http://schemas.openxmlformats.org/officeDocument/2006/relationships/settings" Target="settings.xml"/><Relationship Id="rId7" Type="http://schemas.openxmlformats.org/officeDocument/2006/relationships/hyperlink" Target="https://www.londonhealthmanager.com/blog/metformin-longevity-review-weight-loss-side-effects-aging-and-can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Super-B-Complex-Strength-Vitamins-vitamin/dp/B01787E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Salisbury Health Care NHS Trust</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Health Care NHS Trust</dc:title>
  <dc:creator>Salisbury</dc:creator>
  <cp:lastModifiedBy>olizo</cp:lastModifiedBy>
  <cp:revision>3</cp:revision>
  <dcterms:created xsi:type="dcterms:W3CDTF">2019-12-01T23:02:00Z</dcterms:created>
  <dcterms:modified xsi:type="dcterms:W3CDTF">2019-12-03T15:02:00Z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Microsoft® Word 2010</vt:lpwstr>
  </property>
  <property fmtid="{D5CDD505-2E9C-101B-9397-08002B2CF9AE}" pid="4" name="LastSaved">
    <vt:filetime>2019-12-01T00:00:00Z</vt:filetime>
  </property>
</Properties>
</file>