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D816" w14:textId="77777777" w:rsidR="00E32FA6" w:rsidRPr="005027AE" w:rsidRDefault="005027AE" w:rsidP="002E338C">
      <w:pPr>
        <w:jc w:val="center"/>
        <w:rPr>
          <w:rFonts w:asciiTheme="majorHAnsi" w:hAnsiTheme="majorHAnsi" w:cs="Times New Roman"/>
          <w:sz w:val="32"/>
          <w:szCs w:val="32"/>
        </w:rPr>
      </w:pPr>
      <w:r w:rsidRPr="005027AE">
        <w:rPr>
          <w:rFonts w:asciiTheme="majorHAnsi" w:hAnsiTheme="majorHAnsi" w:cs="Times New Roman"/>
          <w:sz w:val="32"/>
          <w:szCs w:val="32"/>
        </w:rPr>
        <w:t>VEILLE BIBLIOGRAPHIQUE AJI : SEPTEMBRE 2017</w:t>
      </w:r>
    </w:p>
    <w:p w14:paraId="44FC8B19" w14:textId="77777777" w:rsidR="005027AE" w:rsidRPr="005027AE" w:rsidRDefault="005027AE" w:rsidP="002E338C">
      <w:pPr>
        <w:jc w:val="center"/>
        <w:rPr>
          <w:rFonts w:asciiTheme="majorHAnsi" w:hAnsiTheme="majorHAnsi" w:cs="Times New Roman"/>
          <w:sz w:val="32"/>
          <w:szCs w:val="32"/>
        </w:rPr>
      </w:pPr>
      <w:r w:rsidRPr="005027AE">
        <w:rPr>
          <w:rFonts w:asciiTheme="majorHAnsi" w:hAnsiTheme="majorHAnsi" w:cs="Times New Roman"/>
          <w:sz w:val="32"/>
          <w:szCs w:val="32"/>
        </w:rPr>
        <w:t>GRENOBLE</w:t>
      </w:r>
    </w:p>
    <w:p w14:paraId="27712662" w14:textId="77777777" w:rsidR="005027AE" w:rsidRPr="005027AE" w:rsidRDefault="005027AE" w:rsidP="00054778">
      <w:pPr>
        <w:jc w:val="both"/>
        <w:rPr>
          <w:rFonts w:asciiTheme="majorHAnsi" w:hAnsiTheme="majorHAnsi"/>
          <w:sz w:val="32"/>
          <w:szCs w:val="32"/>
        </w:rPr>
      </w:pPr>
    </w:p>
    <w:p w14:paraId="3ADA5172" w14:textId="77777777" w:rsidR="005027AE" w:rsidRPr="005027AE" w:rsidRDefault="005027AE" w:rsidP="00054778">
      <w:pPr>
        <w:jc w:val="both"/>
        <w:rPr>
          <w:rFonts w:asciiTheme="majorHAnsi" w:hAnsiTheme="majorHAnsi"/>
          <w:sz w:val="32"/>
          <w:szCs w:val="32"/>
        </w:rPr>
      </w:pPr>
    </w:p>
    <w:p w14:paraId="64736611" w14:textId="1F66A201" w:rsidR="005027AE" w:rsidRDefault="00D44D03" w:rsidP="00054778">
      <w:pPr>
        <w:jc w:val="both"/>
        <w:rPr>
          <w:rFonts w:asciiTheme="majorHAnsi" w:hAnsiTheme="majorHAnsi"/>
          <w:b/>
          <w:color w:val="365F91" w:themeColor="accent1" w:themeShade="BF"/>
          <w:sz w:val="28"/>
          <w:szCs w:val="28"/>
        </w:rPr>
      </w:pPr>
      <w:r w:rsidRPr="00D44D03">
        <w:rPr>
          <w:rFonts w:asciiTheme="majorHAnsi" w:hAnsiTheme="majorHAnsi"/>
          <w:b/>
          <w:color w:val="365F91" w:themeColor="accent1" w:themeShade="BF"/>
          <w:sz w:val="28"/>
          <w:szCs w:val="28"/>
        </w:rPr>
        <w:t xml:space="preserve">VASCULARITE </w:t>
      </w:r>
    </w:p>
    <w:p w14:paraId="3F61C539" w14:textId="24D7F2C7" w:rsidR="004522FD" w:rsidRDefault="004522FD" w:rsidP="00054778">
      <w:pPr>
        <w:jc w:val="both"/>
        <w:rPr>
          <w:rFonts w:asciiTheme="majorHAnsi" w:hAnsiTheme="majorHAnsi"/>
          <w:b/>
          <w:color w:val="365F91" w:themeColor="accent1" w:themeShade="BF"/>
          <w:sz w:val="28"/>
          <w:szCs w:val="28"/>
        </w:rPr>
      </w:pPr>
    </w:p>
    <w:p w14:paraId="32F365D8" w14:textId="77777777" w:rsidR="004522FD" w:rsidRPr="000249CB" w:rsidRDefault="004522FD" w:rsidP="004522FD">
      <w:pPr>
        <w:widowControl w:val="0"/>
        <w:autoSpaceDE w:val="0"/>
        <w:autoSpaceDN w:val="0"/>
        <w:adjustRightInd w:val="0"/>
        <w:jc w:val="both"/>
        <w:rPr>
          <w:rFonts w:asciiTheme="majorHAnsi" w:hAnsiTheme="majorHAnsi" w:cs="Times New Roman"/>
          <w:b/>
          <w:color w:val="4F81BD" w:themeColor="accent1"/>
          <w:lang w:val="en-GB"/>
        </w:rPr>
      </w:pPr>
      <w:r w:rsidRPr="000249CB">
        <w:rPr>
          <w:rFonts w:asciiTheme="majorHAnsi" w:hAnsiTheme="majorHAnsi" w:cs="Times New Roman"/>
          <w:b/>
          <w:color w:val="4F81BD" w:themeColor="accent1"/>
          <w:lang w:val="en-GB"/>
        </w:rPr>
        <w:t>TAKAYASU ARTERITIS AND PREGNANCY: A POPULATION-BASED STUDY ON OUTCOMES AND MOTHER/CHILD-RELATED CONCERNS</w:t>
      </w:r>
    </w:p>
    <w:p w14:paraId="3E96CFD5" w14:textId="77777777" w:rsidR="004522FD" w:rsidRPr="000249CB" w:rsidRDefault="004522FD" w:rsidP="004522FD">
      <w:pPr>
        <w:widowControl w:val="0"/>
        <w:autoSpaceDE w:val="0"/>
        <w:autoSpaceDN w:val="0"/>
        <w:adjustRightInd w:val="0"/>
        <w:jc w:val="both"/>
        <w:rPr>
          <w:rFonts w:asciiTheme="majorHAnsi" w:hAnsiTheme="majorHAnsi" w:cs="Times New Roman"/>
          <w:b/>
          <w:color w:val="4F81BD" w:themeColor="accent1"/>
          <w:lang w:val="en-GB"/>
        </w:rPr>
      </w:pPr>
    </w:p>
    <w:p w14:paraId="3AAFF958" w14:textId="077F8EA8" w:rsidR="004522FD" w:rsidRDefault="004522FD" w:rsidP="004522FD">
      <w:pPr>
        <w:widowControl w:val="0"/>
        <w:autoSpaceDE w:val="0"/>
        <w:autoSpaceDN w:val="0"/>
        <w:adjustRightInd w:val="0"/>
        <w:rPr>
          <w:rFonts w:asciiTheme="majorHAnsi" w:hAnsiTheme="majorHAnsi" w:cs="Times New Roman"/>
          <w:color w:val="231F20"/>
          <w:lang w:val="en-GB"/>
        </w:rPr>
      </w:pPr>
      <w:proofErr w:type="spellStart"/>
      <w:r w:rsidRPr="000249CB">
        <w:rPr>
          <w:rFonts w:asciiTheme="majorHAnsi" w:hAnsiTheme="majorHAnsi" w:cs="Times New Roman"/>
          <w:color w:val="231F20"/>
          <w:lang w:val="en-GB"/>
        </w:rPr>
        <w:t>Birgir</w:t>
      </w:r>
      <w:proofErr w:type="spellEnd"/>
      <w:r w:rsidRPr="000249CB">
        <w:rPr>
          <w:rFonts w:asciiTheme="majorHAnsi" w:hAnsiTheme="majorHAnsi" w:cs="Times New Roman"/>
          <w:color w:val="231F20"/>
          <w:lang w:val="en-GB"/>
        </w:rPr>
        <w:t xml:space="preserve"> </w:t>
      </w:r>
      <w:proofErr w:type="spellStart"/>
      <w:r w:rsidRPr="000249CB">
        <w:rPr>
          <w:rFonts w:asciiTheme="majorHAnsi" w:hAnsiTheme="majorHAnsi" w:cs="Times New Roman"/>
          <w:color w:val="231F20"/>
          <w:lang w:val="en-GB"/>
        </w:rPr>
        <w:t>Gudbrandsson</w:t>
      </w:r>
      <w:proofErr w:type="spellEnd"/>
      <w:r w:rsidRPr="000249CB">
        <w:rPr>
          <w:rFonts w:asciiTheme="majorHAnsi" w:hAnsiTheme="majorHAnsi" w:cs="Times New Roman"/>
          <w:color w:val="231F20"/>
          <w:lang w:val="en-GB"/>
        </w:rPr>
        <w:t>, et al. Arthritis Care &amp; Research Vol. 69, No. 9, September 2017, pp 1384–1390</w:t>
      </w:r>
    </w:p>
    <w:p w14:paraId="1795311C" w14:textId="77777777" w:rsidR="00A73B7B" w:rsidRPr="004B1CD8" w:rsidRDefault="00A73B7B" w:rsidP="00A73B7B">
      <w:pPr>
        <w:widowControl w:val="0"/>
        <w:autoSpaceDE w:val="0"/>
        <w:autoSpaceDN w:val="0"/>
        <w:adjustRightInd w:val="0"/>
        <w:rPr>
          <w:rFonts w:asciiTheme="majorHAnsi" w:hAnsiTheme="majorHAnsi" w:cs="Times New Roman"/>
          <w:color w:val="231F20"/>
          <w:lang w:val="en-GB"/>
        </w:rPr>
      </w:pPr>
      <w:hyperlink r:id="rId5" w:history="1">
        <w:r w:rsidRPr="004B1CD8">
          <w:rPr>
            <w:rStyle w:val="Lienhypertexte"/>
            <w:rFonts w:asciiTheme="majorHAnsi" w:hAnsiTheme="majorHAnsi" w:cs="Times New Roman"/>
            <w:lang w:val="en-GB"/>
          </w:rPr>
          <w:t>https://www.ncbi.nlm.nih.gov/pubmed/?term=TAKAYASU+ARTERITIS+AND+PREGNANCY%3A+A+POPULATION-BASED+STUDY+ON+OUTCOMES+AND+MOTHER%2FCHILD-RELATED+CONCERNS</w:t>
        </w:r>
      </w:hyperlink>
      <w:r w:rsidRPr="004B1CD8">
        <w:rPr>
          <w:rFonts w:asciiTheme="majorHAnsi" w:hAnsiTheme="majorHAnsi" w:cs="Times New Roman"/>
          <w:color w:val="231F20"/>
          <w:lang w:val="en-GB"/>
        </w:rPr>
        <w:t xml:space="preserve"> </w:t>
      </w:r>
    </w:p>
    <w:p w14:paraId="439072E9" w14:textId="77777777" w:rsidR="00A73B7B" w:rsidRPr="000249CB" w:rsidRDefault="00A73B7B" w:rsidP="004522FD">
      <w:pPr>
        <w:widowControl w:val="0"/>
        <w:autoSpaceDE w:val="0"/>
        <w:autoSpaceDN w:val="0"/>
        <w:adjustRightInd w:val="0"/>
        <w:rPr>
          <w:rFonts w:asciiTheme="majorHAnsi" w:hAnsiTheme="majorHAnsi" w:cs="Times New Roman"/>
          <w:color w:val="231F20"/>
          <w:lang w:val="en-GB"/>
        </w:rPr>
      </w:pPr>
    </w:p>
    <w:p w14:paraId="0BFD6C14" w14:textId="77777777" w:rsidR="004522FD" w:rsidRPr="000249CB" w:rsidRDefault="004522FD" w:rsidP="004522FD">
      <w:pPr>
        <w:widowControl w:val="0"/>
        <w:autoSpaceDE w:val="0"/>
        <w:autoSpaceDN w:val="0"/>
        <w:adjustRightInd w:val="0"/>
        <w:rPr>
          <w:rFonts w:asciiTheme="majorHAnsi" w:hAnsiTheme="majorHAnsi" w:cs="Times New Roman"/>
          <w:color w:val="231F20"/>
          <w:lang w:val="en-GB"/>
        </w:rPr>
      </w:pPr>
    </w:p>
    <w:p w14:paraId="1427FD35"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 xml:space="preserve">La maladie de </w:t>
      </w:r>
      <w:proofErr w:type="spellStart"/>
      <w:r w:rsidRPr="00EE7301">
        <w:rPr>
          <w:rFonts w:asciiTheme="majorHAnsi" w:hAnsiTheme="majorHAnsi" w:cs="AdvPSMEL-B"/>
          <w:color w:val="231F20"/>
        </w:rPr>
        <w:t>Takayasu</w:t>
      </w:r>
      <w:proofErr w:type="spellEnd"/>
      <w:r w:rsidRPr="00EE7301">
        <w:rPr>
          <w:rFonts w:asciiTheme="majorHAnsi" w:hAnsiTheme="majorHAnsi" w:cs="AdvPSMEL-B"/>
          <w:color w:val="231F20"/>
        </w:rPr>
        <w:t xml:space="preserve"> (TAK) est une maladie rare (1 cas/million/an en moyenne et une prévalence scandinave de 25/millions) et dont les données au cours de la grossesse sont peu importantes alors que cette pathologie touche avec prédilection la femme jeune en âge de procréer. Si les données actuelles sont rassurantes (pas de modification de l’activité de la maladie au cours de la grossesse), de nombreuses complications ont été rapportées (HTA, </w:t>
      </w:r>
      <w:proofErr w:type="spellStart"/>
      <w:r w:rsidRPr="00EE7301">
        <w:rPr>
          <w:rFonts w:asciiTheme="majorHAnsi" w:hAnsiTheme="majorHAnsi" w:cs="AdvPSMEL-B"/>
          <w:color w:val="231F20"/>
        </w:rPr>
        <w:t>prééclampsie</w:t>
      </w:r>
      <w:proofErr w:type="spellEnd"/>
      <w:r w:rsidRPr="00EE7301">
        <w:rPr>
          <w:rFonts w:asciiTheme="majorHAnsi" w:hAnsiTheme="majorHAnsi" w:cs="AdvPSMEL-B"/>
          <w:color w:val="231F20"/>
        </w:rPr>
        <w:t>, mort fœtale in utero, prématurité…).</w:t>
      </w:r>
    </w:p>
    <w:p w14:paraId="5D2987BC"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 xml:space="preserve">Cette étude rétrospective norvégienne a inclus 58 patientes sur 13 ans (1999-2012) ; il s’agit d’une étude déclarative avec envoi d’un questionnaire à l’ensemble des patientes </w:t>
      </w:r>
      <w:proofErr w:type="spellStart"/>
      <w:r w:rsidRPr="00EE7301">
        <w:rPr>
          <w:rFonts w:asciiTheme="majorHAnsi" w:hAnsiTheme="majorHAnsi" w:cs="AdvPSMEL-B"/>
          <w:color w:val="231F20"/>
        </w:rPr>
        <w:t>screenées</w:t>
      </w:r>
      <w:proofErr w:type="spellEnd"/>
      <w:r w:rsidRPr="00EE7301">
        <w:rPr>
          <w:rFonts w:asciiTheme="majorHAnsi" w:hAnsiTheme="majorHAnsi" w:cs="AdvPSMEL-B"/>
          <w:color w:val="231F20"/>
        </w:rPr>
        <w:t xml:space="preserve"> sur cette période. 44 patientes rapportent au moins une grossesse (76%) pour un total de 110 grossesses. L’intérêt de cette étude est aussi de comparer les grossesses réalisées avant le diagnostic (73) et après (37 grossesses). </w:t>
      </w:r>
    </w:p>
    <w:p w14:paraId="1D491AF4"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 xml:space="preserve">Le pourcentage de </w:t>
      </w:r>
      <w:r w:rsidRPr="00EE7301">
        <w:rPr>
          <w:rFonts w:asciiTheme="majorHAnsi" w:hAnsiTheme="majorHAnsi" w:cs="AdvPSMEL-B"/>
          <w:b/>
          <w:color w:val="231F20"/>
        </w:rPr>
        <w:t>naissance à terme</w:t>
      </w:r>
      <w:r w:rsidRPr="00EE7301">
        <w:rPr>
          <w:rFonts w:asciiTheme="majorHAnsi" w:hAnsiTheme="majorHAnsi" w:cs="AdvPSMEL-B"/>
          <w:color w:val="231F20"/>
        </w:rPr>
        <w:t xml:space="preserve"> était comparable dans les deux groupes (68 et 70%) ; les complications étaient identiques (fausse-couches spontanées précoces, avortement, complications maternelles) en dehors d’un taux plus élevé de césarienne en cas de diagnostic de TAK. En comparaison avec la population générale, le taux de </w:t>
      </w:r>
      <w:r w:rsidRPr="00EE7301">
        <w:rPr>
          <w:rFonts w:asciiTheme="majorHAnsi" w:hAnsiTheme="majorHAnsi" w:cs="AdvPSMEL-B"/>
          <w:b/>
          <w:color w:val="231F20"/>
        </w:rPr>
        <w:t xml:space="preserve">complication obstétricale </w:t>
      </w:r>
      <w:r w:rsidRPr="00EE7301">
        <w:rPr>
          <w:rFonts w:asciiTheme="majorHAnsi" w:hAnsiTheme="majorHAnsi" w:cs="AdvPSMEL-B"/>
          <w:color w:val="231F20"/>
        </w:rPr>
        <w:t xml:space="preserve">était identique en cas de TAK (HTA, </w:t>
      </w:r>
      <w:proofErr w:type="spellStart"/>
      <w:r w:rsidRPr="00EE7301">
        <w:rPr>
          <w:rFonts w:asciiTheme="majorHAnsi" w:hAnsiTheme="majorHAnsi" w:cs="AdvPSMEL-B"/>
          <w:color w:val="231F20"/>
        </w:rPr>
        <w:t>prééclampsie</w:t>
      </w:r>
      <w:proofErr w:type="spellEnd"/>
      <w:r w:rsidRPr="00EE7301">
        <w:rPr>
          <w:rFonts w:asciiTheme="majorHAnsi" w:hAnsiTheme="majorHAnsi" w:cs="AdvPSMEL-B"/>
          <w:color w:val="231F20"/>
        </w:rPr>
        <w:t xml:space="preserve">, prématurité…) bien qu’on note cependant </w:t>
      </w:r>
      <w:r w:rsidRPr="00EE7301">
        <w:rPr>
          <w:rFonts w:asciiTheme="majorHAnsi" w:hAnsiTheme="majorHAnsi" w:cs="AdvPSMEL-B"/>
          <w:b/>
          <w:color w:val="231F20"/>
        </w:rPr>
        <w:t>plus de césarienne et un âge gestationnel plus précoce à 37.5 SA</w:t>
      </w:r>
      <w:r w:rsidRPr="00EE7301">
        <w:rPr>
          <w:rFonts w:asciiTheme="majorHAnsi" w:hAnsiTheme="majorHAnsi" w:cs="AdvPSMEL-B"/>
          <w:color w:val="231F20"/>
        </w:rPr>
        <w:t xml:space="preserve"> (d’où un poids de naissance plus faible de 3.011 kg).</w:t>
      </w:r>
    </w:p>
    <w:p w14:paraId="189BCC73"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 xml:space="preserve">En terme </w:t>
      </w:r>
      <w:r w:rsidRPr="00EE7301">
        <w:rPr>
          <w:rFonts w:asciiTheme="majorHAnsi" w:hAnsiTheme="majorHAnsi" w:cs="AdvPSMEL-B"/>
          <w:b/>
          <w:color w:val="231F20"/>
        </w:rPr>
        <w:t>d’activité maternelle de la maladie</w:t>
      </w:r>
      <w:r w:rsidRPr="00EE7301">
        <w:rPr>
          <w:rFonts w:asciiTheme="majorHAnsi" w:hAnsiTheme="majorHAnsi" w:cs="AdvPSMEL-B"/>
          <w:color w:val="231F20"/>
        </w:rPr>
        <w:t xml:space="preserve">, 74% des patientes ayant présenté une grossesse se déclaraient en rémission, contre 53% chez les patientes n’ayant pas présenté de grossesse (p=0.12). </w:t>
      </w:r>
    </w:p>
    <w:p w14:paraId="2BFF0808"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 xml:space="preserve">En terme de traitement, 47% des patientes enceintes étaient traités par corticoïdes, une patiente par </w:t>
      </w:r>
      <w:proofErr w:type="spellStart"/>
      <w:r w:rsidRPr="00EE7301">
        <w:rPr>
          <w:rFonts w:asciiTheme="majorHAnsi" w:hAnsiTheme="majorHAnsi" w:cs="AdvPSMEL-B"/>
          <w:color w:val="231F20"/>
        </w:rPr>
        <w:t>azathioprine</w:t>
      </w:r>
      <w:proofErr w:type="spellEnd"/>
      <w:r w:rsidRPr="00EE7301">
        <w:rPr>
          <w:rFonts w:asciiTheme="majorHAnsi" w:hAnsiTheme="majorHAnsi" w:cs="AdvPSMEL-B"/>
          <w:color w:val="231F20"/>
        </w:rPr>
        <w:t xml:space="preserve">, une par </w:t>
      </w:r>
      <w:proofErr w:type="spellStart"/>
      <w:r w:rsidRPr="00EE7301">
        <w:rPr>
          <w:rFonts w:asciiTheme="majorHAnsi" w:hAnsiTheme="majorHAnsi" w:cs="AdvPSMEL-B"/>
          <w:color w:val="231F20"/>
        </w:rPr>
        <w:t>infliximab</w:t>
      </w:r>
      <w:proofErr w:type="spellEnd"/>
      <w:r w:rsidRPr="00EE7301">
        <w:rPr>
          <w:rFonts w:asciiTheme="majorHAnsi" w:hAnsiTheme="majorHAnsi" w:cs="AdvPSMEL-B"/>
          <w:color w:val="231F20"/>
        </w:rPr>
        <w:t>.</w:t>
      </w:r>
    </w:p>
    <w:p w14:paraId="71E3F3D8" w14:textId="77777777" w:rsidR="004522FD" w:rsidRPr="00EE7301" w:rsidRDefault="004522FD" w:rsidP="004522FD">
      <w:pPr>
        <w:jc w:val="both"/>
        <w:rPr>
          <w:rFonts w:asciiTheme="majorHAnsi" w:hAnsiTheme="majorHAnsi" w:cs="AdvPSMEL-B"/>
          <w:color w:val="231F20"/>
        </w:rPr>
      </w:pPr>
      <w:r w:rsidRPr="00EE7301">
        <w:rPr>
          <w:rFonts w:asciiTheme="majorHAnsi" w:hAnsiTheme="majorHAnsi" w:cs="AdvPSMEL-B"/>
          <w:color w:val="231F20"/>
        </w:rPr>
        <w:t>Le plus inquiétant était que 33% des patientes rapportaient une contre-indication à la grossesse d’après leurs médecins alors que 48% de ces patientes étaient en rémission de la maladie ; 60% des patientes craignent une transmission mère-enfant de la maladie.</w:t>
      </w:r>
    </w:p>
    <w:p w14:paraId="510E969C" w14:textId="77777777" w:rsidR="004522FD" w:rsidRPr="00EE7301" w:rsidRDefault="004522FD" w:rsidP="004522FD">
      <w:pPr>
        <w:jc w:val="both"/>
        <w:rPr>
          <w:rFonts w:asciiTheme="majorHAnsi" w:hAnsiTheme="majorHAnsi" w:cs="AdvPSMEL-B"/>
          <w:color w:val="231F20"/>
        </w:rPr>
      </w:pPr>
    </w:p>
    <w:p w14:paraId="37B4C34D" w14:textId="77777777" w:rsidR="004522FD" w:rsidRPr="00EE7301" w:rsidRDefault="004522FD" w:rsidP="004522FD">
      <w:pPr>
        <w:jc w:val="both"/>
        <w:rPr>
          <w:rFonts w:asciiTheme="majorHAnsi" w:hAnsiTheme="majorHAnsi"/>
          <w:b/>
        </w:rPr>
      </w:pPr>
      <w:r w:rsidRPr="00EE7301">
        <w:rPr>
          <w:rFonts w:asciiTheme="majorHAnsi" w:hAnsiTheme="majorHAnsi"/>
          <w:b/>
          <w:u w:val="single"/>
        </w:rPr>
        <w:t>A retenir :</w:t>
      </w:r>
      <w:r w:rsidRPr="00EE7301">
        <w:rPr>
          <w:rFonts w:asciiTheme="majorHAnsi" w:hAnsiTheme="majorHAnsi"/>
          <w:b/>
        </w:rPr>
        <w:t xml:space="preserve"> </w:t>
      </w:r>
    </w:p>
    <w:p w14:paraId="2CB538A4" w14:textId="77777777" w:rsidR="004522FD" w:rsidRDefault="004522FD" w:rsidP="004522FD">
      <w:pPr>
        <w:jc w:val="both"/>
        <w:rPr>
          <w:rFonts w:asciiTheme="majorHAnsi" w:hAnsiTheme="majorHAnsi"/>
          <w:b/>
        </w:rPr>
      </w:pPr>
      <w:r w:rsidRPr="00EE7301">
        <w:rPr>
          <w:rFonts w:asciiTheme="majorHAnsi" w:hAnsiTheme="majorHAnsi"/>
          <w:b/>
        </w:rPr>
        <w:t xml:space="preserve">La maladie de </w:t>
      </w:r>
      <w:proofErr w:type="spellStart"/>
      <w:r w:rsidRPr="00EE7301">
        <w:rPr>
          <w:rFonts w:asciiTheme="majorHAnsi" w:hAnsiTheme="majorHAnsi"/>
          <w:b/>
        </w:rPr>
        <w:t>Takayasu</w:t>
      </w:r>
      <w:proofErr w:type="spellEnd"/>
      <w:r w:rsidRPr="00EE7301">
        <w:rPr>
          <w:rFonts w:asciiTheme="majorHAnsi" w:hAnsiTheme="majorHAnsi"/>
          <w:b/>
        </w:rPr>
        <w:t xml:space="preserve"> bien contrôlée ne doit pas constituer une contre-indication à une grossesse du fait du pronostic obstétrical proche de la population générale. Bien </w:t>
      </w:r>
      <w:r w:rsidRPr="00EE7301">
        <w:rPr>
          <w:rFonts w:asciiTheme="majorHAnsi" w:hAnsiTheme="majorHAnsi"/>
          <w:b/>
        </w:rPr>
        <w:lastRenderedPageBreak/>
        <w:t>évidemment et comme toute maladie systémique, cette grossesse doit être encadrée par une équipe pluridisciplinaire et planifiée</w:t>
      </w:r>
    </w:p>
    <w:p w14:paraId="3F4AB2FC" w14:textId="77777777" w:rsidR="004522FD" w:rsidRDefault="004522FD" w:rsidP="004522FD">
      <w:pPr>
        <w:jc w:val="both"/>
        <w:rPr>
          <w:rFonts w:asciiTheme="majorHAnsi" w:hAnsiTheme="majorHAnsi"/>
          <w:b/>
        </w:rPr>
      </w:pPr>
    </w:p>
    <w:p w14:paraId="2FC14B5C" w14:textId="77777777" w:rsidR="004522FD" w:rsidRDefault="004522FD" w:rsidP="004522FD">
      <w:pPr>
        <w:jc w:val="both"/>
        <w:rPr>
          <w:rFonts w:asciiTheme="majorHAnsi" w:hAnsiTheme="majorHAnsi"/>
          <w:b/>
        </w:rPr>
      </w:pPr>
    </w:p>
    <w:p w14:paraId="09C0FDB7" w14:textId="77777777" w:rsidR="004522FD" w:rsidRPr="000249CB" w:rsidRDefault="004522FD" w:rsidP="004522FD">
      <w:pPr>
        <w:jc w:val="both"/>
        <w:rPr>
          <w:rFonts w:asciiTheme="majorHAnsi" w:hAnsiTheme="majorHAnsi"/>
          <w:b/>
          <w:color w:val="4F81BD" w:themeColor="accent1"/>
          <w:lang w:val="en-GB"/>
        </w:rPr>
      </w:pPr>
      <w:r w:rsidRPr="000249CB">
        <w:rPr>
          <w:rFonts w:asciiTheme="majorHAnsi" w:hAnsiTheme="majorHAnsi"/>
          <w:b/>
          <w:color w:val="4F81BD" w:themeColor="accent1"/>
          <w:lang w:val="en-GB"/>
        </w:rPr>
        <w:t>SYSTEMIC LUPUS ERYTHEMATOSUS AND LYMPHOPENIA: CLINICAL AND PATHOPHYSIOLOGICAL FEATURES</w:t>
      </w:r>
    </w:p>
    <w:p w14:paraId="4BD21206" w14:textId="77777777" w:rsidR="004522FD" w:rsidRPr="000249CB" w:rsidRDefault="004522FD" w:rsidP="004522FD">
      <w:pPr>
        <w:jc w:val="both"/>
        <w:rPr>
          <w:rFonts w:asciiTheme="majorHAnsi" w:hAnsiTheme="majorHAnsi"/>
          <w:lang w:val="en-GB"/>
        </w:rPr>
      </w:pPr>
    </w:p>
    <w:p w14:paraId="550A4107" w14:textId="77777777" w:rsidR="004522FD" w:rsidRPr="00EE7301" w:rsidRDefault="004522FD" w:rsidP="004522FD">
      <w:pPr>
        <w:jc w:val="both"/>
        <w:rPr>
          <w:rFonts w:asciiTheme="majorHAnsi" w:hAnsiTheme="majorHAnsi"/>
        </w:rPr>
      </w:pPr>
      <w:r w:rsidRPr="00EE7301">
        <w:rPr>
          <w:rFonts w:asciiTheme="majorHAnsi" w:hAnsiTheme="majorHAnsi"/>
        </w:rPr>
        <w:t xml:space="preserve">Martin M et al. </w:t>
      </w:r>
      <w:proofErr w:type="spellStart"/>
      <w:r w:rsidRPr="00EE7301">
        <w:rPr>
          <w:rFonts w:asciiTheme="majorHAnsi" w:hAnsiTheme="majorHAnsi"/>
        </w:rPr>
        <w:t>Rev</w:t>
      </w:r>
      <w:proofErr w:type="spellEnd"/>
      <w:r w:rsidRPr="00EE7301">
        <w:rPr>
          <w:rFonts w:asciiTheme="majorHAnsi" w:hAnsiTheme="majorHAnsi"/>
        </w:rPr>
        <w:t xml:space="preserve"> Med Interne. 2017 Sep;38(9):603–13.</w:t>
      </w:r>
    </w:p>
    <w:p w14:paraId="056D8303" w14:textId="2B6C1268" w:rsidR="004522FD" w:rsidRDefault="00A73B7B" w:rsidP="00A73B7B">
      <w:pPr>
        <w:jc w:val="both"/>
        <w:rPr>
          <w:rFonts w:cs="AdvPSMEL-B"/>
          <w:i/>
          <w:color w:val="231F20"/>
        </w:rPr>
      </w:pPr>
      <w:hyperlink r:id="rId6" w:history="1">
        <w:r w:rsidRPr="00A73B7B">
          <w:rPr>
            <w:rStyle w:val="Lienhypertexte"/>
            <w:rFonts w:asciiTheme="majorHAnsi" w:hAnsiTheme="majorHAnsi"/>
          </w:rPr>
          <w:t>https://www.ncbi.nlm.nih.gov/pubmed/?term=SYSTEMIC+LUPUS+ERYTHEMATOSUS+AND+LYMPHOPENIA%3A+CLINICAL+AND+PATHOPHYSIOLOGICAL+FEATURES</w:t>
        </w:r>
      </w:hyperlink>
    </w:p>
    <w:p w14:paraId="7C5097D8" w14:textId="77777777" w:rsidR="00A73B7B" w:rsidRDefault="00A73B7B" w:rsidP="004522FD">
      <w:pPr>
        <w:jc w:val="both"/>
        <w:rPr>
          <w:rFonts w:cs="AdvPSMEL-B"/>
          <w:color w:val="231F20"/>
        </w:rPr>
      </w:pPr>
    </w:p>
    <w:p w14:paraId="5547B8EB" w14:textId="6C0AFB1E" w:rsidR="004522FD" w:rsidRDefault="004522FD" w:rsidP="004522FD">
      <w:pPr>
        <w:jc w:val="both"/>
        <w:rPr>
          <w:rFonts w:cs="AdvPSMEL-B"/>
          <w:color w:val="231F20"/>
        </w:rPr>
      </w:pPr>
      <w:r>
        <w:rPr>
          <w:rFonts w:cs="AdvPSMEL-B"/>
          <w:color w:val="231F20"/>
        </w:rPr>
        <w:t>Cette mise au point parue dans la Revue de Médecine Interne réalisée par l’équipe strasbourgeoise fait un excellent état de lieu des connaissances sur la lymphopénie au cours du LES qui serait présente dans 15 à 82% des cas selon les études, et serait inférieure à 0.5 G/l dans 10% des cas.</w:t>
      </w:r>
    </w:p>
    <w:p w14:paraId="3B8DFD5E" w14:textId="77777777" w:rsidR="004522FD" w:rsidRDefault="004522FD" w:rsidP="004522FD">
      <w:pPr>
        <w:jc w:val="both"/>
        <w:rPr>
          <w:rFonts w:cs="AdvPSMEL-B"/>
          <w:color w:val="231F20"/>
        </w:rPr>
      </w:pPr>
      <w:r>
        <w:rPr>
          <w:rFonts w:cs="AdvPSMEL-B"/>
          <w:color w:val="231F20"/>
        </w:rPr>
        <w:t>La physiopathologie est complexe et multifactorielle, faisant intervenir :</w:t>
      </w:r>
    </w:p>
    <w:p w14:paraId="513DCB80" w14:textId="77777777" w:rsidR="004522FD" w:rsidRDefault="004522FD" w:rsidP="004522FD">
      <w:pPr>
        <w:pStyle w:val="Paragraphedeliste"/>
        <w:numPr>
          <w:ilvl w:val="0"/>
          <w:numId w:val="2"/>
        </w:numPr>
        <w:jc w:val="both"/>
        <w:rPr>
          <w:rFonts w:cs="AdvPSMEL-B"/>
          <w:color w:val="231F20"/>
          <w:sz w:val="24"/>
          <w:szCs w:val="24"/>
        </w:rPr>
      </w:pPr>
      <w:proofErr w:type="gramStart"/>
      <w:r w:rsidRPr="00C06B0D">
        <w:rPr>
          <w:rFonts w:cs="AdvPSMEL-B"/>
          <w:color w:val="231F20"/>
          <w:sz w:val="24"/>
          <w:szCs w:val="24"/>
        </w:rPr>
        <w:t>des</w:t>
      </w:r>
      <w:proofErr w:type="gramEnd"/>
      <w:r w:rsidRPr="00C06B0D">
        <w:rPr>
          <w:rFonts w:cs="AdvPSMEL-B"/>
          <w:color w:val="231F20"/>
          <w:sz w:val="24"/>
          <w:szCs w:val="24"/>
        </w:rPr>
        <w:t xml:space="preserve"> anticorps </w:t>
      </w:r>
      <w:proofErr w:type="spellStart"/>
      <w:r w:rsidRPr="00C06B0D">
        <w:rPr>
          <w:rFonts w:cs="AdvPSMEL-B"/>
          <w:color w:val="231F20"/>
          <w:sz w:val="24"/>
          <w:szCs w:val="24"/>
        </w:rPr>
        <w:t>lymphocytotoxiques</w:t>
      </w:r>
      <w:proofErr w:type="spellEnd"/>
      <w:r w:rsidRPr="00C06B0D">
        <w:rPr>
          <w:rFonts w:cs="AdvPSMEL-B"/>
          <w:color w:val="231F20"/>
          <w:sz w:val="24"/>
          <w:szCs w:val="24"/>
        </w:rPr>
        <w:t xml:space="preserve"> (par ADCC), </w:t>
      </w:r>
    </w:p>
    <w:p w14:paraId="4AB4CADC" w14:textId="77777777" w:rsidR="004522FD" w:rsidRDefault="004522FD" w:rsidP="004522FD">
      <w:pPr>
        <w:pStyle w:val="Paragraphedeliste"/>
        <w:numPr>
          <w:ilvl w:val="0"/>
          <w:numId w:val="2"/>
        </w:numPr>
        <w:jc w:val="both"/>
        <w:rPr>
          <w:rFonts w:cs="AdvPSMEL-B"/>
          <w:color w:val="231F20"/>
          <w:sz w:val="24"/>
          <w:szCs w:val="24"/>
        </w:rPr>
      </w:pPr>
      <w:proofErr w:type="gramStart"/>
      <w:r w:rsidRPr="00C06B0D">
        <w:rPr>
          <w:rFonts w:cs="AdvPSMEL-B"/>
          <w:color w:val="231F20"/>
          <w:sz w:val="24"/>
          <w:szCs w:val="24"/>
        </w:rPr>
        <w:t>un</w:t>
      </w:r>
      <w:proofErr w:type="gramEnd"/>
      <w:r w:rsidRPr="00C06B0D">
        <w:rPr>
          <w:rFonts w:cs="AdvPSMEL-B"/>
          <w:color w:val="231F20"/>
          <w:sz w:val="24"/>
          <w:szCs w:val="24"/>
        </w:rPr>
        <w:t xml:space="preserve"> excès d’apoptose des lymphocytes T par </w:t>
      </w:r>
      <w:proofErr w:type="spellStart"/>
      <w:r w:rsidRPr="00C06B0D">
        <w:rPr>
          <w:rFonts w:cs="AdvPSMEL-B"/>
          <w:color w:val="231F20"/>
          <w:sz w:val="24"/>
          <w:szCs w:val="24"/>
        </w:rPr>
        <w:t>hyperexpression</w:t>
      </w:r>
      <w:proofErr w:type="spellEnd"/>
      <w:r w:rsidRPr="00C06B0D">
        <w:rPr>
          <w:rFonts w:cs="AdvPSMEL-B"/>
          <w:color w:val="231F20"/>
          <w:sz w:val="24"/>
          <w:szCs w:val="24"/>
        </w:rPr>
        <w:t xml:space="preserve"> de </w:t>
      </w:r>
      <w:proofErr w:type="spellStart"/>
      <w:r w:rsidRPr="00C06B0D">
        <w:rPr>
          <w:rFonts w:cs="AdvPSMEL-B"/>
          <w:color w:val="231F20"/>
          <w:sz w:val="24"/>
          <w:szCs w:val="24"/>
        </w:rPr>
        <w:t>Fas</w:t>
      </w:r>
      <w:proofErr w:type="spellEnd"/>
      <w:r w:rsidRPr="00C06B0D">
        <w:rPr>
          <w:rFonts w:cs="AdvPSMEL-B"/>
          <w:color w:val="231F20"/>
          <w:sz w:val="24"/>
          <w:szCs w:val="24"/>
        </w:rPr>
        <w:t xml:space="preserve">, </w:t>
      </w:r>
      <w:r>
        <w:rPr>
          <w:rFonts w:cs="AdvPSMEL-B"/>
          <w:color w:val="231F20"/>
          <w:sz w:val="24"/>
          <w:szCs w:val="24"/>
        </w:rPr>
        <w:t xml:space="preserve">par </w:t>
      </w:r>
      <w:r w:rsidRPr="00C06B0D">
        <w:rPr>
          <w:rFonts w:cs="AdvPSMEL-B"/>
          <w:color w:val="231F20"/>
          <w:sz w:val="24"/>
          <w:szCs w:val="24"/>
        </w:rPr>
        <w:t>déficit d’expression de CD28</w:t>
      </w:r>
      <w:r>
        <w:rPr>
          <w:rFonts w:cs="AdvPSMEL-B"/>
          <w:color w:val="231F20"/>
          <w:sz w:val="24"/>
          <w:szCs w:val="24"/>
        </w:rPr>
        <w:t xml:space="preserve"> et/ou mort cellulaire passive (</w:t>
      </w:r>
      <w:proofErr w:type="spellStart"/>
      <w:r w:rsidRPr="00C06B0D">
        <w:rPr>
          <w:rFonts w:cs="AdvPSMEL-B"/>
          <w:i/>
          <w:color w:val="231F20"/>
          <w:sz w:val="24"/>
          <w:szCs w:val="24"/>
        </w:rPr>
        <w:t>neglect-apoptosis</w:t>
      </w:r>
      <w:proofErr w:type="spellEnd"/>
      <w:r>
        <w:rPr>
          <w:rFonts w:cs="AdvPSMEL-B"/>
          <w:color w:val="231F20"/>
          <w:sz w:val="24"/>
          <w:szCs w:val="24"/>
        </w:rPr>
        <w:t>)</w:t>
      </w:r>
    </w:p>
    <w:p w14:paraId="14D74034" w14:textId="77777777" w:rsidR="004522FD" w:rsidRDefault="004522FD" w:rsidP="004522FD">
      <w:pPr>
        <w:pStyle w:val="Paragraphedeliste"/>
        <w:numPr>
          <w:ilvl w:val="0"/>
          <w:numId w:val="2"/>
        </w:numPr>
        <w:jc w:val="both"/>
        <w:rPr>
          <w:rFonts w:cs="AdvPSMEL-B"/>
          <w:color w:val="231F20"/>
          <w:sz w:val="24"/>
          <w:szCs w:val="24"/>
        </w:rPr>
      </w:pPr>
      <w:proofErr w:type="gramStart"/>
      <w:r>
        <w:rPr>
          <w:rFonts w:cs="AdvPSMEL-B"/>
          <w:color w:val="231F20"/>
          <w:sz w:val="24"/>
          <w:szCs w:val="24"/>
        </w:rPr>
        <w:t>déficit</w:t>
      </w:r>
      <w:proofErr w:type="gramEnd"/>
      <w:r>
        <w:rPr>
          <w:rFonts w:cs="AdvPSMEL-B"/>
          <w:color w:val="231F20"/>
          <w:sz w:val="24"/>
          <w:szCs w:val="24"/>
        </w:rPr>
        <w:t xml:space="preserve"> en protéines du complément</w:t>
      </w:r>
    </w:p>
    <w:p w14:paraId="20C6BC0C" w14:textId="77777777" w:rsidR="004522FD" w:rsidRDefault="004522FD" w:rsidP="004522FD">
      <w:pPr>
        <w:pStyle w:val="Paragraphedeliste"/>
        <w:numPr>
          <w:ilvl w:val="0"/>
          <w:numId w:val="2"/>
        </w:numPr>
        <w:jc w:val="both"/>
        <w:rPr>
          <w:rFonts w:cs="AdvPSMEL-B"/>
          <w:color w:val="231F20"/>
          <w:sz w:val="24"/>
          <w:szCs w:val="24"/>
        </w:rPr>
      </w:pPr>
      <w:proofErr w:type="gramStart"/>
      <w:r>
        <w:rPr>
          <w:rFonts w:cs="AdvPSMEL-B"/>
          <w:color w:val="231F20"/>
          <w:sz w:val="24"/>
          <w:szCs w:val="24"/>
        </w:rPr>
        <w:t>déficit</w:t>
      </w:r>
      <w:proofErr w:type="gramEnd"/>
      <w:r>
        <w:rPr>
          <w:rFonts w:cs="AdvPSMEL-B"/>
          <w:color w:val="231F20"/>
          <w:sz w:val="24"/>
          <w:szCs w:val="24"/>
        </w:rPr>
        <w:t xml:space="preserve"> de la lymphopoïèse </w:t>
      </w:r>
    </w:p>
    <w:p w14:paraId="0328D1D5" w14:textId="77777777" w:rsidR="004522FD" w:rsidRPr="00C06B0D" w:rsidRDefault="004522FD" w:rsidP="004522FD">
      <w:pPr>
        <w:pStyle w:val="Paragraphedeliste"/>
        <w:numPr>
          <w:ilvl w:val="0"/>
          <w:numId w:val="2"/>
        </w:numPr>
        <w:jc w:val="both"/>
        <w:rPr>
          <w:rFonts w:cs="AdvPSMEL-B"/>
          <w:color w:val="231F20"/>
          <w:sz w:val="24"/>
          <w:szCs w:val="24"/>
        </w:rPr>
      </w:pPr>
      <w:proofErr w:type="gramStart"/>
      <w:r>
        <w:rPr>
          <w:rFonts w:cs="AdvPSMEL-B"/>
          <w:color w:val="231F20"/>
          <w:sz w:val="24"/>
          <w:szCs w:val="24"/>
        </w:rPr>
        <w:t>séquestration</w:t>
      </w:r>
      <w:proofErr w:type="gramEnd"/>
      <w:r>
        <w:rPr>
          <w:rFonts w:cs="AdvPSMEL-B"/>
          <w:color w:val="231F20"/>
          <w:sz w:val="24"/>
          <w:szCs w:val="24"/>
        </w:rPr>
        <w:t xml:space="preserve"> lymphocytaire dans les organes lymphoïdes secondaires avec lymphopénie périphérique relative.</w:t>
      </w:r>
    </w:p>
    <w:p w14:paraId="50069811" w14:textId="77777777" w:rsidR="004522FD" w:rsidRPr="00042D3A" w:rsidRDefault="004522FD" w:rsidP="004522FD">
      <w:pPr>
        <w:jc w:val="both"/>
        <w:rPr>
          <w:rFonts w:cs="AdvPSMEL-B"/>
          <w:b/>
          <w:color w:val="231F20"/>
        </w:rPr>
      </w:pPr>
      <w:r>
        <w:rPr>
          <w:rFonts w:cs="AdvPSMEL-B"/>
          <w:color w:val="231F20"/>
        </w:rPr>
        <w:t xml:space="preserve">Plus intéressant en pratique clinique courante, il est mis en évidence une </w:t>
      </w:r>
      <w:r w:rsidRPr="00042D3A">
        <w:rPr>
          <w:rFonts w:cs="AdvPSMEL-B"/>
          <w:b/>
          <w:color w:val="231F20"/>
        </w:rPr>
        <w:t>corrélation positive entre la lymphopénie et la sévérité de la maladie</w:t>
      </w:r>
      <w:r>
        <w:rPr>
          <w:rFonts w:cs="AdvPSMEL-B"/>
          <w:color w:val="231F20"/>
        </w:rPr>
        <w:t xml:space="preserve"> (avec notamment l’atteinte rénale et les </w:t>
      </w:r>
      <w:proofErr w:type="spellStart"/>
      <w:r>
        <w:rPr>
          <w:rFonts w:cs="AdvPSMEL-B"/>
          <w:color w:val="231F20"/>
        </w:rPr>
        <w:t>sérites</w:t>
      </w:r>
      <w:proofErr w:type="spellEnd"/>
      <w:r>
        <w:rPr>
          <w:rFonts w:cs="AdvPSMEL-B"/>
          <w:color w:val="231F20"/>
        </w:rPr>
        <w:t xml:space="preserve">) et entre cette lymphopénie et l’auto-immunité sérique (anti-ADN, anti-SSA). De même, </w:t>
      </w:r>
      <w:r w:rsidRPr="00042D3A">
        <w:rPr>
          <w:rFonts w:cs="AdvPSMEL-B"/>
          <w:b/>
          <w:color w:val="231F20"/>
        </w:rPr>
        <w:t>la</w:t>
      </w:r>
      <w:r>
        <w:rPr>
          <w:rFonts w:cs="AdvPSMEL-B"/>
          <w:color w:val="231F20"/>
        </w:rPr>
        <w:t xml:space="preserve"> </w:t>
      </w:r>
      <w:r w:rsidRPr="00042D3A">
        <w:rPr>
          <w:rFonts w:cs="AdvPSMEL-B"/>
          <w:b/>
          <w:color w:val="231F20"/>
        </w:rPr>
        <w:t>lymphopénie est associée à l’activité du LES</w:t>
      </w:r>
      <w:r>
        <w:rPr>
          <w:rFonts w:cs="AdvPSMEL-B"/>
          <w:color w:val="231F20"/>
        </w:rPr>
        <w:t xml:space="preserve"> (risque de poussée et score SLEDAI) avec une corrélation négative entre l’importance de la lymphopénie et l’activité lupique. </w:t>
      </w:r>
      <w:r w:rsidRPr="00042D3A">
        <w:rPr>
          <w:rFonts w:cs="AdvPSMEL-B"/>
          <w:b/>
          <w:color w:val="231F20"/>
        </w:rPr>
        <w:t>Le seul facteur protecteur de survenue de la lymphopénie connue semble être l’</w:t>
      </w:r>
      <w:proofErr w:type="spellStart"/>
      <w:r w:rsidRPr="00042D3A">
        <w:rPr>
          <w:rFonts w:cs="AdvPSMEL-B"/>
          <w:b/>
          <w:color w:val="231F20"/>
        </w:rPr>
        <w:t>hydroxychloroquine</w:t>
      </w:r>
      <w:proofErr w:type="spellEnd"/>
      <w:r w:rsidRPr="00042D3A">
        <w:rPr>
          <w:rFonts w:cs="AdvPSMEL-B"/>
          <w:b/>
          <w:color w:val="231F20"/>
        </w:rPr>
        <w:t>.</w:t>
      </w:r>
    </w:p>
    <w:p w14:paraId="2804AD28" w14:textId="77777777" w:rsidR="004522FD" w:rsidRDefault="004522FD" w:rsidP="004522FD">
      <w:pPr>
        <w:jc w:val="both"/>
        <w:rPr>
          <w:rFonts w:cs="AdvPSMEL-B"/>
          <w:i/>
          <w:color w:val="231F20"/>
        </w:rPr>
      </w:pPr>
      <w:r>
        <w:rPr>
          <w:rFonts w:cs="AdvPSMEL-B"/>
          <w:color w:val="231F20"/>
        </w:rPr>
        <w:t xml:space="preserve">Le risque infectieux est la première complication évoquée devant toute lymphopénie, indépendamment de la prise d’immunosuppresseurs ; la lymphopénie est associée à un risque plus élevé d’infection majeure chez les lupiques (OR 5.14) de même qu’une corticothérapie au long cours, </w:t>
      </w:r>
      <w:r w:rsidRPr="00646A5A">
        <w:rPr>
          <w:rFonts w:cs="AdvPSMEL-B"/>
          <w:color w:val="231F20"/>
        </w:rPr>
        <w:t>alors</w:t>
      </w:r>
      <w:r>
        <w:rPr>
          <w:rFonts w:cs="AdvPSMEL-B"/>
          <w:color w:val="231F20"/>
        </w:rPr>
        <w:t xml:space="preserve"> que les immunosuppresseurs n’étaient pas associés à un tel risque. </w:t>
      </w:r>
      <w:r w:rsidRPr="00646A5A">
        <w:rPr>
          <w:rFonts w:cs="AdvPSMEL-B"/>
          <w:b/>
          <w:color w:val="231F20"/>
        </w:rPr>
        <w:t>L’</w:t>
      </w:r>
      <w:proofErr w:type="spellStart"/>
      <w:r w:rsidRPr="00646A5A">
        <w:rPr>
          <w:rFonts w:cs="AdvPSMEL-B"/>
          <w:b/>
          <w:color w:val="231F20"/>
        </w:rPr>
        <w:t>hydroxychloroquine</w:t>
      </w:r>
      <w:proofErr w:type="spellEnd"/>
      <w:r w:rsidRPr="00646A5A">
        <w:rPr>
          <w:rFonts w:cs="AdvPSMEL-B"/>
          <w:b/>
          <w:color w:val="231F20"/>
        </w:rPr>
        <w:t xml:space="preserve"> par contre diminuerait le risque infectieux.</w:t>
      </w:r>
      <w:r>
        <w:rPr>
          <w:rFonts w:cs="AdvPSMEL-B"/>
          <w:b/>
          <w:color w:val="231F20"/>
        </w:rPr>
        <w:t xml:space="preserve"> </w:t>
      </w:r>
      <w:r>
        <w:rPr>
          <w:rFonts w:cs="AdvPSMEL-B"/>
          <w:color w:val="231F20"/>
        </w:rPr>
        <w:t xml:space="preserve">Les infections sont essentiellement bactériennes (sepsis uro-génitaux, peau et tissus mous, pneumopathies), beaucoup plus rarement virales et opportunistes (pneumocystoses, infections fongiques). </w:t>
      </w:r>
      <w:r w:rsidRPr="00D07C84">
        <w:rPr>
          <w:rFonts w:cs="AdvPSMEL-B"/>
          <w:i/>
          <w:color w:val="231F20"/>
        </w:rPr>
        <w:t>La prise en charge repose essentiellement sur la vaccination et la surveillance de ces patients, alors que la prophylaxie antibiotique ne bénéficie pas de recommandation et reste à la libre appréciation du prescripteur (prescription si seuil inférieur à 200/mm3 de CD4 ou en prévention secondaire).</w:t>
      </w:r>
    </w:p>
    <w:p w14:paraId="56738E01" w14:textId="77777777" w:rsidR="004522FD" w:rsidRPr="00646A5A" w:rsidRDefault="004522FD" w:rsidP="004522FD">
      <w:pPr>
        <w:jc w:val="both"/>
        <w:rPr>
          <w:rFonts w:cs="AdvPSMEL-B"/>
          <w:color w:val="231F20"/>
        </w:rPr>
      </w:pPr>
    </w:p>
    <w:p w14:paraId="2A1B983A" w14:textId="77777777" w:rsidR="004522FD" w:rsidRDefault="004522FD" w:rsidP="004522FD">
      <w:pPr>
        <w:jc w:val="both"/>
        <w:rPr>
          <w:b/>
        </w:rPr>
      </w:pPr>
      <w:r w:rsidRPr="00694756">
        <w:rPr>
          <w:b/>
          <w:u w:val="single"/>
        </w:rPr>
        <w:t>A retenir :</w:t>
      </w:r>
      <w:r w:rsidRPr="00694756">
        <w:rPr>
          <w:b/>
        </w:rPr>
        <w:t xml:space="preserve"> </w:t>
      </w:r>
    </w:p>
    <w:p w14:paraId="7FABB711" w14:textId="77777777" w:rsidR="004522FD" w:rsidRPr="00BA513B" w:rsidRDefault="004522FD" w:rsidP="004522FD">
      <w:pPr>
        <w:jc w:val="both"/>
        <w:rPr>
          <w:i/>
        </w:rPr>
      </w:pPr>
      <w:r>
        <w:rPr>
          <w:b/>
        </w:rPr>
        <w:t>La lymphopénie est un biomarqueur d’activité du lupus érythémateux systémique et prédictif de poussée lupique. Le risque infectieux est bien présent mais il n’existe pas de recommandation sur sa prise en charge. L’</w:t>
      </w:r>
      <w:proofErr w:type="spellStart"/>
      <w:r>
        <w:rPr>
          <w:b/>
        </w:rPr>
        <w:t>hydroxychloroquine</w:t>
      </w:r>
      <w:proofErr w:type="spellEnd"/>
      <w:r>
        <w:rPr>
          <w:b/>
        </w:rPr>
        <w:t xml:space="preserve"> est le seul traitement connu pour limiter sa survenue.</w:t>
      </w:r>
    </w:p>
    <w:p w14:paraId="799B0ABF" w14:textId="77777777" w:rsidR="004522FD" w:rsidRPr="00EE7301" w:rsidRDefault="004522FD" w:rsidP="004522FD">
      <w:pPr>
        <w:jc w:val="both"/>
        <w:rPr>
          <w:rFonts w:asciiTheme="majorHAnsi" w:hAnsiTheme="majorHAnsi"/>
        </w:rPr>
      </w:pPr>
    </w:p>
    <w:p w14:paraId="4BF84017" w14:textId="77777777" w:rsidR="004522FD" w:rsidRDefault="004522FD" w:rsidP="004522FD"/>
    <w:p w14:paraId="0DBF9231" w14:textId="77777777" w:rsidR="004522FD" w:rsidRDefault="004522FD" w:rsidP="004522FD"/>
    <w:p w14:paraId="0958217E" w14:textId="77777777" w:rsidR="004522FD" w:rsidRDefault="004522FD" w:rsidP="004522FD"/>
    <w:p w14:paraId="1509A163" w14:textId="77777777" w:rsidR="004522FD" w:rsidRDefault="004522FD" w:rsidP="004522FD"/>
    <w:p w14:paraId="2D8118CD" w14:textId="77777777" w:rsidR="004522FD" w:rsidRDefault="004522FD" w:rsidP="004522FD"/>
    <w:p w14:paraId="4CA12F0A" w14:textId="77777777" w:rsidR="004522FD" w:rsidRDefault="004522FD" w:rsidP="004522FD"/>
    <w:p w14:paraId="5E965FCF" w14:textId="77777777" w:rsidR="004522FD" w:rsidRDefault="004522FD" w:rsidP="004522FD"/>
    <w:p w14:paraId="0B897252" w14:textId="77777777" w:rsidR="004522FD" w:rsidRPr="00D44D03" w:rsidRDefault="004522FD" w:rsidP="00054778">
      <w:pPr>
        <w:jc w:val="both"/>
        <w:rPr>
          <w:rFonts w:asciiTheme="majorHAnsi" w:hAnsiTheme="majorHAnsi"/>
          <w:b/>
          <w:color w:val="365F91" w:themeColor="accent1" w:themeShade="BF"/>
          <w:sz w:val="28"/>
          <w:szCs w:val="28"/>
        </w:rPr>
      </w:pPr>
    </w:p>
    <w:p w14:paraId="3A1F8A58" w14:textId="77777777" w:rsidR="005027AE" w:rsidRPr="00D44D03" w:rsidRDefault="005027AE" w:rsidP="00054778">
      <w:pPr>
        <w:widowControl w:val="0"/>
        <w:autoSpaceDE w:val="0"/>
        <w:autoSpaceDN w:val="0"/>
        <w:adjustRightInd w:val="0"/>
        <w:spacing w:after="200" w:line="276" w:lineRule="auto"/>
        <w:ind w:right="-766"/>
        <w:jc w:val="both"/>
        <w:rPr>
          <w:rFonts w:asciiTheme="majorHAnsi" w:hAnsiTheme="majorHAnsi" w:cs="Times New Roman"/>
          <w:b/>
          <w:bCs/>
          <w:color w:val="4F81BD" w:themeColor="accent1"/>
          <w:lang w:val="en-GB"/>
        </w:rPr>
      </w:pPr>
      <w:r w:rsidRPr="00D44D03">
        <w:rPr>
          <w:rFonts w:asciiTheme="majorHAnsi" w:hAnsiTheme="majorHAnsi" w:cs="Times New Roman"/>
          <w:b/>
          <w:bCs/>
          <w:color w:val="4F81BD" w:themeColor="accent1"/>
          <w:lang w:val="en-GB"/>
        </w:rPr>
        <w:t xml:space="preserve">SEVERE INFECTION IN ANTINEUTROPHIL CYTOPLASMIC ANTIBODY-ASSOCIATED VASCULITIS. </w:t>
      </w:r>
    </w:p>
    <w:p w14:paraId="670B2895" w14:textId="08411E9D" w:rsidR="005027AE" w:rsidRDefault="005027AE" w:rsidP="00054778">
      <w:pPr>
        <w:widowControl w:val="0"/>
        <w:autoSpaceDE w:val="0"/>
        <w:autoSpaceDN w:val="0"/>
        <w:adjustRightInd w:val="0"/>
        <w:spacing w:after="200" w:line="276" w:lineRule="auto"/>
        <w:ind w:right="-766"/>
        <w:jc w:val="both"/>
        <w:rPr>
          <w:rFonts w:asciiTheme="majorHAnsi" w:hAnsiTheme="majorHAnsi" w:cs="Times New Roman"/>
          <w:color w:val="222222"/>
          <w:lang w:val="en-GB"/>
        </w:rPr>
      </w:pPr>
      <w:r>
        <w:rPr>
          <w:rFonts w:asciiTheme="majorHAnsi" w:hAnsiTheme="majorHAnsi" w:cs="Times New Roman"/>
          <w:color w:val="222222"/>
        </w:rPr>
        <w:t>Mohammad, A. J. et al</w:t>
      </w:r>
      <w:r w:rsidRPr="005027AE">
        <w:rPr>
          <w:rFonts w:asciiTheme="majorHAnsi" w:hAnsiTheme="majorHAnsi" w:cs="Times New Roman"/>
          <w:color w:val="222222"/>
        </w:rPr>
        <w:t xml:space="preserve">. </w:t>
      </w:r>
      <w:r w:rsidRPr="000249CB">
        <w:rPr>
          <w:rFonts w:asciiTheme="majorHAnsi" w:hAnsiTheme="majorHAnsi" w:cs="Times New Roman"/>
          <w:i/>
          <w:iCs/>
          <w:color w:val="222222"/>
          <w:lang w:val="en-GB"/>
        </w:rPr>
        <w:t>The Journal of Rheumatology</w:t>
      </w:r>
      <w:proofErr w:type="gramStart"/>
      <w:r w:rsidRPr="000249CB">
        <w:rPr>
          <w:rFonts w:asciiTheme="majorHAnsi" w:hAnsiTheme="majorHAnsi" w:cs="Times New Roman"/>
          <w:color w:val="222222"/>
          <w:lang w:val="en-GB"/>
        </w:rPr>
        <w:t>,2017</w:t>
      </w:r>
      <w:proofErr w:type="gramEnd"/>
      <w:r w:rsidRPr="000249CB">
        <w:rPr>
          <w:rFonts w:asciiTheme="majorHAnsi" w:hAnsiTheme="majorHAnsi" w:cs="Times New Roman"/>
          <w:color w:val="222222"/>
          <w:lang w:val="en-GB"/>
        </w:rPr>
        <w:t xml:space="preserve"> Aug 1</w:t>
      </w:r>
    </w:p>
    <w:p w14:paraId="48BBCCCC" w14:textId="77777777" w:rsidR="00A73B7B" w:rsidRPr="00A73B7B" w:rsidRDefault="00A73B7B" w:rsidP="00A73B7B">
      <w:pPr>
        <w:widowControl w:val="0"/>
        <w:autoSpaceDE w:val="0"/>
        <w:autoSpaceDN w:val="0"/>
        <w:adjustRightInd w:val="0"/>
        <w:ind w:right="-765"/>
        <w:jc w:val="both"/>
        <w:rPr>
          <w:rFonts w:asciiTheme="majorHAnsi" w:hAnsiTheme="majorHAnsi" w:cs="Times New Roman"/>
          <w:lang w:val="en-GB"/>
        </w:rPr>
      </w:pPr>
      <w:hyperlink r:id="rId7" w:history="1">
        <w:r w:rsidRPr="00A73B7B">
          <w:rPr>
            <w:rStyle w:val="Lienhypertexte"/>
            <w:rFonts w:asciiTheme="majorHAnsi" w:hAnsiTheme="majorHAnsi" w:cs="Times New Roman"/>
            <w:lang w:val="en-GB"/>
          </w:rPr>
          <w:t>https://www.ncbi.nlm.nih.gov/pubmed/28765251</w:t>
        </w:r>
      </w:hyperlink>
      <w:r w:rsidRPr="00A73B7B">
        <w:rPr>
          <w:rFonts w:asciiTheme="majorHAnsi" w:hAnsiTheme="majorHAnsi" w:cs="Times New Roman"/>
          <w:lang w:val="en-GB"/>
        </w:rPr>
        <w:t xml:space="preserve"> </w:t>
      </w:r>
    </w:p>
    <w:p w14:paraId="45402442" w14:textId="77777777" w:rsidR="00A73B7B" w:rsidRPr="000249CB" w:rsidRDefault="00A73B7B" w:rsidP="00054778">
      <w:pPr>
        <w:widowControl w:val="0"/>
        <w:autoSpaceDE w:val="0"/>
        <w:autoSpaceDN w:val="0"/>
        <w:adjustRightInd w:val="0"/>
        <w:spacing w:after="200" w:line="276" w:lineRule="auto"/>
        <w:ind w:right="-766"/>
        <w:jc w:val="both"/>
        <w:rPr>
          <w:rFonts w:asciiTheme="majorHAnsi" w:hAnsiTheme="majorHAnsi" w:cs="Times New Roman"/>
          <w:lang w:val="en-GB"/>
        </w:rPr>
      </w:pPr>
    </w:p>
    <w:p w14:paraId="3220DB6F" w14:textId="77777777" w:rsidR="005027AE" w:rsidRPr="00E1667F" w:rsidRDefault="005027AE" w:rsidP="00054778">
      <w:pPr>
        <w:widowControl w:val="0"/>
        <w:autoSpaceDE w:val="0"/>
        <w:autoSpaceDN w:val="0"/>
        <w:adjustRightInd w:val="0"/>
        <w:spacing w:after="200" w:line="276" w:lineRule="auto"/>
        <w:ind w:right="-766"/>
        <w:jc w:val="both"/>
        <w:rPr>
          <w:rFonts w:asciiTheme="majorHAnsi" w:hAnsiTheme="majorHAnsi" w:cs="Calibri"/>
          <w:b/>
          <w:bCs/>
          <w:color w:val="4F81BD" w:themeColor="accent1"/>
        </w:rPr>
      </w:pPr>
      <w:r w:rsidRPr="00E1667F">
        <w:rPr>
          <w:rFonts w:asciiTheme="majorHAnsi" w:hAnsiTheme="majorHAnsi" w:cs="Calibri"/>
          <w:b/>
          <w:bCs/>
          <w:color w:val="4F81BD" w:themeColor="accent1"/>
        </w:rPr>
        <w:t xml:space="preserve">Matériels et méthodes : </w:t>
      </w:r>
    </w:p>
    <w:p w14:paraId="318EFC1B"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1)</w:t>
      </w:r>
      <w:r w:rsidRPr="005027AE">
        <w:rPr>
          <w:rFonts w:asciiTheme="majorHAnsi" w:hAnsiTheme="majorHAnsi" w:cs="Calibri"/>
          <w:u w:val="single"/>
        </w:rPr>
        <w:t xml:space="preserve"> La cohorte</w:t>
      </w:r>
      <w:r w:rsidRPr="005027AE">
        <w:rPr>
          <w:rFonts w:asciiTheme="majorHAnsi" w:hAnsiTheme="majorHAnsi" w:cs="Calibri"/>
        </w:rPr>
        <w:t xml:space="preserve"> : Base de données regroupant les informations issues des professionnels de santé du sud de la suède</w:t>
      </w:r>
      <w:r w:rsidRPr="005027AE">
        <w:rPr>
          <w:rFonts w:asciiTheme="majorHAnsi" w:hAnsiTheme="majorHAnsi" w:cs="Times New Roman"/>
        </w:rPr>
        <w:t>.</w:t>
      </w:r>
      <w:r w:rsidRPr="005027AE">
        <w:rPr>
          <w:rFonts w:asciiTheme="majorHAnsi" w:hAnsiTheme="majorHAnsi" w:cs="Calibri"/>
        </w:rPr>
        <w:t xml:space="preserve">186 vascularites à ANCA diagnostiquées entre 1998 et 2010. Les patients ont été séparés en une cohorte précoce (1998 à 2003) et une cohorte tardive (2003 à 2010). </w:t>
      </w:r>
    </w:p>
    <w:p w14:paraId="556A55EC"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2) </w:t>
      </w:r>
      <w:r w:rsidRPr="005027AE">
        <w:rPr>
          <w:rFonts w:asciiTheme="majorHAnsi" w:hAnsiTheme="majorHAnsi" w:cs="Calibri"/>
          <w:u w:val="single"/>
        </w:rPr>
        <w:t>Les témoins</w:t>
      </w:r>
      <w:r w:rsidRPr="005027AE">
        <w:rPr>
          <w:rFonts w:asciiTheme="majorHAnsi" w:hAnsiTheme="majorHAnsi" w:cs="Calibri"/>
        </w:rPr>
        <w:t xml:space="preserve"> : 4 témoins appareillés pour le sexe, l’âge, et lieu de vie étaient choisis aléatoirement dans la base de donnée pour chaque patient atteint de vascularite.</w:t>
      </w:r>
    </w:p>
    <w:p w14:paraId="6B6F2ED3"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3) </w:t>
      </w:r>
      <w:r w:rsidRPr="005027AE">
        <w:rPr>
          <w:rFonts w:asciiTheme="majorHAnsi" w:hAnsiTheme="majorHAnsi" w:cs="Calibri"/>
          <w:u w:val="single"/>
        </w:rPr>
        <w:t xml:space="preserve">Le traitement </w:t>
      </w:r>
      <w:r w:rsidRPr="005027AE">
        <w:rPr>
          <w:rFonts w:asciiTheme="majorHAnsi" w:hAnsiTheme="majorHAnsi" w:cs="Calibri"/>
        </w:rPr>
        <w:t xml:space="preserve">: Corticoïdes 1mg/kg+/- précédées de bolus + </w:t>
      </w:r>
      <w:proofErr w:type="spellStart"/>
      <w:r w:rsidRPr="005027AE">
        <w:rPr>
          <w:rFonts w:asciiTheme="majorHAnsi" w:hAnsiTheme="majorHAnsi" w:cs="Calibri"/>
        </w:rPr>
        <w:t>Cyclophosphamide</w:t>
      </w:r>
      <w:proofErr w:type="spellEnd"/>
      <w:r w:rsidRPr="005027AE">
        <w:rPr>
          <w:rFonts w:asciiTheme="majorHAnsi" w:hAnsiTheme="majorHAnsi" w:cs="Calibri"/>
        </w:rPr>
        <w:t xml:space="preserve">(CYC) (plutôt oral pour la cohorte précoce et IV pour la cohorte tardive). Les atteintes sévères </w:t>
      </w:r>
      <w:proofErr w:type="gramStart"/>
      <w:r w:rsidRPr="005027AE">
        <w:rPr>
          <w:rFonts w:asciiTheme="majorHAnsi" w:hAnsiTheme="majorHAnsi" w:cs="Calibri"/>
        </w:rPr>
        <w:t>rénales  (</w:t>
      </w:r>
      <w:proofErr w:type="gramEnd"/>
      <w:r w:rsidRPr="005027AE">
        <w:rPr>
          <w:rFonts w:asciiTheme="majorHAnsi" w:hAnsiTheme="majorHAnsi" w:cs="Calibri"/>
        </w:rPr>
        <w:t xml:space="preserve">créatinine&gt;500µmol/L) ou pulmonaires bénéficiaient d'échanges plasmatiques. A partir de 2007, certains patients ont reçu du </w:t>
      </w:r>
      <w:proofErr w:type="spellStart"/>
      <w:r w:rsidRPr="005027AE">
        <w:rPr>
          <w:rFonts w:asciiTheme="majorHAnsi" w:hAnsiTheme="majorHAnsi" w:cs="Calibri"/>
        </w:rPr>
        <w:t>rituximab</w:t>
      </w:r>
      <w:proofErr w:type="spellEnd"/>
      <w:r w:rsidRPr="005027AE">
        <w:rPr>
          <w:rFonts w:asciiTheme="majorHAnsi" w:hAnsiTheme="majorHAnsi" w:cs="Calibri"/>
        </w:rPr>
        <w:t xml:space="preserve"> (RTX) en induction (1g à J0 et J15). Le traitement d'entretien était de l'</w:t>
      </w:r>
      <w:proofErr w:type="spellStart"/>
      <w:r w:rsidRPr="005027AE">
        <w:rPr>
          <w:rFonts w:asciiTheme="majorHAnsi" w:hAnsiTheme="majorHAnsi" w:cs="Calibri"/>
        </w:rPr>
        <w:t>azathioprine</w:t>
      </w:r>
      <w:proofErr w:type="spellEnd"/>
      <w:r w:rsidRPr="005027AE">
        <w:rPr>
          <w:rFonts w:asciiTheme="majorHAnsi" w:hAnsiTheme="majorHAnsi" w:cs="Calibri"/>
        </w:rPr>
        <w:t xml:space="preserve"> pour au moins 24 mois.</w:t>
      </w:r>
    </w:p>
    <w:p w14:paraId="23644AAB" w14:textId="77777777" w:rsidR="005027AE" w:rsidRPr="00E1667F" w:rsidRDefault="005027AE" w:rsidP="00054778">
      <w:pPr>
        <w:widowControl w:val="0"/>
        <w:autoSpaceDE w:val="0"/>
        <w:autoSpaceDN w:val="0"/>
        <w:adjustRightInd w:val="0"/>
        <w:spacing w:after="200" w:line="276" w:lineRule="auto"/>
        <w:ind w:right="-766"/>
        <w:jc w:val="both"/>
        <w:rPr>
          <w:rFonts w:asciiTheme="majorHAnsi" w:hAnsiTheme="majorHAnsi" w:cs="Times New Roman"/>
          <w:color w:val="4F81BD" w:themeColor="accent1"/>
        </w:rPr>
      </w:pPr>
      <w:r w:rsidRPr="00E1667F">
        <w:rPr>
          <w:rFonts w:asciiTheme="majorHAnsi" w:hAnsiTheme="majorHAnsi" w:cs="Calibri"/>
          <w:b/>
          <w:bCs/>
          <w:color w:val="4F81BD" w:themeColor="accent1"/>
        </w:rPr>
        <w:t xml:space="preserve">Résultats : </w:t>
      </w:r>
    </w:p>
    <w:p w14:paraId="599138E4"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Il y a eu 186 patients atteints de vascularite à ANCA sur la période de l'étude (95 femmes). 49.5% avaient un diagnostic de GPA, 44.6% de MPA, 5.9% d'EGPA. La durée médiane de suivi était 4.8 années (vs 6 pour les témoins)</w:t>
      </w:r>
    </w:p>
    <w:p w14:paraId="33407A91"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86(46%) patients ont présenté au moins un épisode d'infection </w:t>
      </w:r>
      <w:proofErr w:type="gramStart"/>
      <w:r w:rsidRPr="005027AE">
        <w:rPr>
          <w:rFonts w:asciiTheme="majorHAnsi" w:hAnsiTheme="majorHAnsi" w:cs="Calibri"/>
        </w:rPr>
        <w:t>sévère(</w:t>
      </w:r>
      <w:proofErr w:type="gramEnd"/>
      <w:r w:rsidRPr="005027AE">
        <w:rPr>
          <w:rFonts w:asciiTheme="majorHAnsi" w:hAnsiTheme="majorHAnsi" w:cs="Calibri"/>
        </w:rPr>
        <w:t>nécessitant hospitalisation). (11.6 pour 100 patient-</w:t>
      </w:r>
      <w:proofErr w:type="gramStart"/>
      <w:r w:rsidRPr="005027AE">
        <w:rPr>
          <w:rFonts w:asciiTheme="majorHAnsi" w:hAnsiTheme="majorHAnsi" w:cs="Calibri"/>
        </w:rPr>
        <w:t>années)L'intervalle</w:t>
      </w:r>
      <w:proofErr w:type="gramEnd"/>
      <w:r w:rsidRPr="005027AE">
        <w:rPr>
          <w:rFonts w:asciiTheme="majorHAnsi" w:hAnsiTheme="majorHAnsi" w:cs="Calibri"/>
        </w:rPr>
        <w:t xml:space="preserve"> médian entre le diagnostic de vascularite et l'infection était de 8.3 mois. La survie sans infection à 1, 5 et 10 ans était de 71%, 57% et 42%. Les patients qui ont présenté une infection sévère étaient plus âgés au diagnostic (68.8 vs 60.8 ans) et avaient une créatinine plus élevée au diagnostic (238 vs 117). Les épisodes infectieux étaient constitués de 46 infections respiratoires, 19 bactériémies, 15 infections urinaires,12 sepsis non spécifiques, 8 infections cutanées, et 7 colites à clostridium. (</w:t>
      </w:r>
      <w:r w:rsidRPr="005027AE">
        <w:rPr>
          <w:rFonts w:asciiTheme="majorHAnsi" w:hAnsiTheme="majorHAnsi" w:cs="Calibri"/>
          <w:i/>
          <w:iCs/>
        </w:rPr>
        <w:t>Ce qui fait &gt; 86 infections j'en conviens, ceci n'étant pas détaillé dans l'article</w:t>
      </w:r>
      <w:r w:rsidRPr="005027AE">
        <w:rPr>
          <w:rFonts w:asciiTheme="majorHAnsi" w:hAnsiTheme="majorHAnsi" w:cs="Calibri"/>
        </w:rPr>
        <w:t xml:space="preserve">). 118 témoins (16%) ont présenté une infection sévère. Le Risque relatif d'infection sévère chez la </w:t>
      </w:r>
      <w:proofErr w:type="gramStart"/>
      <w:r w:rsidRPr="005027AE">
        <w:rPr>
          <w:rFonts w:asciiTheme="majorHAnsi" w:hAnsiTheme="majorHAnsi" w:cs="Calibri"/>
        </w:rPr>
        <w:t>cohorte  de</w:t>
      </w:r>
      <w:proofErr w:type="gramEnd"/>
      <w:r w:rsidRPr="005027AE">
        <w:rPr>
          <w:rFonts w:asciiTheme="majorHAnsi" w:hAnsiTheme="majorHAnsi" w:cs="Calibri"/>
        </w:rPr>
        <w:t xml:space="preserve"> patients atteint de vascularite était de 4.53(IC95 3.39-6; p &lt;0.001)La survie </w:t>
      </w:r>
      <w:r w:rsidRPr="005027AE">
        <w:rPr>
          <w:rFonts w:asciiTheme="majorHAnsi" w:hAnsiTheme="majorHAnsi" w:cs="Calibri"/>
        </w:rPr>
        <w:lastRenderedPageBreak/>
        <w:t>à 1,5 et 10 ans était de  86%, 64% et 37% dans le groupe ayant présenté une infection sévère contre  87%, 83% et 73.5%Il n'y avait pas de différence significative dans le taux d'infection entre les cohortes précoce et tardive de patient avec vascularite.</w:t>
      </w:r>
    </w:p>
    <w:p w14:paraId="4BAACA31"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E1667F">
        <w:rPr>
          <w:rFonts w:asciiTheme="majorHAnsi" w:hAnsiTheme="majorHAnsi" w:cs="Calibri"/>
          <w:b/>
          <w:bCs/>
          <w:color w:val="4F81BD" w:themeColor="accent1"/>
        </w:rPr>
        <w:t>Conclusion</w:t>
      </w:r>
      <w:r w:rsidRPr="00E1667F">
        <w:rPr>
          <w:rFonts w:asciiTheme="majorHAnsi" w:hAnsiTheme="majorHAnsi" w:cs="Calibri"/>
          <w:color w:val="4F81BD" w:themeColor="accent1"/>
        </w:rPr>
        <w:t xml:space="preserve"> :</w:t>
      </w:r>
      <w:r w:rsidRPr="005027AE">
        <w:rPr>
          <w:rFonts w:asciiTheme="majorHAnsi" w:hAnsiTheme="majorHAnsi" w:cs="Calibri"/>
        </w:rPr>
        <w:t xml:space="preserve"> 46% de patients des patients avec vascularite ont présenté une infection sévère, avec un RR à 4.53 comparé à une population témoin de patients appareillés pour </w:t>
      </w:r>
      <w:proofErr w:type="spellStart"/>
      <w:r w:rsidRPr="005027AE">
        <w:rPr>
          <w:rFonts w:asciiTheme="majorHAnsi" w:hAnsiTheme="majorHAnsi" w:cs="Calibri"/>
        </w:rPr>
        <w:t>l'age</w:t>
      </w:r>
      <w:proofErr w:type="spellEnd"/>
      <w:r w:rsidRPr="005027AE">
        <w:rPr>
          <w:rFonts w:asciiTheme="majorHAnsi" w:hAnsiTheme="majorHAnsi" w:cs="Calibri"/>
        </w:rPr>
        <w:t xml:space="preserve"> et le sexe. La mortalité (toutes causes confondues) était significativement augmentée dans le groupe ayant présenté un épisode infectieux sévère.</w:t>
      </w:r>
    </w:p>
    <w:p w14:paraId="721B9882"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Times New Roman"/>
        </w:rPr>
      </w:pPr>
      <w:r w:rsidRPr="00E1667F">
        <w:rPr>
          <w:rFonts w:asciiTheme="majorHAnsi" w:hAnsiTheme="majorHAnsi" w:cs="Calibri"/>
          <w:b/>
          <w:bCs/>
          <w:color w:val="4F81BD" w:themeColor="accent1"/>
        </w:rPr>
        <w:t xml:space="preserve">Limites </w:t>
      </w:r>
      <w:r w:rsidRPr="005027AE">
        <w:rPr>
          <w:rFonts w:asciiTheme="majorHAnsi" w:hAnsiTheme="majorHAnsi" w:cs="Calibri"/>
        </w:rPr>
        <w:t>: Sous-estimation probable du RR : les témoins ne sont pas une population générale mais une population ayant consulté un professionnel de santé au moins une fois sur la période de l'étude.</w:t>
      </w:r>
    </w:p>
    <w:p w14:paraId="27B6A3D8"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Seul le premier épisode d'infection sévère était pris en compte.</w:t>
      </w:r>
    </w:p>
    <w:p w14:paraId="24B86F9C"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Pas d'information sur le taux de rechutes (et la ré introduction de CTC, </w:t>
      </w:r>
      <w:proofErr w:type="gramStart"/>
      <w:r w:rsidRPr="005027AE">
        <w:rPr>
          <w:rFonts w:asciiTheme="majorHAnsi" w:hAnsiTheme="majorHAnsi" w:cs="Calibri"/>
        </w:rPr>
        <w:t>CYC..</w:t>
      </w:r>
      <w:proofErr w:type="gramEnd"/>
      <w:r w:rsidRPr="005027AE">
        <w:rPr>
          <w:rFonts w:asciiTheme="majorHAnsi" w:hAnsiTheme="majorHAnsi" w:cs="Calibri"/>
        </w:rPr>
        <w:t>)</w:t>
      </w:r>
    </w:p>
    <w:p w14:paraId="529E7ADA"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Times New Roman"/>
          <w:b/>
          <w:bCs/>
        </w:rPr>
      </w:pPr>
      <w:r w:rsidRPr="005027AE">
        <w:rPr>
          <w:rFonts w:asciiTheme="majorHAnsi" w:hAnsiTheme="majorHAnsi" w:cs="Calibri"/>
        </w:rPr>
        <w:t xml:space="preserve">Le traitement d'entretien de référence devient le </w:t>
      </w:r>
      <w:proofErr w:type="spellStart"/>
      <w:r w:rsidRPr="005027AE">
        <w:rPr>
          <w:rFonts w:asciiTheme="majorHAnsi" w:hAnsiTheme="majorHAnsi" w:cs="Calibri"/>
        </w:rPr>
        <w:t>rituximab</w:t>
      </w:r>
      <w:proofErr w:type="spellEnd"/>
      <w:r w:rsidRPr="005027AE">
        <w:rPr>
          <w:rFonts w:asciiTheme="majorHAnsi" w:hAnsiTheme="majorHAnsi" w:cs="Calibri"/>
        </w:rPr>
        <w:t xml:space="preserve">, qui est aussi utilisé en induction actuellement, contrairement aux pratiques lors de la période d'étude. On peut noter que Les données du registre AIR-PR (PR sous RTX) et AIR (autres maladies auto immunes sous RTX) rapportent des incidences d'infections sévère variable, 5.2 pour 100 personne-années pour les PR, 6 pour les </w:t>
      </w:r>
      <w:proofErr w:type="spellStart"/>
      <w:r w:rsidRPr="005027AE">
        <w:rPr>
          <w:rFonts w:asciiTheme="majorHAnsi" w:hAnsiTheme="majorHAnsi" w:cs="Calibri"/>
        </w:rPr>
        <w:t>LES</w:t>
      </w:r>
      <w:proofErr w:type="spellEnd"/>
      <w:r w:rsidRPr="005027AE">
        <w:rPr>
          <w:rFonts w:asciiTheme="majorHAnsi" w:hAnsiTheme="majorHAnsi" w:cs="Calibri"/>
        </w:rPr>
        <w:t>.</w:t>
      </w:r>
    </w:p>
    <w:p w14:paraId="24DBEC77" w14:textId="77777777" w:rsidR="005027AE" w:rsidRPr="005027AE" w:rsidRDefault="005027AE" w:rsidP="00054778">
      <w:pPr>
        <w:widowControl w:val="0"/>
        <w:autoSpaceDE w:val="0"/>
        <w:autoSpaceDN w:val="0"/>
        <w:adjustRightInd w:val="0"/>
        <w:spacing w:after="200" w:line="276" w:lineRule="auto"/>
        <w:ind w:right="-766"/>
        <w:jc w:val="both"/>
        <w:rPr>
          <w:rFonts w:asciiTheme="majorHAnsi" w:hAnsiTheme="majorHAnsi" w:cs="Times New Roman"/>
          <w:b/>
          <w:bCs/>
        </w:rPr>
      </w:pPr>
      <w:r w:rsidRPr="00E1667F">
        <w:rPr>
          <w:rFonts w:asciiTheme="majorHAnsi" w:hAnsiTheme="majorHAnsi" w:cs="Calibri"/>
          <w:b/>
          <w:bCs/>
          <w:color w:val="4F81BD" w:themeColor="accent1"/>
        </w:rPr>
        <w:t>Conclusion :</w:t>
      </w:r>
      <w:r w:rsidRPr="005027AE">
        <w:rPr>
          <w:rFonts w:asciiTheme="majorHAnsi" w:hAnsiTheme="majorHAnsi" w:cs="Calibri"/>
        </w:rPr>
        <w:t xml:space="preserve"> Cette étude conforte la notion que les patients avec une vascularite à ANCA décèdent désormais plus des effets indésirables de leurs traitements que de leur maladie, ce qui était déjà bien documenté.</w:t>
      </w:r>
    </w:p>
    <w:p w14:paraId="04FCCB07" w14:textId="77777777" w:rsidR="00A32D66"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Du fait de l'hétérogénéité des malades, maladies et traitements pré et per - étude, il est difficile d'affirmer que tel ou tel immunosuppresseur est plus à risque d'infection sévère, la seule chose qui semble sure étant qu'il existe un sur risque infectieux nécessitant l'éducation des patients, la vaccination et de ne pas oublier le </w:t>
      </w:r>
      <w:proofErr w:type="spellStart"/>
      <w:r w:rsidRPr="005027AE">
        <w:rPr>
          <w:rFonts w:asciiTheme="majorHAnsi" w:hAnsiTheme="majorHAnsi" w:cs="Calibri"/>
        </w:rPr>
        <w:t>Bactrim</w:t>
      </w:r>
      <w:proofErr w:type="spellEnd"/>
      <w:r w:rsidRPr="005027AE">
        <w:rPr>
          <w:rFonts w:asciiTheme="majorHAnsi" w:hAnsiTheme="majorHAnsi" w:cs="Calibri"/>
        </w:rPr>
        <w:t>.</w:t>
      </w:r>
    </w:p>
    <w:p w14:paraId="639354AB" w14:textId="71058B01" w:rsidR="005027AE" w:rsidRPr="00A32D66" w:rsidRDefault="005027AE" w:rsidP="00054778">
      <w:pPr>
        <w:widowControl w:val="0"/>
        <w:autoSpaceDE w:val="0"/>
        <w:autoSpaceDN w:val="0"/>
        <w:adjustRightInd w:val="0"/>
        <w:spacing w:after="200" w:line="276" w:lineRule="auto"/>
        <w:ind w:right="-766"/>
        <w:jc w:val="both"/>
        <w:rPr>
          <w:rFonts w:asciiTheme="majorHAnsi" w:hAnsiTheme="majorHAnsi" w:cs="Calibri"/>
        </w:rPr>
      </w:pPr>
      <w:r w:rsidRPr="005027AE">
        <w:rPr>
          <w:rFonts w:asciiTheme="majorHAnsi" w:hAnsiTheme="majorHAnsi" w:cs="Calibri"/>
        </w:rPr>
        <w:t xml:space="preserve">Les résultats de MAINRITSAN 2 et 3 aideront </w:t>
      </w:r>
      <w:proofErr w:type="gramStart"/>
      <w:r w:rsidRPr="005027AE">
        <w:rPr>
          <w:rFonts w:asciiTheme="majorHAnsi" w:hAnsiTheme="majorHAnsi" w:cs="Calibri"/>
        </w:rPr>
        <w:t>peut être</w:t>
      </w:r>
      <w:proofErr w:type="gramEnd"/>
      <w:r w:rsidRPr="005027AE">
        <w:rPr>
          <w:rFonts w:asciiTheme="majorHAnsi" w:hAnsiTheme="majorHAnsi" w:cs="Calibri"/>
        </w:rPr>
        <w:t xml:space="preserve"> les cliniciens à limiter l'utilisation de </w:t>
      </w:r>
      <w:proofErr w:type="spellStart"/>
      <w:r w:rsidRPr="005027AE">
        <w:rPr>
          <w:rFonts w:asciiTheme="majorHAnsi" w:hAnsiTheme="majorHAnsi" w:cs="Calibri"/>
        </w:rPr>
        <w:t>rituximab</w:t>
      </w:r>
      <w:proofErr w:type="spellEnd"/>
      <w:r w:rsidRPr="005027AE">
        <w:rPr>
          <w:rFonts w:asciiTheme="majorHAnsi" w:hAnsiTheme="majorHAnsi" w:cs="Calibri"/>
        </w:rPr>
        <w:t xml:space="preserve"> dans le traitement d'entretien (même si la plupart des épisodes infectieux ont lieux précocement après le diagn</w:t>
      </w:r>
      <w:r w:rsidRPr="005027AE">
        <w:rPr>
          <w:rFonts w:ascii="Calibri" w:hAnsi="Calibri" w:cs="Calibri"/>
        </w:rPr>
        <w:t>ostic !)</w:t>
      </w:r>
    </w:p>
    <w:p w14:paraId="262410C5" w14:textId="77777777" w:rsidR="00E1667F" w:rsidRDefault="00E1667F" w:rsidP="00054778">
      <w:pPr>
        <w:jc w:val="both"/>
        <w:rPr>
          <w:rFonts w:ascii="Calibri" w:hAnsi="Calibri" w:cs="Calibri"/>
        </w:rPr>
      </w:pPr>
    </w:p>
    <w:p w14:paraId="50A41794" w14:textId="77777777" w:rsidR="00E1667F" w:rsidRDefault="00E1667F" w:rsidP="00054778">
      <w:pPr>
        <w:jc w:val="both"/>
        <w:rPr>
          <w:rFonts w:ascii="Calibri" w:hAnsi="Calibri" w:cs="Calibri"/>
        </w:rPr>
      </w:pPr>
    </w:p>
    <w:p w14:paraId="42296394" w14:textId="77777777" w:rsidR="00E1667F" w:rsidRDefault="00E1667F" w:rsidP="00054778">
      <w:pPr>
        <w:jc w:val="both"/>
        <w:rPr>
          <w:rFonts w:ascii="Calibri" w:hAnsi="Calibri" w:cs="Calibri"/>
        </w:rPr>
      </w:pPr>
    </w:p>
    <w:p w14:paraId="48DE044D" w14:textId="77777777" w:rsidR="00E1667F" w:rsidRDefault="00E1667F" w:rsidP="00054778">
      <w:pPr>
        <w:jc w:val="both"/>
        <w:rPr>
          <w:rFonts w:ascii="Calibri" w:hAnsi="Calibri" w:cs="Calibri"/>
        </w:rPr>
      </w:pPr>
    </w:p>
    <w:p w14:paraId="0857C828" w14:textId="77777777" w:rsidR="00E1667F" w:rsidRDefault="00E1667F" w:rsidP="00054778">
      <w:pPr>
        <w:jc w:val="both"/>
        <w:rPr>
          <w:rFonts w:ascii="Calibri" w:hAnsi="Calibri" w:cs="Calibri"/>
        </w:rPr>
      </w:pPr>
    </w:p>
    <w:p w14:paraId="2AA65344" w14:textId="77777777" w:rsidR="00E1667F" w:rsidRDefault="00E1667F" w:rsidP="00054778">
      <w:pPr>
        <w:jc w:val="both"/>
        <w:rPr>
          <w:rFonts w:ascii="Calibri" w:hAnsi="Calibri" w:cs="Calibri"/>
        </w:rPr>
      </w:pPr>
    </w:p>
    <w:p w14:paraId="49D51C0A" w14:textId="77777777" w:rsidR="00E1667F" w:rsidRDefault="00E1667F" w:rsidP="00054778">
      <w:pPr>
        <w:jc w:val="both"/>
        <w:rPr>
          <w:rFonts w:ascii="Calibri" w:hAnsi="Calibri" w:cs="Calibri"/>
        </w:rPr>
      </w:pPr>
    </w:p>
    <w:p w14:paraId="0FA1784A" w14:textId="77777777" w:rsidR="00E1667F" w:rsidRDefault="00E1667F" w:rsidP="00054778">
      <w:pPr>
        <w:jc w:val="both"/>
        <w:rPr>
          <w:rFonts w:ascii="Calibri" w:hAnsi="Calibri" w:cs="Calibri"/>
        </w:rPr>
      </w:pPr>
    </w:p>
    <w:p w14:paraId="40905B64" w14:textId="77777777" w:rsidR="00E1667F" w:rsidRDefault="00E1667F" w:rsidP="00054778">
      <w:pPr>
        <w:jc w:val="both"/>
        <w:rPr>
          <w:rFonts w:ascii="Calibri" w:hAnsi="Calibri" w:cs="Calibri"/>
        </w:rPr>
      </w:pPr>
    </w:p>
    <w:p w14:paraId="7D0EE11E" w14:textId="77777777" w:rsidR="00E1667F" w:rsidRDefault="00E1667F" w:rsidP="00054778">
      <w:pPr>
        <w:jc w:val="both"/>
        <w:rPr>
          <w:rFonts w:ascii="Calibri" w:hAnsi="Calibri" w:cs="Calibri"/>
        </w:rPr>
      </w:pPr>
    </w:p>
    <w:p w14:paraId="40780AE4" w14:textId="4EE2D25F" w:rsidR="00E1667F" w:rsidRDefault="00771496" w:rsidP="00054778">
      <w:pPr>
        <w:pStyle w:val="Titre1"/>
        <w:jc w:val="both"/>
        <w:rPr>
          <w:sz w:val="24"/>
          <w:szCs w:val="24"/>
          <w:lang w:val="en-US"/>
        </w:rPr>
      </w:pPr>
      <w:r>
        <w:rPr>
          <w:sz w:val="24"/>
          <w:szCs w:val="24"/>
          <w:lang w:val="en-US"/>
        </w:rPr>
        <w:lastRenderedPageBreak/>
        <w:t>S</w:t>
      </w:r>
      <w:r w:rsidR="00E1667F" w:rsidRPr="00E1667F">
        <w:rPr>
          <w:sz w:val="24"/>
          <w:szCs w:val="24"/>
          <w:lang w:val="en-US"/>
        </w:rPr>
        <w:t>AFETY AND IMMUNOGENICITY OF INACTIVATED VARICELLA ZOSTER VIRUS VACCINE IN</w:t>
      </w:r>
      <w:r w:rsidR="00E1667F">
        <w:rPr>
          <w:sz w:val="24"/>
          <w:szCs w:val="24"/>
          <w:lang w:val="en-US"/>
        </w:rPr>
        <w:t xml:space="preserve"> ADULTS WITH AUTOIMMUNE DISEASE</w:t>
      </w:r>
      <w:r w:rsidR="00E1667F" w:rsidRPr="00E1667F">
        <w:rPr>
          <w:sz w:val="24"/>
          <w:szCs w:val="24"/>
          <w:lang w:val="en-US"/>
        </w:rPr>
        <w:t xml:space="preserve">: A PHASE </w:t>
      </w:r>
      <w:proofErr w:type="gramStart"/>
      <w:r w:rsidR="00E1667F" w:rsidRPr="00E1667F">
        <w:rPr>
          <w:sz w:val="24"/>
          <w:szCs w:val="24"/>
          <w:lang w:val="en-US"/>
        </w:rPr>
        <w:t>2,</w:t>
      </w:r>
      <w:proofErr w:type="gramEnd"/>
      <w:r w:rsidR="00E1667F" w:rsidRPr="00E1667F">
        <w:rPr>
          <w:sz w:val="24"/>
          <w:szCs w:val="24"/>
          <w:lang w:val="en-US"/>
        </w:rPr>
        <w:t xml:space="preserve"> RANDOMIZED, DOUBLE-BLIND, PLACEBO-CONTROLLED CLINICAL TRIAL. </w:t>
      </w:r>
    </w:p>
    <w:p w14:paraId="55AB4F0D" w14:textId="77777777" w:rsidR="00B82A83" w:rsidRPr="000249CB" w:rsidRDefault="00B82A83" w:rsidP="00054778">
      <w:pPr>
        <w:jc w:val="both"/>
        <w:rPr>
          <w:lang w:val="en-GB"/>
        </w:rPr>
      </w:pPr>
    </w:p>
    <w:p w14:paraId="291BA3CE" w14:textId="5EB4E04C" w:rsidR="00E1667F" w:rsidRDefault="00E1667F" w:rsidP="00054778">
      <w:pPr>
        <w:jc w:val="both"/>
        <w:rPr>
          <w:rFonts w:asciiTheme="majorHAnsi" w:eastAsia="Times New Roman" w:hAnsiTheme="majorHAnsi" w:cs="Times New Roman"/>
          <w:color w:val="2A2A2A"/>
          <w:sz w:val="26"/>
          <w:szCs w:val="26"/>
          <w:shd w:val="clear" w:color="auto" w:fill="FFFFFF"/>
        </w:rPr>
      </w:pPr>
      <w:r w:rsidRPr="000249CB">
        <w:rPr>
          <w:rFonts w:asciiTheme="majorHAnsi" w:hAnsiTheme="majorHAnsi" w:cs="UniversLTStd-BoldCn"/>
          <w:color w:val="000000"/>
        </w:rPr>
        <w:t xml:space="preserve">Michael </w:t>
      </w:r>
      <w:proofErr w:type="spellStart"/>
      <w:r w:rsidRPr="000249CB">
        <w:rPr>
          <w:rFonts w:asciiTheme="majorHAnsi" w:hAnsiTheme="majorHAnsi" w:cs="UniversLTStd-BoldCn"/>
          <w:color w:val="000000"/>
        </w:rPr>
        <w:t>Eberhardson</w:t>
      </w:r>
      <w:proofErr w:type="spellEnd"/>
      <w:r w:rsidR="00B82A83" w:rsidRPr="000249CB">
        <w:rPr>
          <w:rFonts w:asciiTheme="majorHAnsi" w:hAnsiTheme="majorHAnsi" w:cs="UniversLTStd-BoldCn"/>
          <w:color w:val="000000"/>
        </w:rPr>
        <w:t xml:space="preserve"> et al. </w:t>
      </w:r>
      <w:proofErr w:type="spellStart"/>
      <w:r w:rsidR="00B82A83" w:rsidRPr="00B82A83">
        <w:rPr>
          <w:rFonts w:asciiTheme="majorHAnsi" w:eastAsia="Times New Roman" w:hAnsiTheme="majorHAnsi" w:cs="Times New Roman"/>
          <w:i/>
          <w:iCs/>
          <w:color w:val="2A2A2A"/>
          <w:sz w:val="26"/>
          <w:szCs w:val="26"/>
          <w:bdr w:val="none" w:sz="0" w:space="0" w:color="auto" w:frame="1"/>
        </w:rPr>
        <w:t>Clinical</w:t>
      </w:r>
      <w:proofErr w:type="spellEnd"/>
      <w:r w:rsidR="00B82A83" w:rsidRPr="00B82A83">
        <w:rPr>
          <w:rFonts w:asciiTheme="majorHAnsi" w:eastAsia="Times New Roman" w:hAnsiTheme="majorHAnsi" w:cs="Times New Roman"/>
          <w:i/>
          <w:iCs/>
          <w:color w:val="2A2A2A"/>
          <w:sz w:val="26"/>
          <w:szCs w:val="26"/>
          <w:bdr w:val="none" w:sz="0" w:space="0" w:color="auto" w:frame="1"/>
        </w:rPr>
        <w:t xml:space="preserve"> </w:t>
      </w:r>
      <w:proofErr w:type="spellStart"/>
      <w:r w:rsidR="00B82A83" w:rsidRPr="00B82A83">
        <w:rPr>
          <w:rFonts w:asciiTheme="majorHAnsi" w:eastAsia="Times New Roman" w:hAnsiTheme="majorHAnsi" w:cs="Times New Roman"/>
          <w:i/>
          <w:iCs/>
          <w:color w:val="2A2A2A"/>
          <w:sz w:val="26"/>
          <w:szCs w:val="26"/>
          <w:bdr w:val="none" w:sz="0" w:space="0" w:color="auto" w:frame="1"/>
        </w:rPr>
        <w:t>Infectious</w:t>
      </w:r>
      <w:proofErr w:type="spellEnd"/>
      <w:r w:rsidR="00B82A83" w:rsidRPr="00B82A83">
        <w:rPr>
          <w:rFonts w:asciiTheme="majorHAnsi" w:eastAsia="Times New Roman" w:hAnsiTheme="majorHAnsi" w:cs="Times New Roman"/>
          <w:i/>
          <w:iCs/>
          <w:color w:val="2A2A2A"/>
          <w:sz w:val="26"/>
          <w:szCs w:val="26"/>
          <w:bdr w:val="none" w:sz="0" w:space="0" w:color="auto" w:frame="1"/>
        </w:rPr>
        <w:t xml:space="preserve"> </w:t>
      </w:r>
      <w:proofErr w:type="spellStart"/>
      <w:r w:rsidR="00B82A83" w:rsidRPr="00B82A83">
        <w:rPr>
          <w:rFonts w:asciiTheme="majorHAnsi" w:eastAsia="Times New Roman" w:hAnsiTheme="majorHAnsi" w:cs="Times New Roman"/>
          <w:i/>
          <w:iCs/>
          <w:color w:val="2A2A2A"/>
          <w:sz w:val="26"/>
          <w:szCs w:val="26"/>
          <w:bdr w:val="none" w:sz="0" w:space="0" w:color="auto" w:frame="1"/>
        </w:rPr>
        <w:t>Diseases</w:t>
      </w:r>
      <w:proofErr w:type="spellEnd"/>
      <w:r w:rsidR="00B82A83" w:rsidRPr="00B82A83">
        <w:rPr>
          <w:rFonts w:asciiTheme="majorHAnsi" w:eastAsia="Times New Roman" w:hAnsiTheme="majorHAnsi" w:cs="Times New Roman"/>
          <w:color w:val="2A2A2A"/>
          <w:sz w:val="26"/>
          <w:szCs w:val="26"/>
          <w:shd w:val="clear" w:color="auto" w:fill="FFFFFF"/>
        </w:rPr>
        <w:t>, Vol</w:t>
      </w:r>
      <w:r w:rsidR="00B82A83">
        <w:rPr>
          <w:rFonts w:asciiTheme="majorHAnsi" w:eastAsia="Times New Roman" w:hAnsiTheme="majorHAnsi" w:cs="Times New Roman"/>
          <w:color w:val="2A2A2A"/>
          <w:sz w:val="26"/>
          <w:szCs w:val="26"/>
          <w:shd w:val="clear" w:color="auto" w:fill="FFFFFF"/>
        </w:rPr>
        <w:t xml:space="preserve">ume 65, Issue 7, 1 </w:t>
      </w:r>
      <w:proofErr w:type="spellStart"/>
      <w:r w:rsidR="00B82A83">
        <w:rPr>
          <w:rFonts w:asciiTheme="majorHAnsi" w:eastAsia="Times New Roman" w:hAnsiTheme="majorHAnsi" w:cs="Times New Roman"/>
          <w:color w:val="2A2A2A"/>
          <w:sz w:val="26"/>
          <w:szCs w:val="26"/>
          <w:shd w:val="clear" w:color="auto" w:fill="FFFFFF"/>
        </w:rPr>
        <w:t>October</w:t>
      </w:r>
      <w:proofErr w:type="spellEnd"/>
      <w:r w:rsidR="00B82A83">
        <w:rPr>
          <w:rFonts w:asciiTheme="majorHAnsi" w:eastAsia="Times New Roman" w:hAnsiTheme="majorHAnsi" w:cs="Times New Roman"/>
          <w:color w:val="2A2A2A"/>
          <w:sz w:val="26"/>
          <w:szCs w:val="26"/>
          <w:shd w:val="clear" w:color="auto" w:fill="FFFFFF"/>
        </w:rPr>
        <w:t xml:space="preserve"> 2017. </w:t>
      </w:r>
    </w:p>
    <w:p w14:paraId="119D539B" w14:textId="77777777" w:rsidR="00A73B7B" w:rsidRDefault="00A73B7B" w:rsidP="00A73B7B">
      <w:pPr>
        <w:jc w:val="both"/>
        <w:rPr>
          <w:rFonts w:asciiTheme="majorHAnsi" w:eastAsia="Times New Roman" w:hAnsiTheme="majorHAnsi" w:cs="Times New Roman"/>
          <w:color w:val="2A2A2A"/>
          <w:sz w:val="26"/>
          <w:szCs w:val="26"/>
          <w:shd w:val="clear" w:color="auto" w:fill="FFFFFF"/>
        </w:rPr>
      </w:pPr>
      <w:hyperlink r:id="rId8" w:history="1">
        <w:r w:rsidRPr="001273F3">
          <w:rPr>
            <w:rStyle w:val="Lienhypertexte"/>
            <w:rFonts w:asciiTheme="majorHAnsi" w:eastAsia="Times New Roman" w:hAnsiTheme="majorHAnsi" w:cs="Times New Roman"/>
            <w:sz w:val="26"/>
            <w:szCs w:val="26"/>
            <w:shd w:val="clear" w:color="auto" w:fill="FFFFFF"/>
          </w:rPr>
          <w:t>https://academic.oup.com/cid/article-abstract/65/7/1174/4067376/Safety-and-Immunogenicity-of-Inactivated-Varicella?redirectedFrom=fulltext</w:t>
        </w:r>
      </w:hyperlink>
      <w:r>
        <w:rPr>
          <w:rFonts w:asciiTheme="majorHAnsi" w:eastAsia="Times New Roman" w:hAnsiTheme="majorHAnsi" w:cs="Times New Roman"/>
          <w:color w:val="2A2A2A"/>
          <w:sz w:val="26"/>
          <w:szCs w:val="26"/>
          <w:shd w:val="clear" w:color="auto" w:fill="FFFFFF"/>
        </w:rPr>
        <w:t xml:space="preserve"> </w:t>
      </w:r>
    </w:p>
    <w:p w14:paraId="5C0D9F18" w14:textId="77777777" w:rsidR="00A73B7B" w:rsidRDefault="00A73B7B" w:rsidP="00054778">
      <w:pPr>
        <w:jc w:val="both"/>
        <w:rPr>
          <w:rFonts w:asciiTheme="majorHAnsi" w:eastAsia="Times New Roman" w:hAnsiTheme="majorHAnsi" w:cs="Times New Roman"/>
          <w:color w:val="2A2A2A"/>
          <w:sz w:val="26"/>
          <w:szCs w:val="26"/>
          <w:shd w:val="clear" w:color="auto" w:fill="FFFFFF"/>
        </w:rPr>
      </w:pPr>
    </w:p>
    <w:p w14:paraId="07A5CD88" w14:textId="77777777" w:rsidR="00B82A83" w:rsidRPr="00B82A83" w:rsidRDefault="00B82A83" w:rsidP="00054778">
      <w:pPr>
        <w:jc w:val="both"/>
        <w:rPr>
          <w:rFonts w:asciiTheme="majorHAnsi" w:eastAsia="Times New Roman" w:hAnsiTheme="majorHAnsi" w:cs="Times New Roman"/>
          <w:sz w:val="20"/>
          <w:szCs w:val="20"/>
        </w:rPr>
      </w:pPr>
    </w:p>
    <w:p w14:paraId="2467D587" w14:textId="77777777" w:rsidR="00E1667F" w:rsidRPr="00E1667F" w:rsidRDefault="00E1667F" w:rsidP="00054778">
      <w:pPr>
        <w:pStyle w:val="Sous-titre"/>
        <w:jc w:val="both"/>
        <w:rPr>
          <w:b/>
          <w:i w:val="0"/>
        </w:rPr>
      </w:pPr>
      <w:r w:rsidRPr="00E1667F">
        <w:rPr>
          <w:b/>
          <w:i w:val="0"/>
        </w:rPr>
        <w:t>Matériels et méthodes:</w:t>
      </w:r>
    </w:p>
    <w:p w14:paraId="3E775EA8" w14:textId="77777777" w:rsidR="00E1667F" w:rsidRPr="00E1667F" w:rsidRDefault="00E1667F" w:rsidP="00054778">
      <w:pPr>
        <w:jc w:val="both"/>
        <w:rPr>
          <w:rFonts w:asciiTheme="majorHAnsi" w:hAnsiTheme="majorHAnsi"/>
        </w:rPr>
      </w:pPr>
      <w:r w:rsidRPr="00E1667F">
        <w:rPr>
          <w:rFonts w:asciiTheme="majorHAnsi" w:hAnsiTheme="majorHAnsi"/>
        </w:rPr>
        <w:t xml:space="preserve">Il s’agit d’une étude de phase 2, randomisée (par boite vocale) en double aveugle contrôlée contre placebo multicentrique internationale. </w:t>
      </w:r>
    </w:p>
    <w:p w14:paraId="047718DE" w14:textId="77777777" w:rsidR="00E1667F" w:rsidRPr="00E1667F" w:rsidRDefault="00E1667F" w:rsidP="00054778">
      <w:pPr>
        <w:jc w:val="both"/>
        <w:rPr>
          <w:rFonts w:asciiTheme="majorHAnsi" w:hAnsiTheme="majorHAnsi"/>
        </w:rPr>
      </w:pPr>
      <w:r w:rsidRPr="00E1667F">
        <w:rPr>
          <w:rFonts w:asciiTheme="majorHAnsi" w:hAnsiTheme="majorHAnsi"/>
        </w:rPr>
        <w:t xml:space="preserve">340 patients </w:t>
      </w:r>
      <w:proofErr w:type="gramStart"/>
      <w:r w:rsidRPr="00E1667F">
        <w:rPr>
          <w:rFonts w:asciiTheme="majorHAnsi" w:hAnsiTheme="majorHAnsi"/>
        </w:rPr>
        <w:t>ont  été</w:t>
      </w:r>
      <w:proofErr w:type="gramEnd"/>
      <w:r w:rsidRPr="00E1667F">
        <w:rPr>
          <w:rFonts w:asciiTheme="majorHAnsi" w:hAnsiTheme="majorHAnsi"/>
        </w:rPr>
        <w:t xml:space="preserve"> randomisés et 335 analysés. </w:t>
      </w:r>
    </w:p>
    <w:p w14:paraId="6801BB36" w14:textId="77777777" w:rsidR="00E1667F" w:rsidRPr="00E1667F" w:rsidRDefault="00E1667F" w:rsidP="00054778">
      <w:pPr>
        <w:jc w:val="both"/>
        <w:rPr>
          <w:rFonts w:asciiTheme="majorHAnsi" w:hAnsiTheme="majorHAnsi"/>
        </w:rPr>
      </w:pPr>
      <w:r w:rsidRPr="00E1667F">
        <w:rPr>
          <w:rFonts w:asciiTheme="majorHAnsi" w:hAnsiTheme="majorHAnsi"/>
        </w:rPr>
        <w:t xml:space="preserve">Il existait 3 groupes : </w:t>
      </w:r>
    </w:p>
    <w:p w14:paraId="2577FA29" w14:textId="478D659F" w:rsidR="00E1667F" w:rsidRPr="00A32D66" w:rsidRDefault="00A32D66" w:rsidP="00054778">
      <w:pPr>
        <w:jc w:val="both"/>
        <w:rPr>
          <w:rFonts w:asciiTheme="majorHAnsi" w:hAnsiTheme="majorHAnsi"/>
        </w:rPr>
      </w:pPr>
      <w:r>
        <w:rPr>
          <w:rFonts w:asciiTheme="majorHAnsi" w:hAnsiTheme="majorHAnsi"/>
        </w:rPr>
        <w:t xml:space="preserve">1. </w:t>
      </w:r>
      <w:r w:rsidR="00E1667F" w:rsidRPr="00A32D66">
        <w:rPr>
          <w:rFonts w:asciiTheme="majorHAnsi" w:hAnsiTheme="majorHAnsi"/>
        </w:rPr>
        <w:t xml:space="preserve">Groupe recevant le vaccin inactivé   </w:t>
      </w:r>
    </w:p>
    <w:p w14:paraId="06C4ADD2" w14:textId="436481D5" w:rsidR="00E1667F" w:rsidRPr="00A32D66" w:rsidRDefault="00A32D66" w:rsidP="00054778">
      <w:pPr>
        <w:jc w:val="both"/>
        <w:rPr>
          <w:rFonts w:asciiTheme="majorHAnsi" w:hAnsiTheme="majorHAnsi"/>
        </w:rPr>
      </w:pPr>
      <w:r>
        <w:rPr>
          <w:rFonts w:asciiTheme="majorHAnsi" w:hAnsiTheme="majorHAnsi"/>
        </w:rPr>
        <w:t xml:space="preserve">2. </w:t>
      </w:r>
      <w:r w:rsidR="00E1667F" w:rsidRPr="00A32D66">
        <w:rPr>
          <w:rFonts w:asciiTheme="majorHAnsi" w:hAnsiTheme="majorHAnsi"/>
        </w:rPr>
        <w:t xml:space="preserve">Groupe recevant le vaccin inactivé avec quantité antigénique plus importante </w:t>
      </w:r>
    </w:p>
    <w:p w14:paraId="424D0A3C" w14:textId="7FC6BC37" w:rsidR="00E1667F" w:rsidRDefault="00A32D66" w:rsidP="00054778">
      <w:pPr>
        <w:jc w:val="both"/>
        <w:rPr>
          <w:rFonts w:asciiTheme="majorHAnsi" w:hAnsiTheme="majorHAnsi"/>
        </w:rPr>
      </w:pPr>
      <w:r>
        <w:rPr>
          <w:rFonts w:asciiTheme="majorHAnsi" w:hAnsiTheme="majorHAnsi"/>
        </w:rPr>
        <w:t xml:space="preserve">3. </w:t>
      </w:r>
      <w:r w:rsidR="00E1667F" w:rsidRPr="00A32D66">
        <w:rPr>
          <w:rFonts w:asciiTheme="majorHAnsi" w:hAnsiTheme="majorHAnsi"/>
        </w:rPr>
        <w:t xml:space="preserve">Groupe placebo </w:t>
      </w:r>
    </w:p>
    <w:p w14:paraId="73D385B8" w14:textId="77777777" w:rsidR="00A32D66" w:rsidRPr="00A32D66" w:rsidRDefault="00A32D66" w:rsidP="00054778">
      <w:pPr>
        <w:jc w:val="both"/>
        <w:rPr>
          <w:rFonts w:asciiTheme="majorHAnsi" w:hAnsiTheme="majorHAnsi"/>
        </w:rPr>
      </w:pPr>
    </w:p>
    <w:p w14:paraId="208E7B70" w14:textId="77777777" w:rsidR="00E1667F" w:rsidRPr="00E1667F" w:rsidRDefault="00E1667F" w:rsidP="00054778">
      <w:pPr>
        <w:jc w:val="both"/>
        <w:rPr>
          <w:rFonts w:asciiTheme="majorHAnsi" w:hAnsiTheme="majorHAnsi"/>
        </w:rPr>
      </w:pPr>
      <w:r w:rsidRPr="00E1667F">
        <w:rPr>
          <w:rFonts w:asciiTheme="majorHAnsi" w:hAnsiTheme="majorHAnsi"/>
        </w:rPr>
        <w:t xml:space="preserve">Une stratification au sein de chaque groupe selon que le TTT IS (traitement immunosuppresseur) soit une biothérapie ou non. </w:t>
      </w:r>
    </w:p>
    <w:p w14:paraId="152230C9" w14:textId="77777777" w:rsidR="00E1667F" w:rsidRPr="00E1667F" w:rsidRDefault="00E1667F" w:rsidP="00054778">
      <w:pPr>
        <w:jc w:val="both"/>
        <w:rPr>
          <w:rFonts w:asciiTheme="majorHAnsi" w:hAnsiTheme="majorHAnsi"/>
        </w:rPr>
      </w:pPr>
      <w:r w:rsidRPr="00E1667F">
        <w:rPr>
          <w:rFonts w:asciiTheme="majorHAnsi" w:hAnsiTheme="majorHAnsi"/>
        </w:rPr>
        <w:t>Les patients inclus avaient un ATCD de varicelle, une MAI stable et un TTT IS en cours (</w:t>
      </w:r>
      <w:proofErr w:type="gramStart"/>
      <w:r w:rsidRPr="00E1667F">
        <w:rPr>
          <w:rFonts w:asciiTheme="majorHAnsi" w:hAnsiTheme="majorHAnsi"/>
        </w:rPr>
        <w:t>des minimum</w:t>
      </w:r>
      <w:proofErr w:type="gramEnd"/>
      <w:r w:rsidRPr="00E1667F">
        <w:rPr>
          <w:rFonts w:asciiTheme="majorHAnsi" w:hAnsiTheme="majorHAnsi"/>
        </w:rPr>
        <w:t xml:space="preserve"> de dose était requis).    </w:t>
      </w:r>
    </w:p>
    <w:p w14:paraId="5BB6523B" w14:textId="77777777" w:rsidR="00E1667F" w:rsidRPr="00E1667F" w:rsidRDefault="00E1667F" w:rsidP="00054778">
      <w:pPr>
        <w:jc w:val="both"/>
        <w:rPr>
          <w:rFonts w:asciiTheme="majorHAnsi" w:hAnsiTheme="majorHAnsi"/>
        </w:rPr>
      </w:pPr>
      <w:r w:rsidRPr="00E1667F">
        <w:rPr>
          <w:rFonts w:asciiTheme="majorHAnsi" w:hAnsiTheme="majorHAnsi"/>
        </w:rPr>
        <w:t xml:space="preserve">Les Populations étaient comparables entre les groupes mais sur toute l’étude il existait une prédominance de femme, de caucasiens. </w:t>
      </w:r>
    </w:p>
    <w:p w14:paraId="7C7D78A6" w14:textId="77777777" w:rsidR="00E1667F" w:rsidRPr="00E1667F" w:rsidRDefault="00E1667F" w:rsidP="00054778">
      <w:pPr>
        <w:jc w:val="both"/>
        <w:rPr>
          <w:rFonts w:asciiTheme="majorHAnsi" w:hAnsiTheme="majorHAnsi"/>
        </w:rPr>
      </w:pPr>
      <w:r w:rsidRPr="00E1667F">
        <w:rPr>
          <w:rFonts w:asciiTheme="majorHAnsi" w:hAnsiTheme="majorHAnsi"/>
        </w:rPr>
        <w:t>4 doses de vaccin étaient administrées et des prises de sang étaient réalisées avant et après chacune, la dernière au 28</w:t>
      </w:r>
      <w:r w:rsidRPr="00E1667F">
        <w:rPr>
          <w:rFonts w:asciiTheme="majorHAnsi" w:hAnsiTheme="majorHAnsi"/>
          <w:vertAlign w:val="superscript"/>
        </w:rPr>
        <w:t>ème</w:t>
      </w:r>
      <w:r w:rsidRPr="00E1667F">
        <w:rPr>
          <w:rFonts w:asciiTheme="majorHAnsi" w:hAnsiTheme="majorHAnsi"/>
        </w:rPr>
        <w:t xml:space="preserve"> jour après la dernière injection (</w:t>
      </w:r>
      <w:r w:rsidRPr="00E1667F">
        <w:rPr>
          <w:rFonts w:asciiTheme="majorHAnsi" w:hAnsiTheme="majorHAnsi"/>
          <w:i/>
        </w:rPr>
        <w:t>end point</w:t>
      </w:r>
      <w:r w:rsidRPr="00E1667F">
        <w:rPr>
          <w:rFonts w:asciiTheme="majorHAnsi" w:hAnsiTheme="majorHAnsi"/>
        </w:rPr>
        <w:t xml:space="preserve">).  </w:t>
      </w:r>
    </w:p>
    <w:p w14:paraId="748A62A0" w14:textId="3D8BBE25" w:rsidR="00E1667F" w:rsidRDefault="00E1667F" w:rsidP="00054778">
      <w:pPr>
        <w:jc w:val="both"/>
        <w:rPr>
          <w:rFonts w:asciiTheme="majorHAnsi" w:hAnsiTheme="majorHAnsi"/>
        </w:rPr>
      </w:pPr>
      <w:r w:rsidRPr="00E1667F">
        <w:rPr>
          <w:rFonts w:asciiTheme="majorHAnsi" w:hAnsiTheme="majorHAnsi"/>
        </w:rPr>
        <w:t>L’</w:t>
      </w:r>
      <w:proofErr w:type="spellStart"/>
      <w:r w:rsidRPr="00E1667F">
        <w:rPr>
          <w:rFonts w:asciiTheme="majorHAnsi" w:hAnsiTheme="majorHAnsi"/>
        </w:rPr>
        <w:t>immunogénéicité</w:t>
      </w:r>
      <w:proofErr w:type="spellEnd"/>
      <w:r w:rsidRPr="00E1667F">
        <w:rPr>
          <w:rFonts w:asciiTheme="majorHAnsi" w:hAnsiTheme="majorHAnsi"/>
        </w:rPr>
        <w:t xml:space="preserve"> était mesurée à chaque étape par 2 tec</w:t>
      </w:r>
      <w:r w:rsidR="00A57D91">
        <w:rPr>
          <w:rFonts w:asciiTheme="majorHAnsi" w:hAnsiTheme="majorHAnsi"/>
        </w:rPr>
        <w:t>hniques ELISA et EL</w:t>
      </w:r>
      <w:r w:rsidRPr="00E1667F">
        <w:rPr>
          <w:rFonts w:asciiTheme="majorHAnsi" w:hAnsiTheme="majorHAnsi"/>
        </w:rPr>
        <w:t xml:space="preserve">ISPOT, afin de transcrire 2 aspects de la réponse immune, humorale et lymphocytaire T respectivement. La mesure d’intérêt pour les auteurs était au </w:t>
      </w:r>
      <w:r w:rsidRPr="00E1667F">
        <w:rPr>
          <w:rFonts w:asciiTheme="majorHAnsi" w:hAnsiTheme="majorHAnsi"/>
          <w:i/>
        </w:rPr>
        <w:t>end point</w:t>
      </w:r>
      <w:r w:rsidRPr="00E1667F">
        <w:rPr>
          <w:rFonts w:asciiTheme="majorHAnsi" w:hAnsiTheme="majorHAnsi"/>
        </w:rPr>
        <w:t xml:space="preserve">.  </w:t>
      </w:r>
    </w:p>
    <w:p w14:paraId="7BF68ABC" w14:textId="77777777" w:rsidR="00E1667F" w:rsidRPr="00E1667F" w:rsidRDefault="00E1667F" w:rsidP="00054778">
      <w:pPr>
        <w:jc w:val="both"/>
        <w:rPr>
          <w:rFonts w:asciiTheme="majorHAnsi" w:hAnsiTheme="majorHAnsi"/>
        </w:rPr>
      </w:pPr>
    </w:p>
    <w:p w14:paraId="3C353CD1" w14:textId="77777777" w:rsidR="00E1667F" w:rsidRPr="00E1667F" w:rsidRDefault="00E1667F" w:rsidP="00054778">
      <w:pPr>
        <w:pStyle w:val="Sous-titre"/>
        <w:spacing w:line="240" w:lineRule="auto"/>
        <w:jc w:val="both"/>
        <w:rPr>
          <w:b/>
          <w:i w:val="0"/>
        </w:rPr>
      </w:pPr>
      <w:r w:rsidRPr="00E1667F">
        <w:rPr>
          <w:b/>
          <w:i w:val="0"/>
        </w:rPr>
        <w:t xml:space="preserve">Résultats : </w:t>
      </w:r>
    </w:p>
    <w:p w14:paraId="616AF4C4" w14:textId="66ECEBC8" w:rsidR="00E1667F" w:rsidRPr="00E1667F" w:rsidRDefault="00A57D91" w:rsidP="00054778">
      <w:pPr>
        <w:jc w:val="both"/>
        <w:rPr>
          <w:rFonts w:asciiTheme="majorHAnsi" w:hAnsiTheme="majorHAnsi"/>
        </w:rPr>
      </w:pPr>
      <w:proofErr w:type="spellStart"/>
      <w:r>
        <w:rPr>
          <w:rFonts w:asciiTheme="majorHAnsi" w:hAnsiTheme="majorHAnsi"/>
        </w:rPr>
        <w:t>Immunogéni</w:t>
      </w:r>
      <w:r w:rsidR="00E1667F" w:rsidRPr="00E1667F">
        <w:rPr>
          <w:rFonts w:asciiTheme="majorHAnsi" w:hAnsiTheme="majorHAnsi"/>
        </w:rPr>
        <w:t>cité</w:t>
      </w:r>
      <w:proofErr w:type="spellEnd"/>
      <w:r w:rsidR="00E1667F" w:rsidRPr="00E1667F">
        <w:rPr>
          <w:rFonts w:asciiTheme="majorHAnsi" w:hAnsiTheme="majorHAnsi"/>
        </w:rPr>
        <w:t> : le rati</w:t>
      </w:r>
      <w:r>
        <w:rPr>
          <w:rFonts w:asciiTheme="majorHAnsi" w:hAnsiTheme="majorHAnsi"/>
        </w:rPr>
        <w:t>o d’augmentation en ELISA et EL</w:t>
      </w:r>
      <w:r w:rsidR="00E1667F" w:rsidRPr="00E1667F">
        <w:rPr>
          <w:rFonts w:asciiTheme="majorHAnsi" w:hAnsiTheme="majorHAnsi"/>
        </w:rPr>
        <w:t>ISPOT attendu en analyse primaire est atteint dans les groupes vaccins à l’</w:t>
      </w:r>
      <w:r w:rsidR="00E1667F" w:rsidRPr="00E1667F">
        <w:rPr>
          <w:rFonts w:asciiTheme="majorHAnsi" w:hAnsiTheme="majorHAnsi"/>
          <w:i/>
        </w:rPr>
        <w:t xml:space="preserve">end point </w:t>
      </w:r>
      <w:r w:rsidR="00E1667F" w:rsidRPr="00E1667F">
        <w:rPr>
          <w:rFonts w:asciiTheme="majorHAnsi" w:hAnsiTheme="majorHAnsi"/>
        </w:rPr>
        <w:t xml:space="preserve">1,6 (1,4, 1,7) vs 1,6 (1,5, 1,7) en technique ELISA et 2 (1,6, </w:t>
      </w:r>
      <w:r>
        <w:rPr>
          <w:rFonts w:asciiTheme="majorHAnsi" w:hAnsiTheme="majorHAnsi"/>
        </w:rPr>
        <w:t>2,6) vs 2 (1,7, 2,7) en ELISPOT</w:t>
      </w:r>
      <w:r w:rsidR="00E1667F" w:rsidRPr="00E1667F">
        <w:rPr>
          <w:rFonts w:asciiTheme="majorHAnsi" w:hAnsiTheme="majorHAnsi"/>
        </w:rPr>
        <w:t xml:space="preserve">. Il n’existe pas de ratio plus important dans le groupe vaccin avec quantité Ag plus importante. Pas de différence non plus entre les 2 strates biothérapies et autres TTT IS. </w:t>
      </w:r>
    </w:p>
    <w:p w14:paraId="5F3CF10C" w14:textId="77777777" w:rsidR="00E1667F" w:rsidRPr="00E1667F" w:rsidRDefault="00E1667F" w:rsidP="00054778">
      <w:pPr>
        <w:jc w:val="both"/>
        <w:rPr>
          <w:rFonts w:asciiTheme="majorHAnsi" w:hAnsiTheme="majorHAnsi"/>
          <w:i/>
        </w:rPr>
      </w:pPr>
      <w:r w:rsidRPr="00E1667F">
        <w:rPr>
          <w:rFonts w:asciiTheme="majorHAnsi" w:hAnsiTheme="majorHAnsi"/>
          <w:i/>
        </w:rPr>
        <w:t xml:space="preserve">  </w:t>
      </w:r>
      <w:proofErr w:type="spellStart"/>
      <w:r w:rsidRPr="00E1667F">
        <w:rPr>
          <w:rFonts w:asciiTheme="majorHAnsi" w:hAnsiTheme="majorHAnsi"/>
          <w:i/>
          <w:u w:val="single"/>
        </w:rPr>
        <w:t>Rq</w:t>
      </w:r>
      <w:proofErr w:type="spellEnd"/>
      <w:r w:rsidRPr="00E1667F">
        <w:rPr>
          <w:rFonts w:asciiTheme="majorHAnsi" w:hAnsiTheme="majorHAnsi"/>
          <w:i/>
          <w:u w:val="single"/>
        </w:rPr>
        <w:t> :</w:t>
      </w:r>
      <w:r w:rsidRPr="00E1667F">
        <w:rPr>
          <w:rFonts w:asciiTheme="majorHAnsi" w:hAnsiTheme="majorHAnsi"/>
          <w:i/>
        </w:rPr>
        <w:t xml:space="preserve"> Outil mathématique utilisé = GMFR (</w:t>
      </w:r>
      <w:proofErr w:type="spellStart"/>
      <w:r w:rsidRPr="00E1667F">
        <w:rPr>
          <w:rFonts w:asciiTheme="majorHAnsi" w:hAnsiTheme="majorHAnsi"/>
          <w:i/>
        </w:rPr>
        <w:t>geometric</w:t>
      </w:r>
      <w:proofErr w:type="spellEnd"/>
      <w:r w:rsidRPr="00E1667F">
        <w:rPr>
          <w:rFonts w:asciiTheme="majorHAnsi" w:hAnsiTheme="majorHAnsi"/>
          <w:i/>
        </w:rPr>
        <w:t xml:space="preserve"> </w:t>
      </w:r>
      <w:proofErr w:type="spellStart"/>
      <w:r w:rsidRPr="00E1667F">
        <w:rPr>
          <w:rFonts w:asciiTheme="majorHAnsi" w:hAnsiTheme="majorHAnsi"/>
          <w:i/>
        </w:rPr>
        <w:t>mean</w:t>
      </w:r>
      <w:proofErr w:type="spellEnd"/>
      <w:r w:rsidRPr="00E1667F">
        <w:rPr>
          <w:rFonts w:asciiTheme="majorHAnsi" w:hAnsiTheme="majorHAnsi"/>
          <w:i/>
        </w:rPr>
        <w:t xml:space="preserve"> </w:t>
      </w:r>
      <w:proofErr w:type="spellStart"/>
      <w:r w:rsidRPr="00E1667F">
        <w:rPr>
          <w:rFonts w:asciiTheme="majorHAnsi" w:hAnsiTheme="majorHAnsi"/>
          <w:i/>
        </w:rPr>
        <w:t>fold</w:t>
      </w:r>
      <w:proofErr w:type="spellEnd"/>
      <w:r w:rsidRPr="00E1667F">
        <w:rPr>
          <w:rFonts w:asciiTheme="majorHAnsi" w:hAnsiTheme="majorHAnsi"/>
          <w:i/>
        </w:rPr>
        <w:t xml:space="preserve"> ratio) coefficient moyen d’augmentation du titre </w:t>
      </w:r>
      <w:proofErr w:type="spellStart"/>
      <w:r w:rsidRPr="00E1667F">
        <w:rPr>
          <w:rFonts w:asciiTheme="majorHAnsi" w:hAnsiTheme="majorHAnsi"/>
          <w:i/>
        </w:rPr>
        <w:t>d’Ac</w:t>
      </w:r>
      <w:proofErr w:type="spellEnd"/>
      <w:r w:rsidRPr="00E1667F">
        <w:rPr>
          <w:rFonts w:asciiTheme="majorHAnsi" w:hAnsiTheme="majorHAnsi"/>
          <w:i/>
        </w:rPr>
        <w:t xml:space="preserve">. </w:t>
      </w:r>
    </w:p>
    <w:p w14:paraId="3FF83E23" w14:textId="77777777" w:rsidR="00E1667F" w:rsidRPr="00E1667F" w:rsidRDefault="00E1667F" w:rsidP="00054778">
      <w:pPr>
        <w:jc w:val="both"/>
        <w:rPr>
          <w:rFonts w:asciiTheme="majorHAnsi" w:hAnsiTheme="majorHAnsi"/>
        </w:rPr>
      </w:pPr>
      <w:r w:rsidRPr="00E1667F">
        <w:rPr>
          <w:rFonts w:asciiTheme="majorHAnsi" w:hAnsiTheme="majorHAnsi"/>
        </w:rPr>
        <w:t>Tolérance : il existe d’avantage d’EI avec le vaccin (75,1% contre 53,2%) et en détail pas de différence pour les effets indésirables (EI) non sévères (céphalées, fébricule ou rhinopharyngite) (51,6% vs 46,8%) mais il existait des réactions au point d’injection (rougeur, gonflement, douleur) avec le vaccin et quelques EI sévère (11) quasi seulement dans les groupes vaccin (8 patients vs 1) dont 2 attribuables selon les auteurs au vaccin (kératite avec surinfection bactérienne et amnésie).</w:t>
      </w:r>
    </w:p>
    <w:p w14:paraId="3174AA52" w14:textId="77777777" w:rsidR="00E1667F" w:rsidRDefault="00E1667F" w:rsidP="00054778">
      <w:pPr>
        <w:jc w:val="both"/>
        <w:rPr>
          <w:rFonts w:asciiTheme="majorHAnsi" w:hAnsiTheme="majorHAnsi"/>
        </w:rPr>
      </w:pPr>
      <w:r w:rsidRPr="00E1667F">
        <w:rPr>
          <w:rFonts w:asciiTheme="majorHAnsi" w:hAnsiTheme="majorHAnsi"/>
        </w:rPr>
        <w:lastRenderedPageBreak/>
        <w:t xml:space="preserve">Durant l’étude 10 patients ont présenté une varicelle ou un zona et sur les 6 prélèvements qui ont </w:t>
      </w:r>
      <w:proofErr w:type="spellStart"/>
      <w:r w:rsidRPr="00E1667F">
        <w:rPr>
          <w:rFonts w:asciiTheme="majorHAnsi" w:hAnsiTheme="majorHAnsi"/>
        </w:rPr>
        <w:t>pus</w:t>
      </w:r>
      <w:proofErr w:type="spellEnd"/>
      <w:r w:rsidRPr="00E1667F">
        <w:rPr>
          <w:rFonts w:asciiTheme="majorHAnsi" w:hAnsiTheme="majorHAnsi"/>
        </w:rPr>
        <w:t xml:space="preserve"> être réalisé aucun ne correspondait à la souche du vaccin.     </w:t>
      </w:r>
    </w:p>
    <w:p w14:paraId="63B6CAF4" w14:textId="77777777" w:rsidR="00E1667F" w:rsidRPr="00E1667F" w:rsidRDefault="00E1667F" w:rsidP="00054778">
      <w:pPr>
        <w:jc w:val="both"/>
        <w:rPr>
          <w:rFonts w:asciiTheme="majorHAnsi" w:hAnsiTheme="majorHAnsi"/>
        </w:rPr>
      </w:pPr>
    </w:p>
    <w:p w14:paraId="7694D132" w14:textId="77777777" w:rsidR="00E1667F" w:rsidRPr="00E1667F" w:rsidRDefault="00E1667F" w:rsidP="00054778">
      <w:pPr>
        <w:pStyle w:val="Sous-titre"/>
        <w:jc w:val="both"/>
        <w:rPr>
          <w:b/>
        </w:rPr>
      </w:pPr>
      <w:r w:rsidRPr="00E1667F">
        <w:rPr>
          <w:b/>
        </w:rPr>
        <w:t xml:space="preserve">Discussion et points importants : </w:t>
      </w:r>
    </w:p>
    <w:p w14:paraId="462A7435" w14:textId="634511C4" w:rsidR="00E1667F" w:rsidRPr="00E1667F" w:rsidRDefault="00E1667F" w:rsidP="00054778">
      <w:pPr>
        <w:jc w:val="both"/>
        <w:rPr>
          <w:rFonts w:asciiTheme="majorHAnsi" w:hAnsiTheme="majorHAnsi"/>
        </w:rPr>
      </w:pPr>
      <w:r w:rsidRPr="00E1667F">
        <w:rPr>
          <w:rFonts w:asciiTheme="majorHAnsi" w:hAnsiTheme="majorHAnsi"/>
        </w:rPr>
        <w:t>Pour l’</w:t>
      </w:r>
      <w:proofErr w:type="spellStart"/>
      <w:r w:rsidRPr="00E1667F">
        <w:rPr>
          <w:rFonts w:asciiTheme="majorHAnsi" w:hAnsiTheme="majorHAnsi"/>
        </w:rPr>
        <w:t>immunogénéicité</w:t>
      </w:r>
      <w:proofErr w:type="spellEnd"/>
      <w:r w:rsidRPr="00E1667F">
        <w:rPr>
          <w:rFonts w:asciiTheme="majorHAnsi" w:hAnsiTheme="majorHAnsi"/>
        </w:rPr>
        <w:t xml:space="preserve"> les auteurs </w:t>
      </w:r>
      <w:r w:rsidR="00A57D91" w:rsidRPr="00E1667F">
        <w:rPr>
          <w:rFonts w:asciiTheme="majorHAnsi" w:hAnsiTheme="majorHAnsi"/>
        </w:rPr>
        <w:t>observent</w:t>
      </w:r>
      <w:r w:rsidRPr="00E1667F">
        <w:rPr>
          <w:rFonts w:asciiTheme="majorHAnsi" w:hAnsiTheme="majorHAnsi"/>
        </w:rPr>
        <w:t xml:space="preserve"> qu’il n’y a pas d’augmentation du titre </w:t>
      </w:r>
      <w:proofErr w:type="spellStart"/>
      <w:r w:rsidRPr="00E1667F">
        <w:rPr>
          <w:rFonts w:asciiTheme="majorHAnsi" w:hAnsiTheme="majorHAnsi"/>
        </w:rPr>
        <w:t>d’Ac</w:t>
      </w:r>
      <w:proofErr w:type="spellEnd"/>
      <w:r w:rsidRPr="00E1667F">
        <w:rPr>
          <w:rFonts w:asciiTheme="majorHAnsi" w:hAnsiTheme="majorHAnsi"/>
        </w:rPr>
        <w:t xml:space="preserve"> après 3</w:t>
      </w:r>
      <w:r w:rsidRPr="00E1667F">
        <w:rPr>
          <w:rFonts w:asciiTheme="majorHAnsi" w:hAnsiTheme="majorHAnsi"/>
          <w:vertAlign w:val="superscript"/>
        </w:rPr>
        <w:t>ème</w:t>
      </w:r>
      <w:r w:rsidRPr="00E1667F">
        <w:rPr>
          <w:rFonts w:asciiTheme="majorHAnsi" w:hAnsiTheme="majorHAnsi"/>
        </w:rPr>
        <w:t xml:space="preserve"> injection, ce qui peut conduire à revoir schéma vaccinal. </w:t>
      </w:r>
    </w:p>
    <w:p w14:paraId="65B8F7A2" w14:textId="77777777" w:rsidR="00E1667F" w:rsidRPr="00E1667F" w:rsidRDefault="00E1667F" w:rsidP="00054778">
      <w:pPr>
        <w:jc w:val="both"/>
        <w:rPr>
          <w:rFonts w:asciiTheme="majorHAnsi" w:hAnsiTheme="majorHAnsi"/>
        </w:rPr>
      </w:pPr>
      <w:r w:rsidRPr="00E1667F">
        <w:rPr>
          <w:rFonts w:asciiTheme="majorHAnsi" w:hAnsiTheme="majorHAnsi"/>
        </w:rPr>
        <w:t xml:space="preserve">Pas d’intérêt immunologique à supplémenter en Ag le vaccin. </w:t>
      </w:r>
    </w:p>
    <w:p w14:paraId="0400EEA7" w14:textId="77777777" w:rsidR="00E1667F" w:rsidRPr="00E1667F" w:rsidRDefault="00E1667F" w:rsidP="00054778">
      <w:pPr>
        <w:jc w:val="both"/>
        <w:rPr>
          <w:rFonts w:asciiTheme="majorHAnsi" w:hAnsiTheme="majorHAnsi"/>
        </w:rPr>
      </w:pPr>
      <w:r w:rsidRPr="00E1667F">
        <w:rPr>
          <w:rFonts w:asciiTheme="majorHAnsi" w:hAnsiTheme="majorHAnsi"/>
        </w:rPr>
        <w:t xml:space="preserve"> Il existe de façon notable des EI sérieux attribuables au vaccin, en plus d’effets indésirables peu sévères attendus au point d’injection. </w:t>
      </w:r>
    </w:p>
    <w:p w14:paraId="32D02641" w14:textId="77777777" w:rsidR="00E1667F" w:rsidRPr="00A57D91" w:rsidRDefault="00E1667F" w:rsidP="00054778">
      <w:pPr>
        <w:jc w:val="both"/>
        <w:rPr>
          <w:rFonts w:asciiTheme="majorHAnsi" w:hAnsiTheme="majorHAnsi"/>
        </w:rPr>
      </w:pPr>
      <w:r w:rsidRPr="00A57D91">
        <w:rPr>
          <w:rFonts w:asciiTheme="majorHAnsi" w:hAnsiTheme="majorHAnsi"/>
        </w:rPr>
        <w:t xml:space="preserve">Etude de phase 2 : réponses immunes ne préjuge </w:t>
      </w:r>
      <w:proofErr w:type="gramStart"/>
      <w:r w:rsidRPr="00A57D91">
        <w:rPr>
          <w:rFonts w:asciiTheme="majorHAnsi" w:hAnsiTheme="majorHAnsi"/>
        </w:rPr>
        <w:t>pas  de</w:t>
      </w:r>
      <w:proofErr w:type="gramEnd"/>
      <w:r w:rsidRPr="00A57D91">
        <w:rPr>
          <w:rFonts w:asciiTheme="majorHAnsi" w:hAnsiTheme="majorHAnsi"/>
        </w:rPr>
        <w:t xml:space="preserve"> l’efficacité clinique, on attend phase 3.   </w:t>
      </w:r>
    </w:p>
    <w:p w14:paraId="76585E2E" w14:textId="77777777" w:rsidR="00E1667F" w:rsidRPr="00E1667F" w:rsidRDefault="00E1667F" w:rsidP="00054778">
      <w:pPr>
        <w:jc w:val="both"/>
        <w:rPr>
          <w:rFonts w:asciiTheme="majorHAnsi" w:hAnsiTheme="majorHAnsi"/>
        </w:rPr>
      </w:pPr>
    </w:p>
    <w:p w14:paraId="3722115C" w14:textId="77777777" w:rsidR="00E1667F" w:rsidRPr="00E1667F" w:rsidRDefault="00E1667F" w:rsidP="00054778">
      <w:pPr>
        <w:pStyle w:val="Sous-titre"/>
        <w:jc w:val="both"/>
        <w:rPr>
          <w:b/>
          <w:i w:val="0"/>
        </w:rPr>
      </w:pPr>
      <w:r w:rsidRPr="00E1667F">
        <w:rPr>
          <w:b/>
          <w:i w:val="0"/>
        </w:rPr>
        <w:t xml:space="preserve">Conclusion : </w:t>
      </w:r>
    </w:p>
    <w:p w14:paraId="3100B9A2" w14:textId="77777777" w:rsidR="00E1667F" w:rsidRPr="00E1667F" w:rsidRDefault="00E1667F" w:rsidP="00054778">
      <w:pPr>
        <w:jc w:val="both"/>
        <w:rPr>
          <w:rFonts w:asciiTheme="majorHAnsi" w:hAnsiTheme="majorHAnsi"/>
        </w:rPr>
      </w:pPr>
      <w:r w:rsidRPr="00E1667F">
        <w:rPr>
          <w:rFonts w:asciiTheme="majorHAnsi" w:hAnsiTheme="majorHAnsi"/>
        </w:rPr>
        <w:t xml:space="preserve">Le risque de développer un ZONA chez les patients ID est augmenté de 50% et </w:t>
      </w:r>
      <w:proofErr w:type="spellStart"/>
      <w:r w:rsidRPr="00E1667F">
        <w:rPr>
          <w:rFonts w:asciiTheme="majorHAnsi" w:hAnsiTheme="majorHAnsi"/>
        </w:rPr>
        <w:t>peu</w:t>
      </w:r>
      <w:proofErr w:type="spellEnd"/>
      <w:r w:rsidRPr="00E1667F">
        <w:rPr>
          <w:rFonts w:asciiTheme="majorHAnsi" w:hAnsiTheme="majorHAnsi"/>
        </w:rPr>
        <w:t xml:space="preserve"> varier en fonction du degré d’immunosuppression. La sévérité de l’atteinte, les complications, le recours aux hospitalisations et les séquelles d’un ZONA (algies post </w:t>
      </w:r>
      <w:proofErr w:type="spellStart"/>
      <w:r w:rsidRPr="00E1667F">
        <w:rPr>
          <w:rFonts w:asciiTheme="majorHAnsi" w:hAnsiTheme="majorHAnsi"/>
        </w:rPr>
        <w:t>zoosteriennes</w:t>
      </w:r>
      <w:proofErr w:type="spellEnd"/>
      <w:r w:rsidRPr="00E1667F">
        <w:rPr>
          <w:rFonts w:asciiTheme="majorHAnsi" w:hAnsiTheme="majorHAnsi"/>
        </w:rPr>
        <w:t xml:space="preserve">) sont plus importantes chez le patient ID. </w:t>
      </w:r>
    </w:p>
    <w:p w14:paraId="03DE5312" w14:textId="60E3C924" w:rsidR="00E1667F" w:rsidRPr="00E1667F" w:rsidRDefault="00E1667F" w:rsidP="00054778">
      <w:pPr>
        <w:jc w:val="both"/>
        <w:rPr>
          <w:rFonts w:asciiTheme="majorHAnsi" w:hAnsiTheme="majorHAnsi"/>
        </w:rPr>
      </w:pPr>
      <w:r w:rsidRPr="00E1667F">
        <w:rPr>
          <w:rFonts w:asciiTheme="majorHAnsi" w:hAnsiTheme="majorHAnsi"/>
        </w:rPr>
        <w:t xml:space="preserve">Cette étude de phase 2 montre qu’une alternative au vaccin vivant atténué existerait, avec une </w:t>
      </w:r>
      <w:proofErr w:type="spellStart"/>
      <w:r w:rsidRPr="00E1667F">
        <w:rPr>
          <w:rFonts w:asciiTheme="majorHAnsi" w:hAnsiTheme="majorHAnsi"/>
        </w:rPr>
        <w:t>immu</w:t>
      </w:r>
      <w:r w:rsidR="00A57D91">
        <w:rPr>
          <w:rFonts w:asciiTheme="majorHAnsi" w:hAnsiTheme="majorHAnsi"/>
        </w:rPr>
        <w:t>nogén</w:t>
      </w:r>
      <w:r w:rsidRPr="00E1667F">
        <w:rPr>
          <w:rFonts w:asciiTheme="majorHAnsi" w:hAnsiTheme="majorHAnsi"/>
        </w:rPr>
        <w:t>icité</w:t>
      </w:r>
      <w:proofErr w:type="spellEnd"/>
      <w:r w:rsidRPr="00E1667F">
        <w:rPr>
          <w:rFonts w:asciiTheme="majorHAnsi" w:hAnsiTheme="majorHAnsi"/>
        </w:rPr>
        <w:t xml:space="preserve"> et une relative bonne tolérance chez les personnes ID, sous réserve qu’il fasse ses preuves en réduisant le risque de développer un ZONA et ses complications.         </w:t>
      </w:r>
    </w:p>
    <w:p w14:paraId="03259D81" w14:textId="77777777" w:rsidR="00E1667F" w:rsidRDefault="00E1667F" w:rsidP="00054778">
      <w:pPr>
        <w:jc w:val="both"/>
        <w:rPr>
          <w:rFonts w:asciiTheme="majorHAnsi" w:hAnsiTheme="majorHAnsi"/>
        </w:rPr>
      </w:pPr>
    </w:p>
    <w:p w14:paraId="73DC53F2" w14:textId="77777777" w:rsidR="00A32D66" w:rsidRDefault="00A32D66" w:rsidP="00054778">
      <w:pPr>
        <w:jc w:val="both"/>
        <w:rPr>
          <w:rFonts w:asciiTheme="majorHAnsi" w:hAnsiTheme="majorHAnsi"/>
        </w:rPr>
      </w:pPr>
    </w:p>
    <w:p w14:paraId="668D6498" w14:textId="77777777" w:rsidR="00A32D66" w:rsidRDefault="00A32D66" w:rsidP="00054778">
      <w:pPr>
        <w:jc w:val="both"/>
        <w:rPr>
          <w:rFonts w:asciiTheme="majorHAnsi" w:hAnsiTheme="majorHAnsi"/>
        </w:rPr>
      </w:pPr>
    </w:p>
    <w:p w14:paraId="59591AD2" w14:textId="77777777" w:rsidR="00A32D66" w:rsidRDefault="00A32D66" w:rsidP="00054778">
      <w:pPr>
        <w:jc w:val="both"/>
        <w:rPr>
          <w:rFonts w:asciiTheme="majorHAnsi" w:hAnsiTheme="majorHAnsi"/>
        </w:rPr>
      </w:pPr>
    </w:p>
    <w:p w14:paraId="4A66D0F1" w14:textId="77777777" w:rsidR="00A32D66" w:rsidRDefault="00A32D66" w:rsidP="00054778">
      <w:pPr>
        <w:jc w:val="both"/>
        <w:rPr>
          <w:rFonts w:asciiTheme="majorHAnsi" w:hAnsiTheme="majorHAnsi"/>
        </w:rPr>
      </w:pPr>
    </w:p>
    <w:p w14:paraId="656A818B" w14:textId="77777777" w:rsidR="00A32D66" w:rsidRDefault="00A32D66" w:rsidP="00054778">
      <w:pPr>
        <w:jc w:val="both"/>
        <w:rPr>
          <w:rFonts w:asciiTheme="majorHAnsi" w:hAnsiTheme="majorHAnsi"/>
        </w:rPr>
      </w:pPr>
    </w:p>
    <w:p w14:paraId="41F8A316" w14:textId="77777777" w:rsidR="00A32D66" w:rsidRDefault="00A32D66" w:rsidP="00054778">
      <w:pPr>
        <w:jc w:val="both"/>
        <w:rPr>
          <w:rFonts w:asciiTheme="majorHAnsi" w:hAnsiTheme="majorHAnsi"/>
        </w:rPr>
      </w:pPr>
    </w:p>
    <w:p w14:paraId="7A956AEA" w14:textId="77777777" w:rsidR="00A32D66" w:rsidRDefault="00A32D66" w:rsidP="00054778">
      <w:pPr>
        <w:jc w:val="both"/>
        <w:rPr>
          <w:rFonts w:asciiTheme="majorHAnsi" w:hAnsiTheme="majorHAnsi"/>
        </w:rPr>
      </w:pPr>
    </w:p>
    <w:p w14:paraId="513390BD" w14:textId="77777777" w:rsidR="00A32D66" w:rsidRDefault="00A32D66" w:rsidP="00054778">
      <w:pPr>
        <w:jc w:val="both"/>
        <w:rPr>
          <w:rFonts w:asciiTheme="majorHAnsi" w:hAnsiTheme="majorHAnsi"/>
        </w:rPr>
      </w:pPr>
    </w:p>
    <w:p w14:paraId="424474B5" w14:textId="77777777" w:rsidR="00A32D66" w:rsidRDefault="00A32D66" w:rsidP="00054778">
      <w:pPr>
        <w:jc w:val="both"/>
        <w:rPr>
          <w:rFonts w:asciiTheme="majorHAnsi" w:hAnsiTheme="majorHAnsi"/>
        </w:rPr>
      </w:pPr>
    </w:p>
    <w:p w14:paraId="573E199F" w14:textId="77777777" w:rsidR="00A32D66" w:rsidRDefault="00A32D66" w:rsidP="00054778">
      <w:pPr>
        <w:jc w:val="both"/>
        <w:rPr>
          <w:rFonts w:asciiTheme="majorHAnsi" w:hAnsiTheme="majorHAnsi"/>
        </w:rPr>
      </w:pPr>
    </w:p>
    <w:p w14:paraId="0469C8C0" w14:textId="77777777" w:rsidR="00A32D66" w:rsidRDefault="00A32D66" w:rsidP="00054778">
      <w:pPr>
        <w:jc w:val="both"/>
        <w:rPr>
          <w:rFonts w:asciiTheme="majorHAnsi" w:hAnsiTheme="majorHAnsi"/>
        </w:rPr>
      </w:pPr>
    </w:p>
    <w:p w14:paraId="69471503" w14:textId="77777777" w:rsidR="00A32D66" w:rsidRDefault="00A32D66" w:rsidP="00054778">
      <w:pPr>
        <w:jc w:val="both"/>
        <w:rPr>
          <w:rFonts w:asciiTheme="majorHAnsi" w:hAnsiTheme="majorHAnsi"/>
        </w:rPr>
      </w:pPr>
    </w:p>
    <w:p w14:paraId="66FDF4D2" w14:textId="77777777" w:rsidR="00A32D66" w:rsidRDefault="00A32D66" w:rsidP="00054778">
      <w:pPr>
        <w:jc w:val="both"/>
        <w:rPr>
          <w:rFonts w:asciiTheme="majorHAnsi" w:hAnsiTheme="majorHAnsi"/>
        </w:rPr>
      </w:pPr>
    </w:p>
    <w:p w14:paraId="37A6093C" w14:textId="77777777" w:rsidR="00A32D66" w:rsidRDefault="00A32D66" w:rsidP="00054778">
      <w:pPr>
        <w:jc w:val="both"/>
        <w:rPr>
          <w:rFonts w:asciiTheme="majorHAnsi" w:hAnsiTheme="majorHAnsi"/>
        </w:rPr>
      </w:pPr>
    </w:p>
    <w:p w14:paraId="77BD20AE" w14:textId="77777777" w:rsidR="00A32D66" w:rsidRDefault="00A32D66" w:rsidP="00054778">
      <w:pPr>
        <w:jc w:val="both"/>
        <w:rPr>
          <w:rFonts w:asciiTheme="majorHAnsi" w:hAnsiTheme="majorHAnsi"/>
        </w:rPr>
      </w:pPr>
    </w:p>
    <w:p w14:paraId="2D9BA3E8" w14:textId="77777777" w:rsidR="00A32D66" w:rsidRDefault="00A32D66" w:rsidP="00054778">
      <w:pPr>
        <w:jc w:val="both"/>
        <w:rPr>
          <w:rFonts w:asciiTheme="majorHAnsi" w:hAnsiTheme="majorHAnsi"/>
        </w:rPr>
      </w:pPr>
    </w:p>
    <w:p w14:paraId="46EBB5F3" w14:textId="77777777" w:rsidR="00A32D66" w:rsidRDefault="00A32D66" w:rsidP="00054778">
      <w:pPr>
        <w:jc w:val="both"/>
        <w:rPr>
          <w:rFonts w:asciiTheme="majorHAnsi" w:hAnsiTheme="majorHAnsi"/>
        </w:rPr>
      </w:pPr>
    </w:p>
    <w:p w14:paraId="5BB00DBB" w14:textId="77777777" w:rsidR="00A32D66" w:rsidRDefault="00A32D66" w:rsidP="00054778">
      <w:pPr>
        <w:jc w:val="both"/>
        <w:rPr>
          <w:rFonts w:asciiTheme="majorHAnsi" w:hAnsiTheme="majorHAnsi"/>
        </w:rPr>
      </w:pPr>
    </w:p>
    <w:p w14:paraId="0C0BB2B4" w14:textId="77777777" w:rsidR="00A32D66" w:rsidRDefault="00A32D66" w:rsidP="00054778">
      <w:pPr>
        <w:jc w:val="both"/>
        <w:rPr>
          <w:rFonts w:asciiTheme="majorHAnsi" w:hAnsiTheme="majorHAnsi"/>
        </w:rPr>
      </w:pPr>
    </w:p>
    <w:p w14:paraId="11F6016E" w14:textId="5DB0A1E7" w:rsidR="00A32D66" w:rsidRPr="000249CB" w:rsidRDefault="00A32D66" w:rsidP="00054778">
      <w:pPr>
        <w:pStyle w:val="Titre1"/>
        <w:spacing w:before="120" w:after="120" w:line="300" w:lineRule="atLeast"/>
        <w:jc w:val="both"/>
        <w:rPr>
          <w:rFonts w:eastAsia="Times New Roman" w:cs="Arial"/>
          <w:color w:val="4F81BD" w:themeColor="accent1"/>
          <w:sz w:val="24"/>
          <w:szCs w:val="24"/>
          <w:lang w:val="en-GB"/>
        </w:rPr>
      </w:pPr>
      <w:r w:rsidRPr="000249CB">
        <w:rPr>
          <w:rStyle w:val="highlight"/>
          <w:rFonts w:eastAsia="Times New Roman" w:cs="Arial"/>
          <w:color w:val="4F81BD" w:themeColor="accent1"/>
          <w:sz w:val="24"/>
          <w:szCs w:val="24"/>
          <w:lang w:val="en-GB"/>
        </w:rPr>
        <w:t>EFFECT</w:t>
      </w:r>
      <w:r w:rsidRPr="000249CB">
        <w:rPr>
          <w:rStyle w:val="apple-converted-space"/>
          <w:rFonts w:eastAsia="Times New Roman" w:cs="Arial"/>
          <w:color w:val="4F81BD" w:themeColor="accent1"/>
          <w:sz w:val="24"/>
          <w:szCs w:val="24"/>
          <w:lang w:val="en-GB"/>
        </w:rPr>
        <w:t> </w:t>
      </w:r>
      <w:r w:rsidRPr="000249CB">
        <w:rPr>
          <w:rFonts w:eastAsia="Times New Roman" w:cs="Arial"/>
          <w:color w:val="4F81BD" w:themeColor="accent1"/>
          <w:sz w:val="24"/>
          <w:szCs w:val="24"/>
          <w:lang w:val="en-GB"/>
        </w:rPr>
        <w:t>OF</w:t>
      </w:r>
      <w:r w:rsidRPr="000249CB">
        <w:rPr>
          <w:rStyle w:val="apple-converted-space"/>
          <w:rFonts w:eastAsia="Times New Roman" w:cs="Arial"/>
          <w:color w:val="4F81BD" w:themeColor="accent1"/>
          <w:sz w:val="24"/>
          <w:szCs w:val="24"/>
          <w:lang w:val="en-GB"/>
        </w:rPr>
        <w:t> </w:t>
      </w:r>
      <w:r w:rsidRPr="000249CB">
        <w:rPr>
          <w:rStyle w:val="highlight"/>
          <w:rFonts w:eastAsia="Times New Roman" w:cs="Arial"/>
          <w:color w:val="4F81BD" w:themeColor="accent1"/>
          <w:sz w:val="24"/>
          <w:szCs w:val="24"/>
          <w:lang w:val="en-GB"/>
        </w:rPr>
        <w:t>METHOTREXATE</w:t>
      </w:r>
      <w:r w:rsidRPr="000249CB">
        <w:rPr>
          <w:rStyle w:val="apple-converted-space"/>
          <w:rFonts w:eastAsia="Times New Roman" w:cs="Arial"/>
          <w:color w:val="4F81BD" w:themeColor="accent1"/>
          <w:sz w:val="24"/>
          <w:szCs w:val="24"/>
          <w:lang w:val="en-GB"/>
        </w:rPr>
        <w:t> </w:t>
      </w:r>
      <w:r w:rsidRPr="000249CB">
        <w:rPr>
          <w:rStyle w:val="highlight"/>
          <w:rFonts w:eastAsia="Times New Roman" w:cs="Arial"/>
          <w:color w:val="4F81BD" w:themeColor="accent1"/>
          <w:sz w:val="24"/>
          <w:szCs w:val="24"/>
          <w:lang w:val="en-GB"/>
        </w:rPr>
        <w:t>DISCONTINUATION</w:t>
      </w:r>
      <w:r w:rsidRPr="000249CB">
        <w:rPr>
          <w:rStyle w:val="apple-converted-space"/>
          <w:rFonts w:eastAsia="Times New Roman" w:cs="Arial"/>
          <w:color w:val="4F81BD" w:themeColor="accent1"/>
          <w:sz w:val="24"/>
          <w:szCs w:val="24"/>
          <w:lang w:val="en-GB"/>
        </w:rPr>
        <w:t> </w:t>
      </w:r>
      <w:r w:rsidRPr="000249CB">
        <w:rPr>
          <w:rFonts w:eastAsia="Times New Roman" w:cs="Arial"/>
          <w:color w:val="4F81BD" w:themeColor="accent1"/>
          <w:sz w:val="24"/>
          <w:szCs w:val="24"/>
          <w:lang w:val="en-GB"/>
        </w:rPr>
        <w:t>ON</w:t>
      </w:r>
      <w:r w:rsidRPr="000249CB">
        <w:rPr>
          <w:rStyle w:val="apple-converted-space"/>
          <w:rFonts w:eastAsia="Times New Roman" w:cs="Arial"/>
          <w:color w:val="4F81BD" w:themeColor="accent1"/>
          <w:sz w:val="24"/>
          <w:szCs w:val="24"/>
          <w:lang w:val="en-GB"/>
        </w:rPr>
        <w:t> </w:t>
      </w:r>
      <w:r w:rsidRPr="000249CB">
        <w:rPr>
          <w:rStyle w:val="highlight"/>
          <w:rFonts w:eastAsia="Times New Roman" w:cs="Arial"/>
          <w:color w:val="4F81BD" w:themeColor="accent1"/>
          <w:sz w:val="24"/>
          <w:szCs w:val="24"/>
          <w:lang w:val="en-GB"/>
        </w:rPr>
        <w:t>EFFICACY</w:t>
      </w:r>
      <w:r w:rsidRPr="000249CB">
        <w:rPr>
          <w:rStyle w:val="apple-converted-space"/>
          <w:rFonts w:eastAsia="Times New Roman" w:cs="Arial"/>
          <w:color w:val="4F81BD" w:themeColor="accent1"/>
          <w:sz w:val="24"/>
          <w:szCs w:val="24"/>
          <w:lang w:val="en-GB"/>
        </w:rPr>
        <w:t> </w:t>
      </w:r>
      <w:r w:rsidRPr="000249CB">
        <w:rPr>
          <w:rFonts w:eastAsia="Times New Roman" w:cs="Arial"/>
          <w:color w:val="4F81BD" w:themeColor="accent1"/>
          <w:sz w:val="24"/>
          <w:szCs w:val="24"/>
          <w:lang w:val="en-GB"/>
        </w:rPr>
        <w:t>OF</w:t>
      </w:r>
      <w:r w:rsidRPr="000249CB">
        <w:rPr>
          <w:rStyle w:val="apple-converted-space"/>
          <w:rFonts w:eastAsia="Times New Roman" w:cs="Arial"/>
          <w:color w:val="4F81BD" w:themeColor="accent1"/>
          <w:sz w:val="24"/>
          <w:szCs w:val="24"/>
          <w:lang w:val="en-GB"/>
        </w:rPr>
        <w:t> </w:t>
      </w:r>
      <w:r w:rsidRPr="000249CB">
        <w:rPr>
          <w:rStyle w:val="highlight"/>
          <w:rFonts w:eastAsia="Times New Roman" w:cs="Arial"/>
          <w:color w:val="4F81BD" w:themeColor="accent1"/>
          <w:sz w:val="24"/>
          <w:szCs w:val="24"/>
          <w:lang w:val="en-GB"/>
        </w:rPr>
        <w:t>SEASONAL</w:t>
      </w:r>
      <w:r w:rsidRPr="000249CB">
        <w:rPr>
          <w:rStyle w:val="apple-converted-space"/>
          <w:rFonts w:eastAsia="Times New Roman" w:cs="Arial"/>
          <w:color w:val="4F81BD" w:themeColor="accent1"/>
          <w:sz w:val="24"/>
          <w:szCs w:val="24"/>
          <w:lang w:val="en-GB"/>
        </w:rPr>
        <w:t> </w:t>
      </w:r>
      <w:r w:rsidRPr="000249CB">
        <w:rPr>
          <w:rFonts w:eastAsia="Times New Roman" w:cs="Arial"/>
          <w:color w:val="4F81BD" w:themeColor="accent1"/>
          <w:sz w:val="24"/>
          <w:szCs w:val="24"/>
          <w:lang w:val="en-GB"/>
        </w:rPr>
        <w:t>INFLUENZA VACCINATION IN PATIENTS WITH RHEUMATOID ARTHRITIS: A RANDOMISED CLINICAL TRIAL</w:t>
      </w:r>
    </w:p>
    <w:p w14:paraId="5C3FFE0C" w14:textId="77777777" w:rsidR="00A32D66" w:rsidRPr="000249CB" w:rsidRDefault="00A32D66" w:rsidP="00054778">
      <w:pPr>
        <w:jc w:val="both"/>
        <w:rPr>
          <w:rFonts w:asciiTheme="majorHAnsi" w:hAnsiTheme="majorHAnsi"/>
          <w:lang w:val="en-GB"/>
        </w:rPr>
      </w:pPr>
    </w:p>
    <w:p w14:paraId="45FF8906" w14:textId="37CB0B4F" w:rsidR="00A32D66" w:rsidRDefault="00A32D66" w:rsidP="00054778">
      <w:pPr>
        <w:jc w:val="both"/>
        <w:rPr>
          <w:rFonts w:asciiTheme="majorHAnsi" w:hAnsiTheme="majorHAnsi"/>
        </w:rPr>
      </w:pPr>
      <w:r w:rsidRPr="00A32D66">
        <w:rPr>
          <w:rFonts w:asciiTheme="majorHAnsi" w:hAnsiTheme="majorHAnsi"/>
        </w:rPr>
        <w:t xml:space="preserve">Park et al. Ann </w:t>
      </w:r>
      <w:proofErr w:type="spellStart"/>
      <w:r w:rsidRPr="00A32D66">
        <w:rPr>
          <w:rFonts w:asciiTheme="majorHAnsi" w:hAnsiTheme="majorHAnsi"/>
        </w:rPr>
        <w:t>Rheum</w:t>
      </w:r>
      <w:proofErr w:type="spellEnd"/>
      <w:r w:rsidRPr="00A32D66">
        <w:rPr>
          <w:rFonts w:asciiTheme="majorHAnsi" w:hAnsiTheme="majorHAnsi"/>
        </w:rPr>
        <w:t xml:space="preserve"> Dis. 2017 Sept ;76(9) :1559-1565</w:t>
      </w:r>
    </w:p>
    <w:p w14:paraId="058AEC6A" w14:textId="77777777" w:rsidR="00A73B7B" w:rsidRPr="00A32D66" w:rsidRDefault="00A73B7B" w:rsidP="00A73B7B">
      <w:pPr>
        <w:jc w:val="both"/>
        <w:rPr>
          <w:rFonts w:asciiTheme="majorHAnsi" w:hAnsiTheme="majorHAnsi"/>
        </w:rPr>
      </w:pPr>
      <w:hyperlink r:id="rId9" w:history="1">
        <w:r w:rsidRPr="001273F3">
          <w:rPr>
            <w:rStyle w:val="Lienhypertexte"/>
            <w:rFonts w:asciiTheme="majorHAnsi" w:hAnsiTheme="majorHAnsi"/>
          </w:rPr>
          <w:t>https://www.ncbi.nlm.nih.gov/pubmed/?term=EFFECT%C2%A0OF%C2%A0METHOTREXATE%C2%A0DISCONTINUATION%C2%A0ON%C2%A0EFFICACY%C2%A0OF%C2%A0SEASONAL%C2%A0INFLUENZA+VACCINATION+IN+PATIENTS+WITH+RHEUMATOID+ARTHRITIS%3A+A+RANDOMISED+CLINICAL+TRIAL</w:t>
        </w:r>
      </w:hyperlink>
      <w:r>
        <w:rPr>
          <w:rFonts w:asciiTheme="majorHAnsi" w:hAnsiTheme="majorHAnsi"/>
        </w:rPr>
        <w:t xml:space="preserve"> </w:t>
      </w:r>
    </w:p>
    <w:p w14:paraId="037DA0B5" w14:textId="77777777" w:rsidR="00A73B7B" w:rsidRPr="00A32D66" w:rsidRDefault="00A73B7B" w:rsidP="00054778">
      <w:pPr>
        <w:jc w:val="both"/>
        <w:rPr>
          <w:rFonts w:asciiTheme="majorHAnsi" w:hAnsiTheme="majorHAnsi"/>
        </w:rPr>
      </w:pPr>
    </w:p>
    <w:p w14:paraId="03C6A259" w14:textId="77777777" w:rsidR="00A32D66" w:rsidRPr="00A32D66" w:rsidRDefault="00A32D66" w:rsidP="00054778">
      <w:pPr>
        <w:jc w:val="both"/>
        <w:rPr>
          <w:rFonts w:asciiTheme="majorHAnsi" w:hAnsiTheme="majorHAnsi"/>
        </w:rPr>
      </w:pPr>
    </w:p>
    <w:p w14:paraId="4B3B913C" w14:textId="61B8B463" w:rsidR="00A32D66" w:rsidRP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Introduction : </w:t>
      </w:r>
    </w:p>
    <w:p w14:paraId="4B7CE480" w14:textId="27C3ECB7" w:rsidR="00A32D66" w:rsidRDefault="00A32D66" w:rsidP="00054778">
      <w:pPr>
        <w:jc w:val="both"/>
        <w:rPr>
          <w:rFonts w:asciiTheme="majorHAnsi" w:hAnsiTheme="majorHAnsi"/>
        </w:rPr>
      </w:pPr>
      <w:r>
        <w:rPr>
          <w:rFonts w:asciiTheme="majorHAnsi" w:hAnsiTheme="majorHAnsi"/>
        </w:rPr>
        <w:t xml:space="preserve">Les patients avec une polyarthrite rhumatoïde (PR) sont plus </w:t>
      </w:r>
      <w:r w:rsidR="00FF4A06">
        <w:rPr>
          <w:rFonts w:asciiTheme="majorHAnsi" w:hAnsiTheme="majorHAnsi"/>
        </w:rPr>
        <w:t>susceptibles</w:t>
      </w:r>
      <w:r>
        <w:rPr>
          <w:rFonts w:asciiTheme="majorHAnsi" w:hAnsiTheme="majorHAnsi"/>
        </w:rPr>
        <w:t xml:space="preserve"> aux infections</w:t>
      </w:r>
      <w:r w:rsidR="00442DED">
        <w:rPr>
          <w:rFonts w:asciiTheme="majorHAnsi" w:hAnsiTheme="majorHAnsi"/>
        </w:rPr>
        <w:t xml:space="preserve">. </w:t>
      </w:r>
      <w:r>
        <w:rPr>
          <w:rFonts w:asciiTheme="majorHAnsi" w:hAnsiTheme="majorHAnsi"/>
        </w:rPr>
        <w:t xml:space="preserve">C’est pourquoi une vaccination annuelle contre la grippe est </w:t>
      </w:r>
      <w:r w:rsidR="00FF4A06">
        <w:rPr>
          <w:rFonts w:asciiTheme="majorHAnsi" w:hAnsiTheme="majorHAnsi"/>
        </w:rPr>
        <w:t>recommandée</w:t>
      </w:r>
      <w:r>
        <w:rPr>
          <w:rFonts w:asciiTheme="majorHAnsi" w:hAnsiTheme="majorHAnsi"/>
        </w:rPr>
        <w:t xml:space="preserve">. Mais le </w:t>
      </w:r>
      <w:proofErr w:type="spellStart"/>
      <w:r>
        <w:rPr>
          <w:rFonts w:asciiTheme="majorHAnsi" w:hAnsiTheme="majorHAnsi"/>
        </w:rPr>
        <w:t>methotrexate</w:t>
      </w:r>
      <w:proofErr w:type="spellEnd"/>
      <w:r>
        <w:rPr>
          <w:rFonts w:asciiTheme="majorHAnsi" w:hAnsiTheme="majorHAnsi"/>
        </w:rPr>
        <w:t xml:space="preserve"> (MTX) diminue significativement la réponse vaccinale des patients ayant une PR. </w:t>
      </w:r>
    </w:p>
    <w:p w14:paraId="1A6F786A" w14:textId="77777777" w:rsidR="00A32D66" w:rsidRDefault="00A32D66" w:rsidP="00054778">
      <w:pPr>
        <w:jc w:val="both"/>
        <w:rPr>
          <w:rFonts w:asciiTheme="majorHAnsi" w:hAnsiTheme="majorHAnsi"/>
        </w:rPr>
      </w:pPr>
    </w:p>
    <w:p w14:paraId="4C2B3C0A" w14:textId="1B9FFF01" w:rsidR="00A32D66" w:rsidRP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Matériels et méthodes : </w:t>
      </w:r>
    </w:p>
    <w:p w14:paraId="137B6950" w14:textId="652915B8" w:rsidR="005F0C74" w:rsidRDefault="00FF4A06" w:rsidP="00054778">
      <w:pPr>
        <w:jc w:val="both"/>
        <w:rPr>
          <w:rFonts w:asciiTheme="majorHAnsi" w:hAnsiTheme="majorHAnsi"/>
        </w:rPr>
      </w:pPr>
      <w:r>
        <w:rPr>
          <w:rFonts w:asciiTheme="majorHAnsi" w:hAnsiTheme="majorHAnsi"/>
        </w:rPr>
        <w:t xml:space="preserve">Il s’agit d’une étude </w:t>
      </w:r>
      <w:proofErr w:type="spellStart"/>
      <w:r>
        <w:rPr>
          <w:rFonts w:asciiTheme="majorHAnsi" w:hAnsiTheme="majorHAnsi"/>
        </w:rPr>
        <w:t>monocentrique</w:t>
      </w:r>
      <w:proofErr w:type="spellEnd"/>
      <w:r>
        <w:rPr>
          <w:rFonts w:asciiTheme="majorHAnsi" w:hAnsiTheme="majorHAnsi"/>
        </w:rPr>
        <w:t xml:space="preserve"> prospective </w:t>
      </w:r>
      <w:r w:rsidR="005F0C74">
        <w:rPr>
          <w:rFonts w:asciiTheme="majorHAnsi" w:hAnsiTheme="majorHAnsi"/>
        </w:rPr>
        <w:t xml:space="preserve">randomisée en simple aveugle avec groupe parallèle ayant pour but d’évaluer l’effet d’un arrêt temporaire de MTX sur la réponse vaccinale au vaccin saisonnier </w:t>
      </w:r>
      <w:r w:rsidR="00442DED">
        <w:rPr>
          <w:rFonts w:asciiTheme="majorHAnsi" w:hAnsiTheme="majorHAnsi"/>
        </w:rPr>
        <w:t>antigrippal</w:t>
      </w:r>
      <w:r w:rsidR="005F0C74">
        <w:rPr>
          <w:rFonts w:asciiTheme="majorHAnsi" w:hAnsiTheme="majorHAnsi"/>
        </w:rPr>
        <w:t xml:space="preserve"> chez les patients avec PR. </w:t>
      </w:r>
    </w:p>
    <w:p w14:paraId="0583D119" w14:textId="59BF03F5" w:rsidR="005F0C74" w:rsidRDefault="005F0C74" w:rsidP="00054778">
      <w:pPr>
        <w:jc w:val="both"/>
        <w:rPr>
          <w:rFonts w:asciiTheme="majorHAnsi" w:hAnsiTheme="majorHAnsi"/>
        </w:rPr>
      </w:pPr>
      <w:r>
        <w:rPr>
          <w:rFonts w:asciiTheme="majorHAnsi" w:hAnsiTheme="majorHAnsi"/>
        </w:rPr>
        <w:t xml:space="preserve">Critères d’inclusion : patients de 18 ans ou plus avec une PR défini par les critères ACR et avec la même dose de MTX depuis 6 semaines ou plus. </w:t>
      </w:r>
    </w:p>
    <w:p w14:paraId="38B6D967" w14:textId="5BCDE57C" w:rsidR="005F0C74" w:rsidRDefault="005F0C74" w:rsidP="00054778">
      <w:pPr>
        <w:jc w:val="both"/>
        <w:rPr>
          <w:rFonts w:asciiTheme="majorHAnsi" w:hAnsiTheme="majorHAnsi"/>
        </w:rPr>
      </w:pPr>
      <w:r>
        <w:rPr>
          <w:rFonts w:asciiTheme="majorHAnsi" w:hAnsiTheme="majorHAnsi"/>
        </w:rPr>
        <w:t xml:space="preserve">Critères d’exclusion : femme enceinte, patients avec réaction anaphylactique au vaccin, infection en cours, ATCD de Guillain Barre, vaccination contre un vaccin vivant dans les 4 semaines ou inactivé dans les 2 semaines avant randomisation, patients avec une haute activité de la maladie ou avec une autre maladie rhumatologique associé. </w:t>
      </w:r>
    </w:p>
    <w:p w14:paraId="2CF9693A" w14:textId="77777777" w:rsidR="005F0C74" w:rsidRDefault="005F0C74" w:rsidP="00054778">
      <w:pPr>
        <w:jc w:val="both"/>
        <w:rPr>
          <w:rFonts w:asciiTheme="majorHAnsi" w:hAnsiTheme="majorHAnsi"/>
        </w:rPr>
      </w:pPr>
    </w:p>
    <w:p w14:paraId="4E44D551" w14:textId="25D021CA" w:rsidR="00FF4A06" w:rsidRDefault="005F0C74" w:rsidP="00054778">
      <w:pPr>
        <w:jc w:val="both"/>
        <w:rPr>
          <w:rFonts w:asciiTheme="majorHAnsi" w:hAnsiTheme="majorHAnsi"/>
        </w:rPr>
      </w:pPr>
      <w:r>
        <w:rPr>
          <w:rFonts w:asciiTheme="majorHAnsi" w:hAnsiTheme="majorHAnsi"/>
        </w:rPr>
        <w:t xml:space="preserve">Randomisation et visite selon le schéma suivant :  </w:t>
      </w:r>
    </w:p>
    <w:p w14:paraId="19F249A7" w14:textId="16E8EC03" w:rsidR="00A32D66" w:rsidRDefault="00FF4A06" w:rsidP="00054778">
      <w:pPr>
        <w:ind w:left="-709"/>
        <w:jc w:val="both"/>
        <w:rPr>
          <w:rFonts w:asciiTheme="majorHAnsi" w:hAnsiTheme="majorHAnsi"/>
        </w:rPr>
      </w:pPr>
      <w:r>
        <w:rPr>
          <w:rFonts w:asciiTheme="majorHAnsi" w:hAnsiTheme="majorHAnsi"/>
          <w:noProof/>
        </w:rPr>
        <w:drawing>
          <wp:inline distT="0" distB="0" distL="0" distR="0" wp14:anchorId="01590558" wp14:editId="2215CC9C">
            <wp:extent cx="6627495" cy="3127182"/>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1162" cy="3128912"/>
                    </a:xfrm>
                    <a:prstGeom prst="rect">
                      <a:avLst/>
                    </a:prstGeom>
                    <a:noFill/>
                    <a:ln>
                      <a:noFill/>
                    </a:ln>
                  </pic:spPr>
                </pic:pic>
              </a:graphicData>
            </a:graphic>
          </wp:inline>
        </w:drawing>
      </w:r>
    </w:p>
    <w:p w14:paraId="04E9AA61" w14:textId="77777777" w:rsidR="005F0C74" w:rsidRDefault="005F0C74" w:rsidP="00054778">
      <w:pPr>
        <w:jc w:val="both"/>
        <w:rPr>
          <w:rFonts w:asciiTheme="majorHAnsi" w:hAnsiTheme="majorHAnsi"/>
        </w:rPr>
      </w:pPr>
    </w:p>
    <w:p w14:paraId="2D7B8F6C" w14:textId="74331579" w:rsidR="0039342C" w:rsidRDefault="0039342C" w:rsidP="00054778">
      <w:pPr>
        <w:jc w:val="both"/>
        <w:rPr>
          <w:rFonts w:asciiTheme="majorHAnsi" w:hAnsiTheme="majorHAnsi"/>
        </w:rPr>
      </w:pPr>
      <w:r>
        <w:rPr>
          <w:rFonts w:asciiTheme="majorHAnsi" w:hAnsiTheme="majorHAnsi"/>
        </w:rPr>
        <w:t>Vaccin saisonnier : vaccin trivalent</w:t>
      </w:r>
      <w:r w:rsidR="00442DED">
        <w:rPr>
          <w:rFonts w:asciiTheme="majorHAnsi" w:hAnsiTheme="majorHAnsi"/>
        </w:rPr>
        <w:t xml:space="preserve"> </w:t>
      </w:r>
      <w:r>
        <w:rPr>
          <w:rFonts w:asciiTheme="majorHAnsi" w:hAnsiTheme="majorHAnsi"/>
        </w:rPr>
        <w:t>avec H1N1, H3N2 et B-</w:t>
      </w:r>
      <w:proofErr w:type="spellStart"/>
      <w:r>
        <w:rPr>
          <w:rFonts w:asciiTheme="majorHAnsi" w:hAnsiTheme="majorHAnsi"/>
        </w:rPr>
        <w:t>Yamagate</w:t>
      </w:r>
      <w:proofErr w:type="spellEnd"/>
    </w:p>
    <w:p w14:paraId="3289A901" w14:textId="31F6222E" w:rsidR="0039342C" w:rsidRPr="00097E23" w:rsidRDefault="0039342C" w:rsidP="00054778">
      <w:pPr>
        <w:jc w:val="both"/>
        <w:rPr>
          <w:rFonts w:asciiTheme="majorHAnsi" w:hAnsiTheme="majorHAnsi"/>
        </w:rPr>
      </w:pPr>
      <w:r w:rsidRPr="00097E23">
        <w:rPr>
          <w:rFonts w:asciiTheme="majorHAnsi" w:hAnsiTheme="majorHAnsi"/>
        </w:rPr>
        <w:t xml:space="preserve">Traitement durant la période d’arrêt du MTX : aucun changement ou addition d’un </w:t>
      </w:r>
      <w:proofErr w:type="spellStart"/>
      <w:r w:rsidRPr="00097E23">
        <w:rPr>
          <w:rFonts w:asciiTheme="majorHAnsi" w:hAnsiTheme="majorHAnsi"/>
        </w:rPr>
        <w:t>ttt</w:t>
      </w:r>
      <w:proofErr w:type="spellEnd"/>
      <w:r w:rsidRPr="00097E23">
        <w:rPr>
          <w:rFonts w:asciiTheme="majorHAnsi" w:hAnsiTheme="majorHAnsi"/>
        </w:rPr>
        <w:t xml:space="preserve"> IS n’était permis durant la période d’arrêt par contre des AINS ou </w:t>
      </w:r>
      <w:proofErr w:type="spellStart"/>
      <w:r w:rsidRPr="00097E23">
        <w:rPr>
          <w:rFonts w:asciiTheme="majorHAnsi" w:hAnsiTheme="majorHAnsi"/>
        </w:rPr>
        <w:t>prednisolone</w:t>
      </w:r>
      <w:proofErr w:type="spellEnd"/>
      <w:r w:rsidRPr="00097E23">
        <w:rPr>
          <w:rFonts w:asciiTheme="majorHAnsi" w:hAnsiTheme="majorHAnsi"/>
        </w:rPr>
        <w:t xml:space="preserve"> jusqu’à 10mg était permis pour les rechutes. </w:t>
      </w:r>
    </w:p>
    <w:p w14:paraId="0438FDF9" w14:textId="20BA00B5" w:rsidR="0039342C" w:rsidRDefault="0039342C" w:rsidP="00054778">
      <w:pPr>
        <w:jc w:val="both"/>
        <w:rPr>
          <w:rFonts w:asciiTheme="majorHAnsi" w:hAnsiTheme="majorHAnsi"/>
        </w:rPr>
      </w:pPr>
      <w:r>
        <w:rPr>
          <w:rFonts w:asciiTheme="majorHAnsi" w:hAnsiTheme="majorHAnsi"/>
        </w:rPr>
        <w:lastRenderedPageBreak/>
        <w:t>Objectif primaire : fréquence d’une réponse vaccinale satisfaisante à 4 semaines de la vaccination défini</w:t>
      </w:r>
      <w:r w:rsidR="00305024">
        <w:rPr>
          <w:rFonts w:asciiTheme="majorHAnsi" w:hAnsiTheme="majorHAnsi"/>
        </w:rPr>
        <w:t xml:space="preserve"> par une augmentation par 4 du</w:t>
      </w:r>
      <w:r>
        <w:rPr>
          <w:rFonts w:asciiTheme="majorHAnsi" w:hAnsiTheme="majorHAnsi"/>
        </w:rPr>
        <w:t xml:space="preserve"> titr</w:t>
      </w:r>
      <w:r w:rsidR="00305024">
        <w:rPr>
          <w:rFonts w:asciiTheme="majorHAnsi" w:hAnsiTheme="majorHAnsi"/>
        </w:rPr>
        <w:t>e</w:t>
      </w:r>
      <w:r>
        <w:rPr>
          <w:rFonts w:asciiTheme="majorHAnsi" w:hAnsiTheme="majorHAnsi"/>
        </w:rPr>
        <w:t xml:space="preserve"> d’anticorps à </w:t>
      </w:r>
      <w:r w:rsidR="00152A3C">
        <w:rPr>
          <w:rFonts w:asciiTheme="majorHAnsi" w:hAnsiTheme="majorHAnsi"/>
        </w:rPr>
        <w:t xml:space="preserve">la visite 3 versus pré-vaccination. </w:t>
      </w:r>
    </w:p>
    <w:p w14:paraId="534FF0FA" w14:textId="77777777" w:rsidR="00152A3C" w:rsidRDefault="00152A3C" w:rsidP="00054778">
      <w:pPr>
        <w:jc w:val="both"/>
        <w:rPr>
          <w:rFonts w:asciiTheme="majorHAnsi" w:hAnsiTheme="majorHAnsi"/>
        </w:rPr>
      </w:pPr>
    </w:p>
    <w:p w14:paraId="761E990B" w14:textId="7F6D2A07" w:rsidR="00A32D66" w:rsidRP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Résultats : </w:t>
      </w:r>
    </w:p>
    <w:p w14:paraId="352FA22B" w14:textId="5202ADF1" w:rsidR="00A32D66" w:rsidRDefault="0021072D" w:rsidP="00054778">
      <w:pPr>
        <w:jc w:val="both"/>
        <w:rPr>
          <w:rFonts w:asciiTheme="majorHAnsi" w:hAnsiTheme="majorHAnsi"/>
        </w:rPr>
      </w:pPr>
      <w:r>
        <w:rPr>
          <w:rFonts w:asciiTheme="majorHAnsi" w:hAnsiTheme="majorHAnsi"/>
        </w:rPr>
        <w:t>277 patients randomisé dont 199 analysés en analyse per protocole (53 dans le groupe 1 ; 43 dans le groupe 2 ; 47 dans le groupe 3 et 50 dans le groupe 4)</w:t>
      </w:r>
    </w:p>
    <w:p w14:paraId="31457E15" w14:textId="1BF5856A" w:rsidR="0021072D" w:rsidRDefault="00F470CD" w:rsidP="00054778">
      <w:pPr>
        <w:jc w:val="both"/>
        <w:rPr>
          <w:rFonts w:asciiTheme="majorHAnsi" w:hAnsiTheme="majorHAnsi"/>
        </w:rPr>
      </w:pPr>
      <w:r>
        <w:rPr>
          <w:rFonts w:asciiTheme="majorHAnsi" w:hAnsiTheme="majorHAnsi"/>
        </w:rPr>
        <w:t xml:space="preserve">Population comparable, notamment en terme de traitement (GC, anti TNF…) et de leur titre </w:t>
      </w:r>
      <w:proofErr w:type="spellStart"/>
      <w:r>
        <w:rPr>
          <w:rFonts w:asciiTheme="majorHAnsi" w:hAnsiTheme="majorHAnsi"/>
        </w:rPr>
        <w:t>d’Ac</w:t>
      </w:r>
      <w:proofErr w:type="spellEnd"/>
      <w:r>
        <w:rPr>
          <w:rFonts w:asciiTheme="majorHAnsi" w:hAnsiTheme="majorHAnsi"/>
        </w:rPr>
        <w:t xml:space="preserve"> à la </w:t>
      </w:r>
      <w:proofErr w:type="spellStart"/>
      <w:r>
        <w:rPr>
          <w:rFonts w:asciiTheme="majorHAnsi" w:hAnsiTheme="majorHAnsi"/>
        </w:rPr>
        <w:t>baseline</w:t>
      </w:r>
      <w:proofErr w:type="spellEnd"/>
      <w:r>
        <w:rPr>
          <w:rFonts w:asciiTheme="majorHAnsi" w:hAnsiTheme="majorHAnsi"/>
        </w:rPr>
        <w:t xml:space="preserve">. </w:t>
      </w:r>
    </w:p>
    <w:p w14:paraId="21BA46F3" w14:textId="50208CD9" w:rsidR="00F470CD" w:rsidRDefault="00F470CD" w:rsidP="00054778">
      <w:pPr>
        <w:jc w:val="both"/>
        <w:rPr>
          <w:rFonts w:asciiTheme="majorHAnsi" w:hAnsiTheme="majorHAnsi"/>
        </w:rPr>
      </w:pPr>
      <w:r>
        <w:rPr>
          <w:rFonts w:asciiTheme="majorHAnsi" w:hAnsiTheme="majorHAnsi"/>
        </w:rPr>
        <w:t xml:space="preserve">Il n’y a pas de différence significative entre les groupe </w:t>
      </w:r>
      <w:r w:rsidR="004F6698">
        <w:rPr>
          <w:rFonts w:asciiTheme="majorHAnsi" w:hAnsiTheme="majorHAnsi"/>
        </w:rPr>
        <w:t>pour la réponse vaccinale à un seul antigène grippal</w:t>
      </w:r>
      <w:r>
        <w:rPr>
          <w:rFonts w:asciiTheme="majorHAnsi" w:hAnsiTheme="majorHAnsi"/>
        </w:rPr>
        <w:t xml:space="preserve"> (figure A). Par contre différence significative entre le groupe 1 et 3 pour la réponse vaccinale à 2 ou 3 antigène</w:t>
      </w:r>
      <w:r w:rsidR="004F6698">
        <w:rPr>
          <w:rFonts w:asciiTheme="majorHAnsi" w:hAnsiTheme="majorHAnsi"/>
        </w:rPr>
        <w:t>s</w:t>
      </w:r>
      <w:r>
        <w:rPr>
          <w:rFonts w:asciiTheme="majorHAnsi" w:hAnsiTheme="majorHAnsi"/>
        </w:rPr>
        <w:t xml:space="preserve"> </w:t>
      </w:r>
      <w:r w:rsidR="00442DED">
        <w:rPr>
          <w:rFonts w:asciiTheme="majorHAnsi" w:hAnsiTheme="majorHAnsi"/>
        </w:rPr>
        <w:t>grippaux</w:t>
      </w:r>
      <w:r w:rsidR="00BB261D">
        <w:rPr>
          <w:rFonts w:asciiTheme="majorHAnsi" w:hAnsiTheme="majorHAnsi"/>
        </w:rPr>
        <w:t xml:space="preserve"> (figure B et C).</w:t>
      </w:r>
    </w:p>
    <w:p w14:paraId="58C73667" w14:textId="77777777" w:rsidR="00F470CD" w:rsidRDefault="00F470CD" w:rsidP="00054778">
      <w:pPr>
        <w:jc w:val="both"/>
        <w:rPr>
          <w:rFonts w:asciiTheme="majorHAnsi" w:hAnsiTheme="majorHAnsi"/>
        </w:rPr>
      </w:pPr>
    </w:p>
    <w:p w14:paraId="6D7EE036" w14:textId="5C016A43" w:rsidR="00F470CD" w:rsidRDefault="00BB261D" w:rsidP="00054778">
      <w:pPr>
        <w:ind w:hanging="1417"/>
        <w:jc w:val="both"/>
        <w:rPr>
          <w:rFonts w:asciiTheme="majorHAnsi" w:hAnsiTheme="majorHAnsi"/>
        </w:rPr>
      </w:pPr>
      <w:r>
        <w:rPr>
          <w:rFonts w:asciiTheme="majorHAnsi" w:hAnsiTheme="majorHAnsi"/>
          <w:noProof/>
        </w:rPr>
        <w:drawing>
          <wp:inline distT="0" distB="0" distL="0" distR="0" wp14:anchorId="66D381FE" wp14:editId="6ED4C023">
            <wp:extent cx="7671416" cy="3197224"/>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5256" cy="3198824"/>
                    </a:xfrm>
                    <a:prstGeom prst="rect">
                      <a:avLst/>
                    </a:prstGeom>
                    <a:noFill/>
                    <a:ln>
                      <a:noFill/>
                    </a:ln>
                  </pic:spPr>
                </pic:pic>
              </a:graphicData>
            </a:graphic>
          </wp:inline>
        </w:drawing>
      </w:r>
    </w:p>
    <w:p w14:paraId="2C7A7259" w14:textId="77777777" w:rsidR="00BB261D" w:rsidRDefault="00BB261D" w:rsidP="00054778">
      <w:pPr>
        <w:jc w:val="both"/>
        <w:rPr>
          <w:rFonts w:asciiTheme="majorHAnsi" w:hAnsiTheme="majorHAnsi"/>
        </w:rPr>
      </w:pPr>
    </w:p>
    <w:p w14:paraId="70817CDF" w14:textId="77777777" w:rsidR="00BB261D" w:rsidRDefault="00BB261D" w:rsidP="00054778">
      <w:pPr>
        <w:jc w:val="both"/>
        <w:rPr>
          <w:rFonts w:asciiTheme="majorHAnsi" w:hAnsiTheme="majorHAnsi"/>
        </w:rPr>
      </w:pPr>
    </w:p>
    <w:p w14:paraId="32A06E39" w14:textId="77777777" w:rsidR="00BB261D" w:rsidRDefault="00BB261D" w:rsidP="00054778">
      <w:pPr>
        <w:jc w:val="both"/>
        <w:rPr>
          <w:rFonts w:asciiTheme="majorHAnsi" w:hAnsiTheme="majorHAnsi"/>
        </w:rPr>
      </w:pPr>
    </w:p>
    <w:p w14:paraId="4FB15A3F" w14:textId="77777777" w:rsidR="00BB261D" w:rsidRDefault="00BB261D" w:rsidP="00054778">
      <w:pPr>
        <w:jc w:val="both"/>
        <w:rPr>
          <w:rFonts w:asciiTheme="majorHAnsi" w:hAnsiTheme="majorHAnsi"/>
        </w:rPr>
      </w:pPr>
    </w:p>
    <w:p w14:paraId="61DFFF0C" w14:textId="77777777" w:rsidR="00BB261D" w:rsidRDefault="00BB261D" w:rsidP="00054778">
      <w:pPr>
        <w:jc w:val="both"/>
        <w:rPr>
          <w:rFonts w:asciiTheme="majorHAnsi" w:hAnsiTheme="majorHAnsi"/>
        </w:rPr>
      </w:pPr>
    </w:p>
    <w:p w14:paraId="6948593B" w14:textId="77777777" w:rsidR="00BB261D" w:rsidRDefault="00BB261D" w:rsidP="00054778">
      <w:pPr>
        <w:jc w:val="both"/>
        <w:rPr>
          <w:rFonts w:asciiTheme="majorHAnsi" w:hAnsiTheme="majorHAnsi"/>
        </w:rPr>
      </w:pPr>
    </w:p>
    <w:p w14:paraId="17941F87" w14:textId="77777777" w:rsidR="00BB261D" w:rsidRDefault="00BB261D" w:rsidP="00054778">
      <w:pPr>
        <w:jc w:val="both"/>
        <w:rPr>
          <w:rFonts w:asciiTheme="majorHAnsi" w:hAnsiTheme="majorHAnsi"/>
        </w:rPr>
      </w:pPr>
    </w:p>
    <w:p w14:paraId="288A3185" w14:textId="77777777" w:rsidR="00BB261D" w:rsidRDefault="00BB261D" w:rsidP="00054778">
      <w:pPr>
        <w:jc w:val="both"/>
        <w:rPr>
          <w:rFonts w:asciiTheme="majorHAnsi" w:hAnsiTheme="majorHAnsi"/>
        </w:rPr>
      </w:pPr>
    </w:p>
    <w:p w14:paraId="589A8CFD" w14:textId="77777777" w:rsidR="00BB261D" w:rsidRDefault="00BB261D" w:rsidP="00054778">
      <w:pPr>
        <w:jc w:val="both"/>
        <w:rPr>
          <w:rFonts w:asciiTheme="majorHAnsi" w:hAnsiTheme="majorHAnsi"/>
        </w:rPr>
      </w:pPr>
    </w:p>
    <w:p w14:paraId="3C1F9F4D" w14:textId="77777777" w:rsidR="00BB261D" w:rsidRDefault="00BB261D" w:rsidP="00054778">
      <w:pPr>
        <w:jc w:val="both"/>
        <w:rPr>
          <w:rFonts w:asciiTheme="majorHAnsi" w:hAnsiTheme="majorHAnsi"/>
        </w:rPr>
      </w:pPr>
    </w:p>
    <w:p w14:paraId="242F1B33" w14:textId="77777777" w:rsidR="00BB261D" w:rsidRDefault="00BB261D" w:rsidP="00054778">
      <w:pPr>
        <w:jc w:val="both"/>
        <w:rPr>
          <w:rFonts w:asciiTheme="majorHAnsi" w:hAnsiTheme="majorHAnsi"/>
        </w:rPr>
      </w:pPr>
    </w:p>
    <w:p w14:paraId="3E333F48" w14:textId="77777777" w:rsidR="00BB261D" w:rsidRDefault="00BB261D" w:rsidP="00054778">
      <w:pPr>
        <w:jc w:val="both"/>
        <w:rPr>
          <w:rFonts w:asciiTheme="majorHAnsi" w:hAnsiTheme="majorHAnsi"/>
        </w:rPr>
      </w:pPr>
    </w:p>
    <w:p w14:paraId="4F0F7922" w14:textId="77777777" w:rsidR="00BB261D" w:rsidRDefault="00BB261D" w:rsidP="00054778">
      <w:pPr>
        <w:jc w:val="both"/>
        <w:rPr>
          <w:rFonts w:asciiTheme="majorHAnsi" w:hAnsiTheme="majorHAnsi"/>
        </w:rPr>
      </w:pPr>
    </w:p>
    <w:p w14:paraId="1FA6EE3C" w14:textId="77777777" w:rsidR="00BB261D" w:rsidRDefault="00BB261D" w:rsidP="00054778">
      <w:pPr>
        <w:jc w:val="both"/>
        <w:rPr>
          <w:rFonts w:asciiTheme="majorHAnsi" w:hAnsiTheme="majorHAnsi"/>
        </w:rPr>
      </w:pPr>
    </w:p>
    <w:p w14:paraId="620E4850" w14:textId="77777777" w:rsidR="00BB261D" w:rsidRDefault="00BB261D" w:rsidP="00054778">
      <w:pPr>
        <w:jc w:val="both"/>
        <w:rPr>
          <w:rFonts w:asciiTheme="majorHAnsi" w:hAnsiTheme="majorHAnsi"/>
        </w:rPr>
      </w:pPr>
    </w:p>
    <w:p w14:paraId="58F92111" w14:textId="77777777" w:rsidR="00BB261D" w:rsidRDefault="00BB261D" w:rsidP="00054778">
      <w:pPr>
        <w:jc w:val="both"/>
        <w:rPr>
          <w:rFonts w:asciiTheme="majorHAnsi" w:hAnsiTheme="majorHAnsi"/>
        </w:rPr>
      </w:pPr>
    </w:p>
    <w:p w14:paraId="68767A9D" w14:textId="77777777" w:rsidR="00BB261D" w:rsidRDefault="00BB261D" w:rsidP="00054778">
      <w:pPr>
        <w:jc w:val="both"/>
        <w:rPr>
          <w:rFonts w:asciiTheme="majorHAnsi" w:hAnsiTheme="majorHAnsi"/>
        </w:rPr>
      </w:pPr>
    </w:p>
    <w:p w14:paraId="244AD964" w14:textId="77777777" w:rsidR="00BB261D" w:rsidRDefault="00BB261D" w:rsidP="00054778">
      <w:pPr>
        <w:jc w:val="both"/>
        <w:rPr>
          <w:rFonts w:asciiTheme="majorHAnsi" w:hAnsiTheme="majorHAnsi"/>
        </w:rPr>
      </w:pPr>
    </w:p>
    <w:p w14:paraId="66828A92" w14:textId="77777777" w:rsidR="00BB261D" w:rsidRDefault="00BB261D" w:rsidP="00054778">
      <w:pPr>
        <w:jc w:val="both"/>
        <w:rPr>
          <w:rFonts w:asciiTheme="majorHAnsi" w:hAnsiTheme="majorHAnsi"/>
        </w:rPr>
      </w:pPr>
    </w:p>
    <w:p w14:paraId="390AFA8D" w14:textId="77777777" w:rsidR="00BB261D" w:rsidRDefault="00BB261D" w:rsidP="00054778">
      <w:pPr>
        <w:jc w:val="both"/>
        <w:rPr>
          <w:rFonts w:asciiTheme="majorHAnsi" w:hAnsiTheme="majorHAnsi"/>
        </w:rPr>
      </w:pPr>
    </w:p>
    <w:p w14:paraId="753AC232" w14:textId="77777777" w:rsidR="00BB261D" w:rsidRDefault="00BB261D" w:rsidP="00054778">
      <w:pPr>
        <w:jc w:val="both"/>
        <w:rPr>
          <w:rFonts w:asciiTheme="majorHAnsi" w:hAnsiTheme="majorHAnsi"/>
        </w:rPr>
      </w:pPr>
    </w:p>
    <w:p w14:paraId="4BC4DEA5" w14:textId="2784BCEB" w:rsidR="00F470CD" w:rsidRDefault="00BB261D" w:rsidP="00054778">
      <w:pPr>
        <w:jc w:val="both"/>
        <w:rPr>
          <w:rFonts w:asciiTheme="majorHAnsi" w:hAnsiTheme="majorHAnsi"/>
        </w:rPr>
      </w:pPr>
      <w:r>
        <w:rPr>
          <w:rFonts w:asciiTheme="majorHAnsi" w:hAnsiTheme="majorHAnsi"/>
        </w:rPr>
        <w:t>Egalement différence</w:t>
      </w:r>
      <w:r w:rsidR="00F470CD">
        <w:rPr>
          <w:rFonts w:asciiTheme="majorHAnsi" w:hAnsiTheme="majorHAnsi"/>
        </w:rPr>
        <w:t xml:space="preserve"> significative </w:t>
      </w:r>
      <w:r w:rsidR="00305024">
        <w:rPr>
          <w:rFonts w:asciiTheme="majorHAnsi" w:hAnsiTheme="majorHAnsi"/>
        </w:rPr>
        <w:t xml:space="preserve">en ce qui concerne l’augmentation du titre </w:t>
      </w:r>
      <w:proofErr w:type="spellStart"/>
      <w:r w:rsidR="00305024">
        <w:rPr>
          <w:rFonts w:asciiTheme="majorHAnsi" w:hAnsiTheme="majorHAnsi"/>
        </w:rPr>
        <w:t>d’Ac</w:t>
      </w:r>
      <w:proofErr w:type="spellEnd"/>
      <w:r w:rsidR="00305024">
        <w:rPr>
          <w:rFonts w:asciiTheme="majorHAnsi" w:hAnsiTheme="majorHAnsi"/>
        </w:rPr>
        <w:t xml:space="preserve"> </w:t>
      </w:r>
      <w:r w:rsidR="00F470CD">
        <w:rPr>
          <w:rFonts w:asciiTheme="majorHAnsi" w:hAnsiTheme="majorHAnsi"/>
        </w:rPr>
        <w:t xml:space="preserve">selon les groupes et selon les souches </w:t>
      </w:r>
      <w:r w:rsidR="00305024">
        <w:rPr>
          <w:rFonts w:asciiTheme="majorHAnsi" w:hAnsiTheme="majorHAnsi"/>
        </w:rPr>
        <w:t xml:space="preserve">de vaccin </w:t>
      </w:r>
      <w:r w:rsidR="00F470CD">
        <w:rPr>
          <w:rFonts w:asciiTheme="majorHAnsi" w:hAnsiTheme="majorHAnsi"/>
        </w:rPr>
        <w:t>(</w:t>
      </w:r>
      <w:proofErr w:type="spellStart"/>
      <w:r w:rsidR="00F470CD">
        <w:rPr>
          <w:rFonts w:asciiTheme="majorHAnsi" w:hAnsiTheme="majorHAnsi"/>
        </w:rPr>
        <w:t>cf</w:t>
      </w:r>
      <w:proofErr w:type="spellEnd"/>
      <w:r w:rsidR="00F470CD">
        <w:rPr>
          <w:rFonts w:asciiTheme="majorHAnsi" w:hAnsiTheme="majorHAnsi"/>
        </w:rPr>
        <w:t xml:space="preserve"> figure </w:t>
      </w:r>
      <w:proofErr w:type="spellStart"/>
      <w:r w:rsidR="00F470CD">
        <w:rPr>
          <w:rFonts w:asciiTheme="majorHAnsi" w:hAnsiTheme="majorHAnsi"/>
        </w:rPr>
        <w:t>ci dessous</w:t>
      </w:r>
      <w:proofErr w:type="spellEnd"/>
      <w:r w:rsidR="00F470CD">
        <w:rPr>
          <w:rFonts w:asciiTheme="majorHAnsi" w:hAnsiTheme="majorHAnsi"/>
        </w:rPr>
        <w:t xml:space="preserve">, figure A : tous les patients et figure B : patients avec moins de 1 :40 titre </w:t>
      </w:r>
      <w:proofErr w:type="spellStart"/>
      <w:r w:rsidR="00F470CD">
        <w:rPr>
          <w:rFonts w:asciiTheme="majorHAnsi" w:hAnsiTheme="majorHAnsi"/>
        </w:rPr>
        <w:t>d’Ac</w:t>
      </w:r>
      <w:proofErr w:type="spellEnd"/>
      <w:r w:rsidR="00F470CD">
        <w:rPr>
          <w:rFonts w:asciiTheme="majorHAnsi" w:hAnsiTheme="majorHAnsi"/>
        </w:rPr>
        <w:t xml:space="preserve"> à </w:t>
      </w:r>
      <w:proofErr w:type="spellStart"/>
      <w:r w:rsidR="00F470CD">
        <w:rPr>
          <w:rFonts w:asciiTheme="majorHAnsi" w:hAnsiTheme="majorHAnsi"/>
        </w:rPr>
        <w:t>baseline</w:t>
      </w:r>
      <w:proofErr w:type="spellEnd"/>
      <w:r w:rsidR="00F470CD">
        <w:rPr>
          <w:rFonts w:asciiTheme="majorHAnsi" w:hAnsiTheme="majorHAnsi"/>
        </w:rPr>
        <w:t>)</w:t>
      </w:r>
    </w:p>
    <w:p w14:paraId="2607D371" w14:textId="77777777" w:rsidR="00F470CD" w:rsidRDefault="00F470CD" w:rsidP="00054778">
      <w:pPr>
        <w:jc w:val="both"/>
        <w:rPr>
          <w:rFonts w:asciiTheme="majorHAnsi" w:hAnsiTheme="majorHAnsi"/>
        </w:rPr>
      </w:pPr>
    </w:p>
    <w:p w14:paraId="73C9B36E" w14:textId="198E339E" w:rsidR="00F470CD" w:rsidRDefault="00F470CD" w:rsidP="00054778">
      <w:pPr>
        <w:ind w:left="-993"/>
        <w:jc w:val="both"/>
        <w:rPr>
          <w:rFonts w:asciiTheme="majorHAnsi" w:hAnsiTheme="majorHAnsi"/>
        </w:rPr>
      </w:pPr>
      <w:r>
        <w:rPr>
          <w:rFonts w:asciiTheme="majorHAnsi" w:hAnsiTheme="majorHAnsi"/>
          <w:noProof/>
        </w:rPr>
        <w:drawing>
          <wp:inline distT="0" distB="0" distL="0" distR="0" wp14:anchorId="5F21E973" wp14:editId="0B513FF4">
            <wp:extent cx="6743394" cy="395771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4815" cy="3958544"/>
                    </a:xfrm>
                    <a:prstGeom prst="rect">
                      <a:avLst/>
                    </a:prstGeom>
                    <a:noFill/>
                    <a:ln>
                      <a:noFill/>
                    </a:ln>
                  </pic:spPr>
                </pic:pic>
              </a:graphicData>
            </a:graphic>
          </wp:inline>
        </w:drawing>
      </w:r>
    </w:p>
    <w:p w14:paraId="0F4803D2" w14:textId="77777777" w:rsidR="00F470CD" w:rsidRDefault="00F470CD" w:rsidP="00054778">
      <w:pPr>
        <w:jc w:val="both"/>
        <w:rPr>
          <w:rFonts w:asciiTheme="majorHAnsi" w:hAnsiTheme="majorHAnsi"/>
        </w:rPr>
      </w:pPr>
    </w:p>
    <w:p w14:paraId="23CEF889" w14:textId="5464A6DE" w:rsidR="004F6698" w:rsidRDefault="004F6698" w:rsidP="00054778">
      <w:pPr>
        <w:jc w:val="both"/>
        <w:rPr>
          <w:rFonts w:asciiTheme="majorHAnsi" w:hAnsiTheme="majorHAnsi"/>
        </w:rPr>
      </w:pPr>
      <w:r>
        <w:rPr>
          <w:rFonts w:asciiTheme="majorHAnsi" w:hAnsiTheme="majorHAnsi"/>
        </w:rPr>
        <w:t xml:space="preserve">Aucun effet indésirable grave n’a été rapporté. Les rechutes de la maladie avaient tendance à être plus fréquentes dans le groupe 2 et 3 mais sans que cette différence soit significative. </w:t>
      </w:r>
    </w:p>
    <w:p w14:paraId="2BCA8226" w14:textId="77777777" w:rsidR="00F470CD" w:rsidRDefault="00F470CD" w:rsidP="00054778">
      <w:pPr>
        <w:jc w:val="both"/>
        <w:rPr>
          <w:rFonts w:asciiTheme="majorHAnsi" w:hAnsiTheme="majorHAnsi"/>
        </w:rPr>
      </w:pPr>
    </w:p>
    <w:p w14:paraId="6EA79977" w14:textId="069E3437" w:rsidR="00A32D66" w:rsidRP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Conclusion : </w:t>
      </w:r>
    </w:p>
    <w:p w14:paraId="7E45D441" w14:textId="4892A190" w:rsidR="00A32D66" w:rsidRDefault="008D6620" w:rsidP="00054778">
      <w:pPr>
        <w:jc w:val="both"/>
        <w:rPr>
          <w:rFonts w:asciiTheme="majorHAnsi" w:hAnsiTheme="majorHAnsi"/>
        </w:rPr>
      </w:pPr>
      <w:r>
        <w:rPr>
          <w:rFonts w:asciiTheme="majorHAnsi" w:hAnsiTheme="majorHAnsi"/>
        </w:rPr>
        <w:t>L’arrêt temporaire du MTX (</w:t>
      </w:r>
      <w:r w:rsidR="00442DED">
        <w:rPr>
          <w:rFonts w:asciiTheme="majorHAnsi" w:hAnsiTheme="majorHAnsi"/>
        </w:rPr>
        <w:t xml:space="preserve">2 semaines avant 2 semaines après la vaccination) </w:t>
      </w:r>
      <w:r>
        <w:rPr>
          <w:rFonts w:asciiTheme="majorHAnsi" w:hAnsiTheme="majorHAnsi"/>
        </w:rPr>
        <w:t xml:space="preserve">est associé à une amélioration </w:t>
      </w:r>
      <w:r w:rsidR="00442DED">
        <w:rPr>
          <w:rFonts w:asciiTheme="majorHAnsi" w:hAnsiTheme="majorHAnsi"/>
        </w:rPr>
        <w:t xml:space="preserve">de la réponse vaccinale du vaccin saisonnier antigrippal chez les patients avec une PR stable. </w:t>
      </w:r>
    </w:p>
    <w:p w14:paraId="3449F386" w14:textId="77777777" w:rsidR="00442DED" w:rsidRDefault="00442DED" w:rsidP="00054778">
      <w:pPr>
        <w:jc w:val="both"/>
        <w:rPr>
          <w:rFonts w:asciiTheme="majorHAnsi" w:hAnsiTheme="majorHAnsi"/>
        </w:rPr>
      </w:pPr>
    </w:p>
    <w:p w14:paraId="57ECBD3E" w14:textId="577EF039" w:rsid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Limites : </w:t>
      </w:r>
    </w:p>
    <w:p w14:paraId="31BE305D" w14:textId="527AF336" w:rsidR="005F0C74" w:rsidRDefault="004F6698" w:rsidP="00054778">
      <w:pPr>
        <w:jc w:val="both"/>
        <w:rPr>
          <w:rFonts w:asciiTheme="majorHAnsi" w:hAnsiTheme="majorHAnsi"/>
        </w:rPr>
      </w:pPr>
      <w:r>
        <w:rPr>
          <w:rFonts w:asciiTheme="majorHAnsi" w:hAnsiTheme="majorHAnsi"/>
        </w:rPr>
        <w:t xml:space="preserve">- </w:t>
      </w:r>
      <w:r w:rsidR="005F0C74">
        <w:rPr>
          <w:rFonts w:asciiTheme="majorHAnsi" w:hAnsiTheme="majorHAnsi"/>
        </w:rPr>
        <w:t xml:space="preserve">Nombre de </w:t>
      </w:r>
      <w:r>
        <w:rPr>
          <w:rFonts w:asciiTheme="majorHAnsi" w:hAnsiTheme="majorHAnsi"/>
        </w:rPr>
        <w:t>sujets prédits non atteints</w:t>
      </w:r>
      <w:r w:rsidR="005F0C74">
        <w:rPr>
          <w:rFonts w:asciiTheme="majorHAnsi" w:hAnsiTheme="majorHAnsi"/>
        </w:rPr>
        <w:t xml:space="preserve"> donc manque de puissance</w:t>
      </w:r>
      <w:r>
        <w:rPr>
          <w:rFonts w:asciiTheme="majorHAnsi" w:hAnsiTheme="majorHAnsi"/>
        </w:rPr>
        <w:t xml:space="preserve"> ; notamment pour les EI et les rechutes de la maladie </w:t>
      </w:r>
      <w:proofErr w:type="spellStart"/>
      <w:r>
        <w:rPr>
          <w:rFonts w:asciiTheme="majorHAnsi" w:hAnsiTheme="majorHAnsi"/>
        </w:rPr>
        <w:t>sous jacente</w:t>
      </w:r>
      <w:proofErr w:type="spellEnd"/>
      <w:r>
        <w:rPr>
          <w:rFonts w:asciiTheme="majorHAnsi" w:hAnsiTheme="majorHAnsi"/>
        </w:rPr>
        <w:t xml:space="preserve">. </w:t>
      </w:r>
    </w:p>
    <w:p w14:paraId="3BD29CF0" w14:textId="21338B38" w:rsidR="00A32D66" w:rsidRPr="00FF4A06" w:rsidRDefault="004F6698" w:rsidP="00054778">
      <w:pPr>
        <w:jc w:val="both"/>
        <w:rPr>
          <w:rFonts w:asciiTheme="majorHAnsi" w:hAnsiTheme="majorHAnsi"/>
        </w:rPr>
      </w:pPr>
      <w:r>
        <w:rPr>
          <w:rFonts w:asciiTheme="majorHAnsi" w:hAnsiTheme="majorHAnsi"/>
        </w:rPr>
        <w:t>- E</w:t>
      </w:r>
      <w:r w:rsidR="00FF4A06" w:rsidRPr="00FF4A06">
        <w:rPr>
          <w:rFonts w:asciiTheme="majorHAnsi" w:hAnsiTheme="majorHAnsi"/>
        </w:rPr>
        <w:t xml:space="preserve">tude </w:t>
      </w:r>
      <w:proofErr w:type="spellStart"/>
      <w:r w:rsidR="00FF4A06" w:rsidRPr="00FF4A06">
        <w:rPr>
          <w:rFonts w:asciiTheme="majorHAnsi" w:hAnsiTheme="majorHAnsi"/>
        </w:rPr>
        <w:t>monocentrique</w:t>
      </w:r>
      <w:proofErr w:type="spellEnd"/>
    </w:p>
    <w:p w14:paraId="56908498" w14:textId="0BC835BB" w:rsidR="00FF4A06" w:rsidRPr="005F0C74" w:rsidRDefault="004F6698" w:rsidP="00054778">
      <w:pPr>
        <w:jc w:val="both"/>
        <w:rPr>
          <w:rFonts w:asciiTheme="majorHAnsi" w:hAnsiTheme="majorHAnsi"/>
        </w:rPr>
      </w:pPr>
      <w:r>
        <w:rPr>
          <w:rFonts w:asciiTheme="majorHAnsi" w:hAnsiTheme="majorHAnsi"/>
        </w:rPr>
        <w:t>- Inclusion de p</w:t>
      </w:r>
      <w:r w:rsidR="005F0C74">
        <w:rPr>
          <w:rFonts w:asciiTheme="majorHAnsi" w:hAnsiTheme="majorHAnsi"/>
        </w:rPr>
        <w:t xml:space="preserve">atients stables </w:t>
      </w:r>
      <w:r>
        <w:rPr>
          <w:rFonts w:asciiTheme="majorHAnsi" w:hAnsiTheme="majorHAnsi"/>
        </w:rPr>
        <w:t xml:space="preserve">sur le plan de leur maladie donc </w:t>
      </w:r>
      <w:r w:rsidR="005F0C74">
        <w:rPr>
          <w:rFonts w:asciiTheme="majorHAnsi" w:hAnsiTheme="majorHAnsi"/>
        </w:rPr>
        <w:t xml:space="preserve">ce sont ceux souvent </w:t>
      </w:r>
      <w:r>
        <w:rPr>
          <w:rFonts w:asciiTheme="majorHAnsi" w:hAnsiTheme="majorHAnsi"/>
        </w:rPr>
        <w:t xml:space="preserve">ceux qui ont moins </w:t>
      </w:r>
      <w:r w:rsidR="005F0C74">
        <w:rPr>
          <w:rFonts w:asciiTheme="majorHAnsi" w:hAnsiTheme="majorHAnsi"/>
        </w:rPr>
        <w:t xml:space="preserve">de </w:t>
      </w:r>
      <w:r>
        <w:rPr>
          <w:rFonts w:asciiTheme="majorHAnsi" w:hAnsiTheme="majorHAnsi"/>
        </w:rPr>
        <w:t xml:space="preserve">corticoïdes et d’autres IS associés qui sont des FDR d’infection et de grippe. </w:t>
      </w:r>
    </w:p>
    <w:p w14:paraId="7F7F7708" w14:textId="46C8A3FE" w:rsidR="00A32D66" w:rsidRDefault="004F6698" w:rsidP="00054778">
      <w:pPr>
        <w:jc w:val="both"/>
        <w:rPr>
          <w:rFonts w:asciiTheme="majorHAnsi" w:hAnsiTheme="majorHAnsi"/>
        </w:rPr>
      </w:pPr>
      <w:r>
        <w:rPr>
          <w:rFonts w:asciiTheme="majorHAnsi" w:hAnsiTheme="majorHAnsi"/>
        </w:rPr>
        <w:t>- On ne connaît pas l’observance du MTX</w:t>
      </w:r>
    </w:p>
    <w:p w14:paraId="3BA9E32D" w14:textId="5D8417B0" w:rsidR="004F6698" w:rsidRDefault="004F6698" w:rsidP="00054778">
      <w:pPr>
        <w:jc w:val="both"/>
        <w:rPr>
          <w:rFonts w:asciiTheme="majorHAnsi" w:hAnsiTheme="majorHAnsi"/>
        </w:rPr>
      </w:pPr>
      <w:r>
        <w:rPr>
          <w:rFonts w:asciiTheme="majorHAnsi" w:hAnsiTheme="majorHAnsi"/>
        </w:rPr>
        <w:t xml:space="preserve">- Absence de suivi clinique des patients pour savoir si la protection vaccinale a été efficace et différente selon les groupes.  </w:t>
      </w:r>
    </w:p>
    <w:p w14:paraId="2FBA00F0" w14:textId="77777777" w:rsidR="0039342C" w:rsidRDefault="0039342C" w:rsidP="00054778">
      <w:pPr>
        <w:jc w:val="both"/>
        <w:rPr>
          <w:rFonts w:asciiTheme="majorHAnsi" w:hAnsiTheme="majorHAnsi"/>
        </w:rPr>
      </w:pPr>
    </w:p>
    <w:p w14:paraId="580658FA" w14:textId="68ADCD3D" w:rsidR="00A32D66" w:rsidRPr="00A32D66" w:rsidRDefault="00A32D66" w:rsidP="00054778">
      <w:pPr>
        <w:jc w:val="both"/>
        <w:rPr>
          <w:rFonts w:asciiTheme="majorHAnsi" w:hAnsiTheme="majorHAnsi"/>
          <w:color w:val="4F81BD" w:themeColor="accent1"/>
        </w:rPr>
      </w:pPr>
      <w:r w:rsidRPr="00A32D66">
        <w:rPr>
          <w:rFonts w:asciiTheme="majorHAnsi" w:hAnsiTheme="majorHAnsi"/>
          <w:color w:val="4F81BD" w:themeColor="accent1"/>
        </w:rPr>
        <w:t xml:space="preserve">Discussion : </w:t>
      </w:r>
    </w:p>
    <w:p w14:paraId="2B035CAD" w14:textId="236D7C98" w:rsidR="00A32D66" w:rsidRPr="00A32D66" w:rsidRDefault="00A32D66" w:rsidP="00054778">
      <w:pPr>
        <w:jc w:val="both"/>
        <w:rPr>
          <w:rFonts w:asciiTheme="majorHAnsi" w:hAnsiTheme="majorHAnsi"/>
        </w:rPr>
      </w:pPr>
      <w:r w:rsidRPr="00442DED">
        <w:rPr>
          <w:rFonts w:asciiTheme="majorHAnsi" w:hAnsiTheme="majorHAnsi"/>
          <w:b/>
        </w:rPr>
        <w:t xml:space="preserve">Beaucoup de patients ayant une MAI décèdent d’infections plutôt que de leur maladie. A l’heure actuelle nous nous posons donc beaucoup de questions sur les préventions de ces infections. Cette étude est donc très intéressante et nous fait poser la question de l’arrêt des IS chez les patients avec une maladie stabilisé pour avoir une efficacité vaccinale. D’autres études doivent être </w:t>
      </w:r>
      <w:r w:rsidR="00442DED" w:rsidRPr="00442DED">
        <w:rPr>
          <w:rFonts w:asciiTheme="majorHAnsi" w:hAnsiTheme="majorHAnsi"/>
          <w:b/>
        </w:rPr>
        <w:t>réalisé</w:t>
      </w:r>
      <w:r w:rsidRPr="00442DED">
        <w:rPr>
          <w:rFonts w:asciiTheme="majorHAnsi" w:hAnsiTheme="majorHAnsi"/>
          <w:b/>
        </w:rPr>
        <w:t xml:space="preserve"> </w:t>
      </w:r>
      <w:r w:rsidR="00442DED" w:rsidRPr="00442DED">
        <w:rPr>
          <w:rFonts w:asciiTheme="majorHAnsi" w:hAnsiTheme="majorHAnsi"/>
          <w:b/>
        </w:rPr>
        <w:t xml:space="preserve">à l’avenir </w:t>
      </w:r>
      <w:r w:rsidRPr="00442DED">
        <w:rPr>
          <w:rFonts w:asciiTheme="majorHAnsi" w:hAnsiTheme="majorHAnsi"/>
          <w:b/>
        </w:rPr>
        <w:t>dans ce sens</w:t>
      </w:r>
      <w:r>
        <w:rPr>
          <w:rFonts w:asciiTheme="majorHAnsi" w:hAnsiTheme="majorHAnsi"/>
        </w:rPr>
        <w:t xml:space="preserve">. </w:t>
      </w:r>
    </w:p>
    <w:p w14:paraId="4EA45EDE" w14:textId="77777777" w:rsidR="00A32D66" w:rsidRDefault="00A32D66" w:rsidP="00E1667F">
      <w:pPr>
        <w:jc w:val="both"/>
        <w:rPr>
          <w:rFonts w:asciiTheme="majorHAnsi" w:hAnsiTheme="majorHAnsi"/>
        </w:rPr>
      </w:pPr>
    </w:p>
    <w:p w14:paraId="12D843E4" w14:textId="77777777" w:rsidR="00A32D66" w:rsidRDefault="00A32D66" w:rsidP="00E1667F">
      <w:pPr>
        <w:jc w:val="both"/>
        <w:rPr>
          <w:rFonts w:asciiTheme="majorHAnsi" w:hAnsiTheme="majorHAnsi"/>
        </w:rPr>
      </w:pPr>
    </w:p>
    <w:p w14:paraId="64424CE4" w14:textId="77777777" w:rsidR="00A32D66" w:rsidRDefault="00A32D66" w:rsidP="00E1667F">
      <w:pPr>
        <w:jc w:val="both"/>
        <w:rPr>
          <w:rFonts w:asciiTheme="majorHAnsi" w:hAnsiTheme="majorHAnsi"/>
        </w:rPr>
      </w:pPr>
    </w:p>
    <w:p w14:paraId="37300822" w14:textId="77777777" w:rsidR="00E362B7" w:rsidRDefault="00E362B7" w:rsidP="00E1667F">
      <w:pPr>
        <w:jc w:val="both"/>
        <w:rPr>
          <w:rFonts w:asciiTheme="majorHAnsi" w:hAnsiTheme="majorHAnsi"/>
        </w:rPr>
      </w:pPr>
    </w:p>
    <w:p w14:paraId="48B4C0B7" w14:textId="77777777" w:rsidR="00E362B7" w:rsidRDefault="00E362B7" w:rsidP="00E1667F">
      <w:pPr>
        <w:jc w:val="both"/>
        <w:rPr>
          <w:rFonts w:asciiTheme="majorHAnsi" w:hAnsiTheme="majorHAnsi"/>
        </w:rPr>
      </w:pPr>
    </w:p>
    <w:p w14:paraId="59520771" w14:textId="77777777" w:rsidR="00E362B7" w:rsidRDefault="00E362B7" w:rsidP="00E1667F">
      <w:pPr>
        <w:jc w:val="both"/>
        <w:rPr>
          <w:rFonts w:asciiTheme="majorHAnsi" w:hAnsiTheme="majorHAnsi"/>
        </w:rPr>
      </w:pPr>
    </w:p>
    <w:p w14:paraId="5DD315D8" w14:textId="70282FB9" w:rsidR="00E362B7" w:rsidRPr="004522FD" w:rsidRDefault="00771496" w:rsidP="00E1667F">
      <w:pPr>
        <w:jc w:val="both"/>
        <w:rPr>
          <w:rFonts w:asciiTheme="majorHAnsi" w:hAnsiTheme="majorHAnsi"/>
          <w:b/>
          <w:color w:val="1F497D" w:themeColor="text2"/>
          <w:sz w:val="28"/>
          <w:szCs w:val="28"/>
        </w:rPr>
      </w:pPr>
      <w:r>
        <w:rPr>
          <w:rFonts w:asciiTheme="majorHAnsi" w:hAnsiTheme="majorHAnsi"/>
          <w:b/>
          <w:color w:val="1F497D" w:themeColor="text2"/>
          <w:sz w:val="28"/>
          <w:szCs w:val="28"/>
        </w:rPr>
        <w:t>DIABETOLOGIE</w:t>
      </w:r>
    </w:p>
    <w:p w14:paraId="05F9EF91" w14:textId="77777777" w:rsidR="00E362B7" w:rsidRDefault="00E362B7" w:rsidP="00E1667F">
      <w:pPr>
        <w:jc w:val="both"/>
        <w:rPr>
          <w:rFonts w:asciiTheme="majorHAnsi" w:hAnsiTheme="majorHAnsi"/>
        </w:rPr>
      </w:pPr>
    </w:p>
    <w:p w14:paraId="606836F6" w14:textId="77777777" w:rsidR="00E362B7" w:rsidRDefault="00E362B7" w:rsidP="00E1667F">
      <w:pPr>
        <w:jc w:val="both"/>
        <w:rPr>
          <w:rFonts w:asciiTheme="majorHAnsi" w:hAnsiTheme="majorHAnsi"/>
        </w:rPr>
      </w:pPr>
    </w:p>
    <w:p w14:paraId="1911586E" w14:textId="77777777" w:rsidR="00E362B7" w:rsidRDefault="00E362B7" w:rsidP="00E1667F">
      <w:pPr>
        <w:jc w:val="both"/>
        <w:rPr>
          <w:rFonts w:asciiTheme="majorHAnsi" w:hAnsiTheme="majorHAnsi"/>
        </w:rPr>
      </w:pPr>
    </w:p>
    <w:p w14:paraId="497A3E5D" w14:textId="77777777" w:rsidR="00E362B7" w:rsidRDefault="00E362B7" w:rsidP="00E1667F">
      <w:pPr>
        <w:jc w:val="both"/>
        <w:rPr>
          <w:rFonts w:asciiTheme="majorHAnsi" w:hAnsiTheme="majorHAnsi"/>
        </w:rPr>
      </w:pPr>
    </w:p>
    <w:tbl>
      <w:tblPr>
        <w:tblW w:w="792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066"/>
      </w:tblGrid>
      <w:tr w:rsidR="00E362B7" w:rsidRPr="00A73B7B" w14:paraId="3B892007" w14:textId="77777777" w:rsidTr="003B2FDD">
        <w:trPr>
          <w:tblCellSpacing w:w="0" w:type="dxa"/>
        </w:trPr>
        <w:tc>
          <w:tcPr>
            <w:tcW w:w="7920" w:type="dxa"/>
            <w:shd w:val="clear" w:color="auto" w:fill="FFFFFF"/>
            <w:vAlign w:val="center"/>
            <w:hideMark/>
          </w:tcPr>
          <w:p w14:paraId="5F185A88" w14:textId="77777777" w:rsidR="00E362B7" w:rsidRPr="002E338C" w:rsidRDefault="00A73B7B" w:rsidP="00054778">
            <w:pPr>
              <w:jc w:val="both"/>
              <w:rPr>
                <w:rFonts w:asciiTheme="majorHAnsi" w:eastAsia="Times New Roman" w:hAnsiTheme="majorHAnsi" w:cs="Times New Roman"/>
                <w:b/>
                <w:color w:val="4F81BD" w:themeColor="accent1"/>
                <w:lang w:val="en-GB"/>
              </w:rPr>
            </w:pPr>
            <w:hyperlink r:id="rId13" w:tgtFrame="_blank" w:tooltip=" " w:history="1">
              <w:r w:rsidR="00E362B7" w:rsidRPr="002E338C">
                <w:rPr>
                  <w:rFonts w:asciiTheme="majorHAnsi" w:eastAsia="Times New Roman" w:hAnsiTheme="majorHAnsi" w:cs="Times New Roman"/>
                  <w:b/>
                  <w:color w:val="4F81BD" w:themeColor="accent1"/>
                  <w:lang w:val="en-GB"/>
                </w:rPr>
                <w:t>LIRAGLUTIDE AND RENAL OUTCOMES IN TYPE 2 DIABETES</w:t>
              </w:r>
            </w:hyperlink>
            <w:r w:rsidR="00E362B7" w:rsidRPr="002E338C">
              <w:rPr>
                <w:rFonts w:asciiTheme="majorHAnsi" w:eastAsia="Times New Roman" w:hAnsiTheme="majorHAnsi" w:cs="Times New Roman"/>
                <w:b/>
                <w:color w:val="4F81BD" w:themeColor="accent1"/>
                <w:lang w:val="en-GB"/>
              </w:rPr>
              <w:t xml:space="preserve"> </w:t>
            </w:r>
          </w:p>
          <w:p w14:paraId="5255AADF" w14:textId="1ED4A706" w:rsidR="00E362B7" w:rsidRPr="00E362B7" w:rsidRDefault="00E362B7" w:rsidP="00054778">
            <w:pPr>
              <w:jc w:val="both"/>
              <w:rPr>
                <w:rFonts w:asciiTheme="majorHAnsi" w:eastAsia="Times New Roman" w:hAnsiTheme="majorHAnsi" w:cs="Segoe UI"/>
                <w:color w:val="4F81BD" w:themeColor="accent1"/>
                <w:lang w:val="en-GB"/>
              </w:rPr>
            </w:pPr>
          </w:p>
        </w:tc>
      </w:tr>
      <w:tr w:rsidR="00E362B7" w:rsidRPr="00A73B7B" w14:paraId="598ADB4D" w14:textId="77777777" w:rsidTr="003B2FDD">
        <w:trPr>
          <w:tblCellSpacing w:w="0" w:type="dxa"/>
        </w:trPr>
        <w:tc>
          <w:tcPr>
            <w:tcW w:w="7920" w:type="dxa"/>
            <w:shd w:val="clear" w:color="auto" w:fill="FFFFFF"/>
            <w:vAlign w:val="center"/>
            <w:hideMark/>
          </w:tcPr>
          <w:p w14:paraId="169E7F6B" w14:textId="77777777" w:rsidR="00E362B7" w:rsidRPr="00E362B7" w:rsidRDefault="00E362B7" w:rsidP="00054778">
            <w:pPr>
              <w:jc w:val="both"/>
              <w:rPr>
                <w:rFonts w:asciiTheme="majorHAnsi" w:eastAsia="Times New Roman" w:hAnsiTheme="majorHAnsi" w:cs="Segoe UI"/>
                <w:color w:val="212121"/>
                <w:lang w:val="en-GB"/>
              </w:rPr>
            </w:pPr>
            <w:r w:rsidRPr="00E362B7">
              <w:rPr>
                <w:rFonts w:asciiTheme="majorHAnsi" w:eastAsia="Times New Roman" w:hAnsiTheme="majorHAnsi" w:cs="Arial"/>
                <w:color w:val="666666"/>
                <w:lang w:val="en-GB"/>
              </w:rPr>
              <w:t>J.F.E. Mann and Others</w:t>
            </w:r>
          </w:p>
        </w:tc>
      </w:tr>
      <w:tr w:rsidR="00E362B7" w:rsidRPr="00A73B7B" w14:paraId="484F48A8" w14:textId="77777777" w:rsidTr="003B2FDD">
        <w:trPr>
          <w:tblCellSpacing w:w="0" w:type="dxa"/>
        </w:trPr>
        <w:tc>
          <w:tcPr>
            <w:tcW w:w="7920" w:type="dxa"/>
            <w:shd w:val="clear" w:color="auto" w:fill="FFFFFF"/>
            <w:vAlign w:val="center"/>
            <w:hideMark/>
          </w:tcPr>
          <w:p w14:paraId="44560CF1" w14:textId="327D7126" w:rsidR="00E362B7" w:rsidRDefault="00E362B7" w:rsidP="00054778">
            <w:pPr>
              <w:jc w:val="both"/>
              <w:rPr>
                <w:rFonts w:asciiTheme="majorHAnsi" w:eastAsia="Times New Roman" w:hAnsiTheme="majorHAnsi" w:cs="Arial"/>
                <w:color w:val="999999"/>
                <w:lang w:val="en-GB"/>
              </w:rPr>
            </w:pPr>
            <w:r w:rsidRPr="00E362B7">
              <w:rPr>
                <w:rFonts w:asciiTheme="majorHAnsi" w:eastAsia="Times New Roman" w:hAnsiTheme="majorHAnsi" w:cs="Arial"/>
                <w:color w:val="999999"/>
                <w:lang w:val="en-GB"/>
              </w:rPr>
              <w:t xml:space="preserve">N </w:t>
            </w:r>
            <w:proofErr w:type="spellStart"/>
            <w:r w:rsidRPr="00E362B7">
              <w:rPr>
                <w:rFonts w:asciiTheme="majorHAnsi" w:eastAsia="Times New Roman" w:hAnsiTheme="majorHAnsi" w:cs="Arial"/>
                <w:color w:val="999999"/>
                <w:lang w:val="en-GB"/>
              </w:rPr>
              <w:t>Engl</w:t>
            </w:r>
            <w:proofErr w:type="spellEnd"/>
            <w:r w:rsidRPr="00E362B7">
              <w:rPr>
                <w:rFonts w:asciiTheme="majorHAnsi" w:eastAsia="Times New Roman" w:hAnsiTheme="majorHAnsi" w:cs="Arial"/>
                <w:color w:val="999999"/>
                <w:lang w:val="en-GB"/>
              </w:rPr>
              <w:t xml:space="preserve"> J Med 377:839, August 31, 2017</w:t>
            </w:r>
          </w:p>
          <w:p w14:paraId="4055104A" w14:textId="77777777" w:rsidR="00A73B7B" w:rsidRDefault="00A73B7B" w:rsidP="00A73B7B">
            <w:pPr>
              <w:jc w:val="both"/>
              <w:rPr>
                <w:rFonts w:asciiTheme="majorHAnsi" w:eastAsia="Times New Roman" w:hAnsiTheme="majorHAnsi" w:cs="Arial"/>
                <w:color w:val="999999"/>
                <w:lang w:val="en-GB"/>
              </w:rPr>
            </w:pPr>
            <w:hyperlink r:id="rId14" w:history="1">
              <w:r w:rsidRPr="001273F3">
                <w:rPr>
                  <w:rStyle w:val="Lienhypertexte"/>
                  <w:rFonts w:asciiTheme="majorHAnsi" w:eastAsia="Times New Roman" w:hAnsiTheme="majorHAnsi" w:cs="Arial"/>
                  <w:lang w:val="en-GB"/>
                </w:rPr>
                <w:t>https://www.ncbi.nlm.nih.gov/pubmed/?term=LIRAGLUTIDE+AND+RENAL+OUTCOMES+IN+TYPE+2+DIABETES</w:t>
              </w:r>
            </w:hyperlink>
            <w:r>
              <w:rPr>
                <w:rFonts w:asciiTheme="majorHAnsi" w:eastAsia="Times New Roman" w:hAnsiTheme="majorHAnsi" w:cs="Arial"/>
                <w:color w:val="999999"/>
                <w:lang w:val="en-GB"/>
              </w:rPr>
              <w:t xml:space="preserve"> </w:t>
            </w:r>
          </w:p>
          <w:p w14:paraId="116A914E" w14:textId="77777777" w:rsidR="00A73B7B" w:rsidRDefault="00A73B7B" w:rsidP="00054778">
            <w:pPr>
              <w:jc w:val="both"/>
              <w:rPr>
                <w:rFonts w:asciiTheme="majorHAnsi" w:eastAsia="Times New Roman" w:hAnsiTheme="majorHAnsi" w:cs="Arial"/>
                <w:color w:val="999999"/>
                <w:lang w:val="en-GB"/>
              </w:rPr>
            </w:pPr>
          </w:p>
          <w:p w14:paraId="3F0BF1FD" w14:textId="77777777" w:rsidR="00E362B7" w:rsidRPr="00E362B7" w:rsidRDefault="00E362B7" w:rsidP="00054778">
            <w:pPr>
              <w:jc w:val="both"/>
              <w:rPr>
                <w:rFonts w:asciiTheme="majorHAnsi" w:eastAsia="Times New Roman" w:hAnsiTheme="majorHAnsi" w:cs="Segoe UI"/>
                <w:color w:val="212121"/>
                <w:lang w:val="en-GB"/>
              </w:rPr>
            </w:pPr>
          </w:p>
        </w:tc>
      </w:tr>
    </w:tbl>
    <w:p w14:paraId="1B34921D" w14:textId="77777777" w:rsidR="00E362B7" w:rsidRDefault="00E362B7" w:rsidP="00054778">
      <w:pPr>
        <w:jc w:val="both"/>
        <w:rPr>
          <w:rFonts w:asciiTheme="majorHAnsi" w:hAnsiTheme="majorHAnsi"/>
        </w:rPr>
      </w:pPr>
      <w:r w:rsidRPr="00E362B7">
        <w:rPr>
          <w:rFonts w:asciiTheme="majorHAnsi" w:hAnsiTheme="majorHAnsi"/>
          <w:color w:val="4F81BD" w:themeColor="accent1"/>
        </w:rPr>
        <w:t>Introduction :</w:t>
      </w:r>
      <w:r w:rsidRPr="00E362B7">
        <w:rPr>
          <w:rFonts w:asciiTheme="majorHAnsi" w:hAnsiTheme="majorHAnsi"/>
        </w:rPr>
        <w:t xml:space="preserve"> </w:t>
      </w:r>
    </w:p>
    <w:p w14:paraId="343B44DB" w14:textId="4AD613EA" w:rsidR="00E362B7" w:rsidRDefault="00E362B7" w:rsidP="00054778">
      <w:pPr>
        <w:jc w:val="both"/>
        <w:rPr>
          <w:rFonts w:asciiTheme="majorHAnsi" w:hAnsiTheme="majorHAnsi"/>
        </w:rPr>
      </w:pPr>
      <w:r w:rsidRPr="00E362B7">
        <w:rPr>
          <w:rFonts w:asciiTheme="majorHAnsi" w:hAnsiTheme="majorHAnsi"/>
        </w:rPr>
        <w:t xml:space="preserve">Un analogue GLP-1, le </w:t>
      </w:r>
      <w:proofErr w:type="spellStart"/>
      <w:r w:rsidRPr="00E362B7">
        <w:rPr>
          <w:rFonts w:asciiTheme="majorHAnsi" w:hAnsiTheme="majorHAnsi"/>
        </w:rPr>
        <w:t>liraglutide</w:t>
      </w:r>
      <w:proofErr w:type="spellEnd"/>
      <w:r w:rsidRPr="00E362B7">
        <w:rPr>
          <w:rFonts w:asciiTheme="majorHAnsi" w:hAnsiTheme="majorHAnsi"/>
        </w:rPr>
        <w:t xml:space="preserve"> a prouvé son efficacité sur contrôle glycémique, la réduction excrétion </w:t>
      </w:r>
      <w:proofErr w:type="gramStart"/>
      <w:r w:rsidRPr="00E362B7">
        <w:rPr>
          <w:rFonts w:asciiTheme="majorHAnsi" w:hAnsiTheme="majorHAnsi"/>
        </w:rPr>
        <w:t>d’ albumine</w:t>
      </w:r>
      <w:proofErr w:type="gramEnd"/>
      <w:r w:rsidRPr="00E362B7">
        <w:rPr>
          <w:rFonts w:asciiTheme="majorHAnsi" w:hAnsiTheme="majorHAnsi"/>
        </w:rPr>
        <w:t xml:space="preserve"> et , and de sodium urinaire chez diabétique de type 2. </w:t>
      </w:r>
    </w:p>
    <w:p w14:paraId="3F399B9A" w14:textId="77777777" w:rsidR="00E362B7" w:rsidRDefault="00E362B7" w:rsidP="00054778">
      <w:pPr>
        <w:jc w:val="both"/>
        <w:rPr>
          <w:rFonts w:asciiTheme="majorHAnsi" w:hAnsiTheme="majorHAnsi"/>
        </w:rPr>
      </w:pPr>
    </w:p>
    <w:p w14:paraId="20133538" w14:textId="77777777" w:rsidR="00E362B7" w:rsidRDefault="00E362B7" w:rsidP="00054778">
      <w:pPr>
        <w:jc w:val="both"/>
        <w:rPr>
          <w:rFonts w:asciiTheme="majorHAnsi" w:hAnsiTheme="majorHAnsi"/>
        </w:rPr>
      </w:pPr>
      <w:r w:rsidRPr="00E362B7">
        <w:rPr>
          <w:rFonts w:asciiTheme="majorHAnsi" w:hAnsiTheme="majorHAnsi"/>
          <w:color w:val="4F81BD" w:themeColor="accent1"/>
        </w:rPr>
        <w:t>Objectif :</w:t>
      </w:r>
      <w:r w:rsidRPr="00E362B7">
        <w:rPr>
          <w:rFonts w:asciiTheme="majorHAnsi" w:hAnsiTheme="majorHAnsi"/>
        </w:rPr>
        <w:t xml:space="preserve"> vérifier l’efficacité à long terme sur fonction rénale du </w:t>
      </w:r>
      <w:proofErr w:type="spellStart"/>
      <w:r w:rsidRPr="00E362B7">
        <w:rPr>
          <w:rFonts w:asciiTheme="majorHAnsi" w:hAnsiTheme="majorHAnsi"/>
        </w:rPr>
        <w:t>liraglutide</w:t>
      </w:r>
      <w:proofErr w:type="spellEnd"/>
      <w:r w:rsidRPr="00E362B7">
        <w:rPr>
          <w:rFonts w:asciiTheme="majorHAnsi" w:hAnsiTheme="majorHAnsi"/>
        </w:rPr>
        <w:t xml:space="preserve">. </w:t>
      </w:r>
    </w:p>
    <w:p w14:paraId="7DFEE4BB" w14:textId="77777777" w:rsidR="00E362B7" w:rsidRDefault="00E362B7" w:rsidP="00054778">
      <w:pPr>
        <w:jc w:val="both"/>
        <w:rPr>
          <w:rFonts w:asciiTheme="majorHAnsi" w:hAnsiTheme="majorHAnsi"/>
        </w:rPr>
      </w:pPr>
    </w:p>
    <w:p w14:paraId="11C6C663" w14:textId="77777777" w:rsidR="00E362B7" w:rsidRDefault="00E362B7" w:rsidP="00054778">
      <w:pPr>
        <w:jc w:val="both"/>
        <w:rPr>
          <w:rFonts w:asciiTheme="majorHAnsi" w:hAnsiTheme="majorHAnsi"/>
        </w:rPr>
      </w:pPr>
      <w:r w:rsidRPr="00E362B7">
        <w:rPr>
          <w:rFonts w:asciiTheme="majorHAnsi" w:hAnsiTheme="majorHAnsi"/>
          <w:color w:val="4F81BD" w:themeColor="accent1"/>
        </w:rPr>
        <w:t>Méthode :</w:t>
      </w:r>
      <w:r w:rsidRPr="00E362B7">
        <w:rPr>
          <w:rFonts w:asciiTheme="majorHAnsi" w:hAnsiTheme="majorHAnsi"/>
        </w:rPr>
        <w:t xml:space="preserve"> </w:t>
      </w:r>
    </w:p>
    <w:p w14:paraId="3699CF0C" w14:textId="11B5774B" w:rsidR="00E362B7" w:rsidRDefault="00E362B7" w:rsidP="00054778">
      <w:pPr>
        <w:jc w:val="both"/>
        <w:rPr>
          <w:rFonts w:asciiTheme="majorHAnsi" w:hAnsiTheme="majorHAnsi"/>
        </w:rPr>
      </w:pPr>
      <w:r w:rsidRPr="00E362B7">
        <w:rPr>
          <w:rFonts w:asciiTheme="majorHAnsi" w:hAnsiTheme="majorHAnsi"/>
        </w:rPr>
        <w:t xml:space="preserve">Etude randomisée contrôlée chez diabétique de type 2 comparant le </w:t>
      </w:r>
      <w:proofErr w:type="spellStart"/>
      <w:r w:rsidRPr="00E362B7">
        <w:rPr>
          <w:rFonts w:asciiTheme="majorHAnsi" w:hAnsiTheme="majorHAnsi"/>
        </w:rPr>
        <w:t>Liraglutide</w:t>
      </w:r>
      <w:proofErr w:type="spellEnd"/>
      <w:r w:rsidRPr="00E362B7">
        <w:rPr>
          <w:rFonts w:asciiTheme="majorHAnsi" w:hAnsiTheme="majorHAnsi"/>
        </w:rPr>
        <w:t xml:space="preserve"> </w:t>
      </w:r>
      <w:proofErr w:type="gramStart"/>
      <w:r w:rsidRPr="00E362B7">
        <w:rPr>
          <w:rFonts w:asciiTheme="majorHAnsi" w:hAnsiTheme="majorHAnsi"/>
        </w:rPr>
        <w:t>( de</w:t>
      </w:r>
      <w:proofErr w:type="gramEnd"/>
      <w:r w:rsidRPr="00E362B7">
        <w:rPr>
          <w:rFonts w:asciiTheme="majorHAnsi" w:hAnsiTheme="majorHAnsi"/>
        </w:rPr>
        <w:t xml:space="preserve"> 0.6 à 1.8 mg/j) à du placebo associé aux thérapeutiques habituelles. </w:t>
      </w:r>
      <w:r w:rsidRPr="00E362B7">
        <w:rPr>
          <w:rFonts w:asciiTheme="majorHAnsi" w:hAnsiTheme="majorHAnsi"/>
          <w:u w:val="single"/>
        </w:rPr>
        <w:t>Critère inclusion</w:t>
      </w:r>
      <w:r w:rsidRPr="00E362B7">
        <w:rPr>
          <w:rFonts w:asciiTheme="majorHAnsi" w:hAnsiTheme="majorHAnsi"/>
        </w:rPr>
        <w:t xml:space="preserve"> HbA1C≥ 7%, haut risque </w:t>
      </w:r>
      <w:proofErr w:type="spellStart"/>
      <w:r w:rsidRPr="00E362B7">
        <w:rPr>
          <w:rFonts w:asciiTheme="majorHAnsi" w:hAnsiTheme="majorHAnsi"/>
        </w:rPr>
        <w:t>cardiovasc</w:t>
      </w:r>
      <w:proofErr w:type="spellEnd"/>
      <w:r w:rsidRPr="00E362B7">
        <w:rPr>
          <w:rFonts w:asciiTheme="majorHAnsi" w:hAnsiTheme="majorHAnsi"/>
        </w:rPr>
        <w:t xml:space="preserve"> </w:t>
      </w:r>
      <w:proofErr w:type="gramStart"/>
      <w:r w:rsidRPr="00E362B7">
        <w:rPr>
          <w:rFonts w:asciiTheme="majorHAnsi" w:hAnsiTheme="majorHAnsi"/>
        </w:rPr>
        <w:t>( âge</w:t>
      </w:r>
      <w:proofErr w:type="gramEnd"/>
      <w:r w:rsidRPr="00E362B7">
        <w:rPr>
          <w:rFonts w:asciiTheme="majorHAnsi" w:hAnsiTheme="majorHAnsi"/>
        </w:rPr>
        <w:t xml:space="preserve"> ≥50 et ≥1 critère : AVC/AIT ; IDM, &gt; 50% sténose coronaire, revascularisation coronarienne /carotidienne/ artère périphérique ; ischémie myocardique documentée à test effort, IC avec NYHA classe II-III, Insuffisance Rénale chronique) ou non haut risque mais Age ≥60 ans +  ≥1 critère : </w:t>
      </w:r>
      <w:proofErr w:type="spellStart"/>
      <w:r w:rsidRPr="00E362B7">
        <w:rPr>
          <w:rFonts w:asciiTheme="majorHAnsi" w:hAnsiTheme="majorHAnsi"/>
        </w:rPr>
        <w:t>microalbuminurie</w:t>
      </w:r>
      <w:proofErr w:type="spellEnd"/>
      <w:r w:rsidRPr="00E362B7">
        <w:rPr>
          <w:rFonts w:asciiTheme="majorHAnsi" w:hAnsiTheme="majorHAnsi"/>
        </w:rPr>
        <w:t xml:space="preserve">/protéinurie ; HTA et HVG, IVG systolique ou diastolique, indice de pression systolique ( cheville/bras)&lt;0.9. </w:t>
      </w:r>
      <w:r w:rsidRPr="00E362B7">
        <w:rPr>
          <w:rFonts w:asciiTheme="majorHAnsi" w:hAnsiTheme="majorHAnsi"/>
          <w:u w:val="single"/>
        </w:rPr>
        <w:t>Critère exclusion</w:t>
      </w:r>
      <w:r w:rsidRPr="00E362B7">
        <w:rPr>
          <w:rFonts w:asciiTheme="majorHAnsi" w:hAnsiTheme="majorHAnsi"/>
        </w:rPr>
        <w:t xml:space="preserve"> : prise auparavant analogue GLP 1 ou DDP4, calcitonine &gt; 50 </w:t>
      </w:r>
      <w:proofErr w:type="spellStart"/>
      <w:r w:rsidRPr="00E362B7">
        <w:rPr>
          <w:rFonts w:asciiTheme="majorHAnsi" w:hAnsiTheme="majorHAnsi"/>
        </w:rPr>
        <w:t>ng</w:t>
      </w:r>
      <w:proofErr w:type="spellEnd"/>
      <w:r w:rsidRPr="00E362B7">
        <w:rPr>
          <w:rFonts w:asciiTheme="majorHAnsi" w:hAnsiTheme="majorHAnsi"/>
        </w:rPr>
        <w:t xml:space="preserve">/l, utilisation insuline lente/semi lente/mixte les trois mois précédents, décompensation aigue glycémique récente, AVC/IDM de moins de 14 h, revascularisation planifiée, Insuffisance cardiaque terminale (NYHA classe IV), cancer, NEM 2 ou CMT personnel ou familial </w:t>
      </w:r>
      <w:r w:rsidRPr="00E362B7">
        <w:rPr>
          <w:rFonts w:asciiTheme="majorHAnsi" w:hAnsiTheme="majorHAnsi"/>
          <w:i/>
        </w:rPr>
        <w:t>Critère jugement composite :</w:t>
      </w:r>
      <w:r w:rsidRPr="00E362B7">
        <w:rPr>
          <w:rFonts w:asciiTheme="majorHAnsi" w:hAnsiTheme="majorHAnsi"/>
        </w:rPr>
        <w:t xml:space="preserve"> </w:t>
      </w:r>
      <w:proofErr w:type="spellStart"/>
      <w:r w:rsidRPr="00E362B7">
        <w:rPr>
          <w:rFonts w:asciiTheme="majorHAnsi" w:hAnsiTheme="majorHAnsi"/>
        </w:rPr>
        <w:t>macroalbuminurie</w:t>
      </w:r>
      <w:proofErr w:type="spellEnd"/>
      <w:r w:rsidRPr="00E362B7">
        <w:rPr>
          <w:rFonts w:asciiTheme="majorHAnsi" w:hAnsiTheme="majorHAnsi"/>
        </w:rPr>
        <w:t xml:space="preserve"> nouvelle et persistante, doublement de la créatininémie et/ou DFG &lt; 45/ml/1.73 m2, nécessité suppléance chronique rénale, mort par maladie rénale. </w:t>
      </w:r>
      <w:r w:rsidRPr="00E362B7">
        <w:rPr>
          <w:rFonts w:asciiTheme="majorHAnsi" w:hAnsiTheme="majorHAnsi"/>
          <w:i/>
        </w:rPr>
        <w:t>Suivi</w:t>
      </w:r>
      <w:r w:rsidRPr="00E362B7">
        <w:rPr>
          <w:rFonts w:asciiTheme="majorHAnsi" w:hAnsiTheme="majorHAnsi"/>
        </w:rPr>
        <w:t xml:space="preserve"> 45 à 60 mois. </w:t>
      </w:r>
    </w:p>
    <w:p w14:paraId="79175167" w14:textId="77777777" w:rsidR="00E362B7" w:rsidRDefault="00E362B7" w:rsidP="00054778">
      <w:pPr>
        <w:jc w:val="both"/>
        <w:rPr>
          <w:rFonts w:asciiTheme="majorHAnsi" w:hAnsiTheme="majorHAnsi"/>
        </w:rPr>
      </w:pPr>
    </w:p>
    <w:p w14:paraId="79AE3BFA" w14:textId="7E6F522C" w:rsidR="00E362B7" w:rsidRDefault="00E362B7" w:rsidP="00054778">
      <w:pPr>
        <w:jc w:val="both"/>
        <w:rPr>
          <w:rFonts w:asciiTheme="majorHAnsi" w:hAnsiTheme="majorHAnsi"/>
        </w:rPr>
      </w:pPr>
      <w:r w:rsidRPr="00E362B7">
        <w:rPr>
          <w:rFonts w:asciiTheme="majorHAnsi" w:hAnsiTheme="majorHAnsi"/>
          <w:color w:val="4F81BD" w:themeColor="accent1"/>
        </w:rPr>
        <w:t>Résultats :</w:t>
      </w:r>
      <w:r w:rsidRPr="00E362B7">
        <w:rPr>
          <w:rFonts w:asciiTheme="majorHAnsi" w:hAnsiTheme="majorHAnsi"/>
        </w:rPr>
        <w:t xml:space="preserve"> </w:t>
      </w:r>
    </w:p>
    <w:p w14:paraId="0E9AE22B" w14:textId="2C3FEDD1" w:rsidR="00E362B7" w:rsidRDefault="00E362B7" w:rsidP="00054778">
      <w:pPr>
        <w:jc w:val="both"/>
        <w:rPr>
          <w:rFonts w:asciiTheme="majorHAnsi" w:hAnsiTheme="majorHAnsi"/>
        </w:rPr>
      </w:pPr>
      <w:r w:rsidRPr="00E362B7">
        <w:rPr>
          <w:rFonts w:asciiTheme="majorHAnsi" w:hAnsiTheme="majorHAnsi"/>
        </w:rPr>
        <w:t xml:space="preserve">9340 patients randomisés (4668 groupe </w:t>
      </w:r>
      <w:proofErr w:type="spellStart"/>
      <w:r w:rsidRPr="00E362B7">
        <w:rPr>
          <w:rFonts w:asciiTheme="majorHAnsi" w:hAnsiTheme="majorHAnsi"/>
        </w:rPr>
        <w:t>liraglutide</w:t>
      </w:r>
      <w:proofErr w:type="spellEnd"/>
      <w:r w:rsidRPr="00E362B7">
        <w:rPr>
          <w:rFonts w:asciiTheme="majorHAnsi" w:hAnsiTheme="majorHAnsi"/>
        </w:rPr>
        <w:t xml:space="preserve">, 4672 groupe placebo) : score composite en faveur </w:t>
      </w:r>
      <w:proofErr w:type="spellStart"/>
      <w:r w:rsidRPr="00E362B7">
        <w:rPr>
          <w:rFonts w:asciiTheme="majorHAnsi" w:hAnsiTheme="majorHAnsi"/>
        </w:rPr>
        <w:t>Liraglutine</w:t>
      </w:r>
      <w:proofErr w:type="spellEnd"/>
      <w:r w:rsidRPr="00E362B7">
        <w:rPr>
          <w:rFonts w:asciiTheme="majorHAnsi" w:hAnsiTheme="majorHAnsi"/>
        </w:rPr>
        <w:t xml:space="preserve"> (268 vs 337, p : 0.02). Efficacité aussi retrouvée sur </w:t>
      </w:r>
      <w:proofErr w:type="spellStart"/>
      <w:r w:rsidRPr="00E362B7">
        <w:rPr>
          <w:rFonts w:asciiTheme="majorHAnsi" w:hAnsiTheme="majorHAnsi"/>
        </w:rPr>
        <w:t>macroalbuminurie</w:t>
      </w:r>
      <w:proofErr w:type="spellEnd"/>
      <w:r w:rsidRPr="00E362B7">
        <w:rPr>
          <w:rFonts w:asciiTheme="majorHAnsi" w:hAnsiTheme="majorHAnsi"/>
        </w:rPr>
        <w:t xml:space="preserve"> (161 vs 215, P=0.004), </w:t>
      </w:r>
      <w:proofErr w:type="spellStart"/>
      <w:r w:rsidRPr="00E362B7">
        <w:rPr>
          <w:rFonts w:asciiTheme="majorHAnsi" w:hAnsiTheme="majorHAnsi"/>
        </w:rPr>
        <w:t>microalbuminurie</w:t>
      </w:r>
      <w:proofErr w:type="spellEnd"/>
      <w:r w:rsidRPr="00E362B7">
        <w:rPr>
          <w:rFonts w:asciiTheme="majorHAnsi" w:hAnsiTheme="majorHAnsi"/>
        </w:rPr>
        <w:t xml:space="preserve"> à 36 mois (gain de 1.8 mg vs 6.3 mg/g </w:t>
      </w:r>
      <w:proofErr w:type="spellStart"/>
      <w:r w:rsidRPr="00E362B7">
        <w:rPr>
          <w:rFonts w:asciiTheme="majorHAnsi" w:hAnsiTheme="majorHAnsi"/>
        </w:rPr>
        <w:t>créat</w:t>
      </w:r>
      <w:proofErr w:type="spellEnd"/>
      <w:r w:rsidRPr="00E362B7">
        <w:rPr>
          <w:rFonts w:asciiTheme="majorHAnsi" w:hAnsiTheme="majorHAnsi"/>
        </w:rPr>
        <w:t xml:space="preserve"> à 36 mois, </w:t>
      </w:r>
      <w:proofErr w:type="gramStart"/>
      <w:r w:rsidRPr="00E362B7">
        <w:rPr>
          <w:rFonts w:asciiTheme="majorHAnsi" w:hAnsiTheme="majorHAnsi"/>
        </w:rPr>
        <w:t>p )</w:t>
      </w:r>
      <w:proofErr w:type="gramEnd"/>
      <w:r w:rsidRPr="00E362B7">
        <w:rPr>
          <w:rFonts w:asciiTheme="majorHAnsi" w:hAnsiTheme="majorHAnsi"/>
        </w:rPr>
        <w:t xml:space="preserve">, et DFG avec diminution moins rapide DFG de quelques millilitres.. </w:t>
      </w:r>
      <w:proofErr w:type="gramStart"/>
      <w:r w:rsidRPr="00E362B7">
        <w:rPr>
          <w:rFonts w:asciiTheme="majorHAnsi" w:hAnsiTheme="majorHAnsi"/>
        </w:rPr>
        <w:t>( 7.44</w:t>
      </w:r>
      <w:proofErr w:type="gramEnd"/>
      <w:r w:rsidRPr="00E362B7">
        <w:rPr>
          <w:rFonts w:asciiTheme="majorHAnsi" w:hAnsiTheme="majorHAnsi"/>
        </w:rPr>
        <w:t xml:space="preserve"> ml vs 7.82 ml à 36 mois de perte de DFG, p : 0.01), pas d’efficacité sur pop avec doublement créatinine. NB : diminution HBA1C de 0.2 à 0.4 points avec </w:t>
      </w:r>
      <w:proofErr w:type="spellStart"/>
      <w:r w:rsidRPr="00E362B7">
        <w:rPr>
          <w:rFonts w:asciiTheme="majorHAnsi" w:hAnsiTheme="majorHAnsi"/>
        </w:rPr>
        <w:t>Liraglutine</w:t>
      </w:r>
      <w:proofErr w:type="spellEnd"/>
      <w:r w:rsidRPr="00E362B7">
        <w:rPr>
          <w:rFonts w:asciiTheme="majorHAnsi" w:hAnsiTheme="majorHAnsi"/>
        </w:rPr>
        <w:t xml:space="preserve">. </w:t>
      </w:r>
    </w:p>
    <w:p w14:paraId="384BA47F" w14:textId="77777777" w:rsidR="00E362B7" w:rsidRDefault="00E362B7" w:rsidP="00054778">
      <w:pPr>
        <w:jc w:val="both"/>
        <w:rPr>
          <w:rFonts w:asciiTheme="majorHAnsi" w:hAnsiTheme="majorHAnsi"/>
        </w:rPr>
      </w:pPr>
    </w:p>
    <w:p w14:paraId="2B93387A" w14:textId="77777777" w:rsidR="00E362B7" w:rsidRDefault="00E362B7" w:rsidP="00054778">
      <w:pPr>
        <w:jc w:val="both"/>
        <w:rPr>
          <w:rFonts w:asciiTheme="majorHAnsi" w:hAnsiTheme="majorHAnsi"/>
        </w:rPr>
      </w:pPr>
      <w:r w:rsidRPr="00E362B7">
        <w:rPr>
          <w:rFonts w:asciiTheme="majorHAnsi" w:hAnsiTheme="majorHAnsi"/>
          <w:color w:val="4F81BD" w:themeColor="accent1"/>
        </w:rPr>
        <w:t>Limites :</w:t>
      </w:r>
      <w:r w:rsidRPr="00E362B7">
        <w:rPr>
          <w:rFonts w:asciiTheme="majorHAnsi" w:hAnsiTheme="majorHAnsi"/>
        </w:rPr>
        <w:t xml:space="preserve"> </w:t>
      </w:r>
    </w:p>
    <w:p w14:paraId="48F25B9A" w14:textId="49EA7A16" w:rsidR="00E362B7" w:rsidRDefault="00E362B7" w:rsidP="00054778">
      <w:pPr>
        <w:jc w:val="both"/>
        <w:rPr>
          <w:rFonts w:asciiTheme="majorHAnsi" w:hAnsiTheme="majorHAnsi"/>
        </w:rPr>
      </w:pPr>
      <w:r w:rsidRPr="00E362B7">
        <w:rPr>
          <w:rFonts w:asciiTheme="majorHAnsi" w:hAnsiTheme="majorHAnsi"/>
        </w:rPr>
        <w:t xml:space="preserve">Il existe d nombreux critères d’exclusions (voir plus haut), se faisant se poser la question de la population pouvant bénéficier de ce traitement. Par ailleurs, il existe certes une amélioration de la fonction rénale mais de seulement quelques millilitres ce qui fait soulever le problème de la pertinence d’ajouter une nouvelle thérapeutique pour une faible efficacité.  </w:t>
      </w:r>
    </w:p>
    <w:p w14:paraId="640126A6" w14:textId="77777777" w:rsidR="00E362B7" w:rsidRDefault="00E362B7" w:rsidP="00054778">
      <w:pPr>
        <w:jc w:val="both"/>
        <w:rPr>
          <w:rFonts w:asciiTheme="majorHAnsi" w:hAnsiTheme="majorHAnsi"/>
        </w:rPr>
      </w:pPr>
    </w:p>
    <w:p w14:paraId="24A33564" w14:textId="14B0F705" w:rsidR="00E362B7" w:rsidRDefault="00E362B7" w:rsidP="00054778">
      <w:pPr>
        <w:jc w:val="both"/>
        <w:rPr>
          <w:rFonts w:asciiTheme="majorHAnsi" w:hAnsiTheme="majorHAnsi"/>
          <w:i/>
        </w:rPr>
      </w:pPr>
      <w:r w:rsidRPr="00E362B7">
        <w:rPr>
          <w:rFonts w:asciiTheme="majorHAnsi" w:hAnsiTheme="majorHAnsi"/>
          <w:color w:val="4F81BD" w:themeColor="accent1"/>
        </w:rPr>
        <w:t>Conclusion :</w:t>
      </w:r>
      <w:r w:rsidRPr="00E362B7">
        <w:rPr>
          <w:rFonts w:asciiTheme="majorHAnsi" w:hAnsiTheme="majorHAnsi"/>
        </w:rPr>
        <w:t xml:space="preserve"> </w:t>
      </w:r>
      <w:r w:rsidRPr="00E362B7">
        <w:rPr>
          <w:rFonts w:asciiTheme="majorHAnsi" w:hAnsiTheme="majorHAnsi"/>
          <w:i/>
        </w:rPr>
        <w:t xml:space="preserve">efficacité </w:t>
      </w:r>
      <w:proofErr w:type="spellStart"/>
      <w:r w:rsidRPr="00E362B7">
        <w:rPr>
          <w:rFonts w:asciiTheme="majorHAnsi" w:hAnsiTheme="majorHAnsi"/>
          <w:i/>
        </w:rPr>
        <w:t>Liraglutine</w:t>
      </w:r>
      <w:proofErr w:type="spellEnd"/>
      <w:r w:rsidRPr="00E362B7">
        <w:rPr>
          <w:rFonts w:asciiTheme="majorHAnsi" w:hAnsiTheme="majorHAnsi"/>
          <w:i/>
        </w:rPr>
        <w:t xml:space="preserve"> sur critère composite rénal vs placebo (mais différence </w:t>
      </w:r>
      <w:proofErr w:type="gramStart"/>
      <w:r w:rsidRPr="00E362B7">
        <w:rPr>
          <w:rFonts w:asciiTheme="majorHAnsi" w:hAnsiTheme="majorHAnsi"/>
          <w:i/>
        </w:rPr>
        <w:t>faible..</w:t>
      </w:r>
      <w:proofErr w:type="gramEnd"/>
      <w:r w:rsidRPr="00E362B7">
        <w:rPr>
          <w:rFonts w:asciiTheme="majorHAnsi" w:hAnsiTheme="majorHAnsi"/>
          <w:i/>
        </w:rPr>
        <w:t>) à 36 mois chez diabétique type 2 avec traitement anti diabétique usuel associé</w:t>
      </w:r>
    </w:p>
    <w:p w14:paraId="23A13CCB" w14:textId="77777777" w:rsidR="009F7D77" w:rsidRDefault="009F7D77" w:rsidP="00054778">
      <w:pPr>
        <w:jc w:val="both"/>
        <w:rPr>
          <w:rFonts w:asciiTheme="majorHAnsi" w:hAnsiTheme="majorHAnsi"/>
          <w:i/>
        </w:rPr>
      </w:pPr>
    </w:p>
    <w:p w14:paraId="7BA5F5B5" w14:textId="77777777" w:rsidR="009F7D77" w:rsidRDefault="009F7D77" w:rsidP="00054778">
      <w:pPr>
        <w:jc w:val="both"/>
        <w:rPr>
          <w:rFonts w:asciiTheme="majorHAnsi" w:hAnsiTheme="majorHAnsi"/>
          <w:i/>
        </w:rPr>
      </w:pPr>
    </w:p>
    <w:p w14:paraId="28D02946" w14:textId="77777777" w:rsidR="009F7D77" w:rsidRDefault="009F7D77" w:rsidP="00054778">
      <w:pPr>
        <w:jc w:val="both"/>
        <w:rPr>
          <w:rFonts w:asciiTheme="majorHAnsi" w:hAnsiTheme="majorHAnsi"/>
          <w:i/>
        </w:rPr>
      </w:pPr>
    </w:p>
    <w:p w14:paraId="1B9E58AC" w14:textId="731B87B2" w:rsidR="009F7D77" w:rsidRPr="002E338C" w:rsidRDefault="00A73B7B" w:rsidP="00054778">
      <w:pPr>
        <w:shd w:val="clear" w:color="auto" w:fill="FFFFFF"/>
        <w:spacing w:line="270" w:lineRule="atLeast"/>
        <w:jc w:val="both"/>
        <w:rPr>
          <w:rFonts w:asciiTheme="majorHAnsi" w:hAnsiTheme="majorHAnsi"/>
          <w:b/>
          <w:color w:val="4F81BD" w:themeColor="accent1"/>
          <w:lang w:val="en-GB"/>
        </w:rPr>
      </w:pPr>
      <w:hyperlink r:id="rId15" w:tgtFrame="_blank" w:history="1">
        <w:r w:rsidR="009F7D77" w:rsidRPr="002E338C">
          <w:rPr>
            <w:rStyle w:val="Lienhypertexte"/>
            <w:rFonts w:asciiTheme="majorHAnsi" w:hAnsiTheme="majorHAnsi"/>
            <w:b/>
            <w:color w:val="4F81BD" w:themeColor="accent1"/>
            <w:u w:val="none"/>
            <w:lang w:val="en-GB"/>
          </w:rPr>
          <w:t>EFFECTS OF SOTAGLIFLOZIN ADDED TO INSULIN IN PATIENTS WITH TYPE 1 DIABETES</w:t>
        </w:r>
      </w:hyperlink>
      <w:r w:rsidR="009F7D77" w:rsidRPr="002E338C">
        <w:rPr>
          <w:rFonts w:asciiTheme="majorHAnsi" w:hAnsiTheme="majorHAnsi"/>
          <w:b/>
          <w:color w:val="4F81BD" w:themeColor="accent1"/>
          <w:lang w:val="en-GB"/>
        </w:rPr>
        <w:t>  </w:t>
      </w:r>
    </w:p>
    <w:p w14:paraId="2A5F9567" w14:textId="77777777" w:rsidR="009F7D77" w:rsidRPr="009F7D77" w:rsidRDefault="009F7D77" w:rsidP="00054778">
      <w:pPr>
        <w:shd w:val="clear" w:color="auto" w:fill="FFFFFF"/>
        <w:spacing w:line="270" w:lineRule="atLeast"/>
        <w:jc w:val="both"/>
        <w:rPr>
          <w:rFonts w:asciiTheme="majorHAnsi" w:hAnsiTheme="majorHAnsi"/>
          <w:color w:val="000000"/>
          <w:lang w:val="en-GB"/>
        </w:rPr>
      </w:pPr>
    </w:p>
    <w:p w14:paraId="24BC8F09" w14:textId="3D4B6AF4" w:rsidR="009F7D77" w:rsidRDefault="009F7D77" w:rsidP="00054778">
      <w:pPr>
        <w:pStyle w:val="NormalWeb"/>
        <w:shd w:val="clear" w:color="auto" w:fill="FFFFFF"/>
        <w:spacing w:before="0" w:beforeAutospacing="0" w:after="0" w:afterAutospacing="0" w:line="195" w:lineRule="atLeast"/>
        <w:jc w:val="both"/>
        <w:rPr>
          <w:rFonts w:asciiTheme="majorHAnsi" w:hAnsiTheme="majorHAnsi" w:cs="Arial"/>
          <w:color w:val="666666"/>
          <w:lang w:val="en-GB"/>
        </w:rPr>
      </w:pPr>
      <w:r w:rsidRPr="009F7D77">
        <w:rPr>
          <w:rFonts w:asciiTheme="majorHAnsi" w:hAnsiTheme="majorHAnsi" w:cs="Arial"/>
          <w:color w:val="666666"/>
          <w:lang w:val="en-GB"/>
        </w:rPr>
        <w:t xml:space="preserve">S.K. Garg and Others | September 13, 2017 | </w:t>
      </w:r>
      <w:r>
        <w:rPr>
          <w:rFonts w:asciiTheme="majorHAnsi" w:hAnsiTheme="majorHAnsi" w:cs="Arial"/>
          <w:color w:val="666666"/>
          <w:lang w:val="en-GB"/>
        </w:rPr>
        <w:t>NEJM</w:t>
      </w:r>
    </w:p>
    <w:p w14:paraId="3324D4EE" w14:textId="77777777" w:rsidR="00A73B7B" w:rsidRPr="009F7D77" w:rsidRDefault="00A73B7B" w:rsidP="00A73B7B">
      <w:pPr>
        <w:pStyle w:val="NormalWeb"/>
        <w:shd w:val="clear" w:color="auto" w:fill="FFFFFF"/>
        <w:spacing w:before="0" w:beforeAutospacing="0" w:after="0" w:afterAutospacing="0" w:line="195" w:lineRule="atLeast"/>
        <w:jc w:val="both"/>
        <w:rPr>
          <w:rStyle w:val="Lienhypertexte"/>
          <w:rFonts w:asciiTheme="majorHAnsi" w:eastAsiaTheme="majorEastAsia" w:hAnsiTheme="majorHAnsi" w:cs="Arial"/>
          <w:lang w:val="en-GB"/>
        </w:rPr>
      </w:pPr>
      <w:r w:rsidRPr="0059491F">
        <w:rPr>
          <w:rStyle w:val="Lienhypertexte"/>
          <w:rFonts w:asciiTheme="majorHAnsi" w:eastAsiaTheme="majorEastAsia" w:hAnsiTheme="majorHAnsi" w:cs="Arial"/>
          <w:lang w:val="en-GB"/>
        </w:rPr>
        <w:t>https://www.ncbi.nlm.nih.gov/pubmed/?term=EFFECTS+OF+SOTAGLIFLOZIN+ADDED+TO+INSULIN+IN+PATIENTS+WITH+TYPE+1+DIABETES</w:t>
      </w:r>
    </w:p>
    <w:p w14:paraId="1152DE3F" w14:textId="77777777" w:rsidR="00A73B7B" w:rsidRPr="009F7D77" w:rsidRDefault="00A73B7B" w:rsidP="00054778">
      <w:pPr>
        <w:pStyle w:val="NormalWeb"/>
        <w:shd w:val="clear" w:color="auto" w:fill="FFFFFF"/>
        <w:spacing w:before="0" w:beforeAutospacing="0" w:after="0" w:afterAutospacing="0" w:line="195" w:lineRule="atLeast"/>
        <w:jc w:val="both"/>
        <w:rPr>
          <w:rStyle w:val="Lienhypertexte"/>
          <w:rFonts w:asciiTheme="majorHAnsi" w:eastAsiaTheme="majorEastAsia" w:hAnsiTheme="majorHAnsi" w:cs="Arial"/>
          <w:lang w:val="en-GB"/>
        </w:rPr>
      </w:pPr>
    </w:p>
    <w:p w14:paraId="70C809DC" w14:textId="77777777" w:rsidR="009F7D77" w:rsidRPr="009F7D77" w:rsidRDefault="009F7D77" w:rsidP="00054778">
      <w:pPr>
        <w:pStyle w:val="NormalWeb"/>
        <w:shd w:val="clear" w:color="auto" w:fill="FFFFFF"/>
        <w:spacing w:before="0" w:beforeAutospacing="0" w:after="30" w:afterAutospacing="0" w:line="195" w:lineRule="atLeast"/>
        <w:jc w:val="both"/>
        <w:rPr>
          <w:rFonts w:asciiTheme="majorHAnsi" w:hAnsiTheme="majorHAnsi" w:cs="Arial"/>
          <w:color w:val="666666"/>
          <w:lang w:val="en-GB"/>
        </w:rPr>
      </w:pPr>
    </w:p>
    <w:p w14:paraId="13340AD5" w14:textId="77777777" w:rsidR="009F7D77" w:rsidRPr="009F7D77" w:rsidRDefault="009F7D77" w:rsidP="00054778">
      <w:pPr>
        <w:jc w:val="both"/>
        <w:rPr>
          <w:rFonts w:asciiTheme="majorHAnsi" w:hAnsiTheme="majorHAnsi"/>
          <w:color w:val="4F81BD" w:themeColor="accent1"/>
        </w:rPr>
      </w:pPr>
      <w:r w:rsidRPr="009F7D77">
        <w:rPr>
          <w:rFonts w:asciiTheme="majorHAnsi" w:hAnsiTheme="majorHAnsi"/>
          <w:color w:val="4F81BD" w:themeColor="accent1"/>
        </w:rPr>
        <w:t xml:space="preserve">Introduction : </w:t>
      </w:r>
    </w:p>
    <w:p w14:paraId="12705C91" w14:textId="77777777" w:rsidR="009F7D77" w:rsidRDefault="009F7D77" w:rsidP="00054778">
      <w:pPr>
        <w:jc w:val="both"/>
        <w:rPr>
          <w:rFonts w:asciiTheme="majorHAnsi" w:hAnsiTheme="majorHAnsi"/>
        </w:rPr>
      </w:pPr>
      <w:r w:rsidRPr="009F7D77">
        <w:rPr>
          <w:rFonts w:asciiTheme="majorHAnsi" w:hAnsiTheme="majorHAnsi"/>
        </w:rPr>
        <w:t xml:space="preserve">Le </w:t>
      </w:r>
      <w:proofErr w:type="spellStart"/>
      <w:r w:rsidRPr="009F7D77">
        <w:rPr>
          <w:rFonts w:asciiTheme="majorHAnsi" w:hAnsiTheme="majorHAnsi"/>
        </w:rPr>
        <w:t>Sotagliflozin</w:t>
      </w:r>
      <w:proofErr w:type="spellEnd"/>
      <w:r w:rsidRPr="009F7D77">
        <w:rPr>
          <w:rFonts w:asciiTheme="majorHAnsi" w:hAnsiTheme="majorHAnsi"/>
        </w:rPr>
        <w:t xml:space="preserve"> (LX4211) est un nouvel inhibiteur oral des </w:t>
      </w:r>
      <w:proofErr w:type="spellStart"/>
      <w:r w:rsidRPr="009F7D77">
        <w:rPr>
          <w:rFonts w:asciiTheme="majorHAnsi" w:hAnsiTheme="majorHAnsi"/>
        </w:rPr>
        <w:t>cotransporteurs</w:t>
      </w:r>
      <w:proofErr w:type="spellEnd"/>
      <w:r w:rsidRPr="009F7D77">
        <w:rPr>
          <w:rFonts w:asciiTheme="majorHAnsi" w:hAnsiTheme="majorHAnsi"/>
        </w:rPr>
        <w:t xml:space="preserve"> 1 et 2 de sodium–glucose (SGLT1 et SGLT2). </w:t>
      </w:r>
      <w:proofErr w:type="spellStart"/>
      <w:r w:rsidRPr="009F7D77">
        <w:rPr>
          <w:rFonts w:asciiTheme="majorHAnsi" w:hAnsiTheme="majorHAnsi"/>
        </w:rPr>
        <w:t>SGLTde</w:t>
      </w:r>
      <w:proofErr w:type="spellEnd"/>
      <w:r w:rsidRPr="009F7D77">
        <w:rPr>
          <w:rFonts w:asciiTheme="majorHAnsi" w:hAnsiTheme="majorHAnsi"/>
        </w:rPr>
        <w:t xml:space="preserve"> type 1 joue un rôle sur l’absorption intestinale proximale et le 2, sur la réabsorption rénale du glucose. Les études préliminaires de phase 2 chez les diabétiques de types 1 et 2 ont montré une efficacité sur la perte de poids et le contrôle glycémique. </w:t>
      </w:r>
    </w:p>
    <w:p w14:paraId="244C4482" w14:textId="77777777" w:rsidR="009F7D77" w:rsidRDefault="009F7D77" w:rsidP="00054778">
      <w:pPr>
        <w:jc w:val="both"/>
        <w:rPr>
          <w:rFonts w:asciiTheme="majorHAnsi" w:hAnsiTheme="majorHAnsi"/>
        </w:rPr>
      </w:pPr>
    </w:p>
    <w:p w14:paraId="1CECE9E6" w14:textId="77777777" w:rsidR="009F7D77" w:rsidRDefault="009F7D77" w:rsidP="00054778">
      <w:pPr>
        <w:jc w:val="both"/>
        <w:rPr>
          <w:rFonts w:asciiTheme="majorHAnsi" w:hAnsiTheme="majorHAnsi"/>
        </w:rPr>
      </w:pPr>
      <w:r w:rsidRPr="009F7D77">
        <w:rPr>
          <w:rFonts w:asciiTheme="majorHAnsi" w:hAnsiTheme="majorHAnsi"/>
          <w:color w:val="4F81BD" w:themeColor="accent1"/>
        </w:rPr>
        <w:t>Objectif</w:t>
      </w:r>
      <w:proofErr w:type="gramStart"/>
      <w:r w:rsidRPr="009F7D77">
        <w:rPr>
          <w:rFonts w:asciiTheme="majorHAnsi" w:hAnsiTheme="majorHAnsi"/>
          <w:color w:val="4F81BD" w:themeColor="accent1"/>
        </w:rPr>
        <w:t> :</w:t>
      </w:r>
      <w:r w:rsidRPr="009F7D77">
        <w:rPr>
          <w:rFonts w:asciiTheme="majorHAnsi" w:hAnsiTheme="majorHAnsi"/>
        </w:rPr>
        <w:t>Vérifier</w:t>
      </w:r>
      <w:proofErr w:type="gramEnd"/>
      <w:r w:rsidRPr="009F7D77">
        <w:rPr>
          <w:rFonts w:asciiTheme="majorHAnsi" w:hAnsiTheme="majorHAnsi"/>
        </w:rPr>
        <w:t xml:space="preserve"> l’ efficacité du </w:t>
      </w:r>
      <w:proofErr w:type="spellStart"/>
      <w:r w:rsidRPr="009F7D77">
        <w:rPr>
          <w:rFonts w:asciiTheme="majorHAnsi" w:hAnsiTheme="majorHAnsi"/>
        </w:rPr>
        <w:t>Sotagliflozin</w:t>
      </w:r>
      <w:proofErr w:type="spellEnd"/>
      <w:r w:rsidRPr="009F7D77">
        <w:rPr>
          <w:rFonts w:asciiTheme="majorHAnsi" w:hAnsiTheme="majorHAnsi"/>
        </w:rPr>
        <w:t xml:space="preserve"> chez le diabétique type 1 sous insuline sur la diminution déséquilibre glycémique en étude de phase 3. </w:t>
      </w:r>
    </w:p>
    <w:p w14:paraId="71E525B4" w14:textId="77777777" w:rsidR="009F7D77" w:rsidRDefault="009F7D77" w:rsidP="00054778">
      <w:pPr>
        <w:jc w:val="both"/>
        <w:rPr>
          <w:rFonts w:asciiTheme="majorHAnsi" w:hAnsiTheme="majorHAnsi"/>
        </w:rPr>
      </w:pPr>
    </w:p>
    <w:p w14:paraId="56765A85" w14:textId="77777777" w:rsidR="009F7D77" w:rsidRPr="009F7D77" w:rsidRDefault="009F7D77" w:rsidP="00054778">
      <w:pPr>
        <w:jc w:val="both"/>
        <w:rPr>
          <w:rFonts w:asciiTheme="majorHAnsi" w:hAnsiTheme="majorHAnsi"/>
          <w:color w:val="4F81BD" w:themeColor="accent1"/>
        </w:rPr>
      </w:pPr>
      <w:r w:rsidRPr="009F7D77">
        <w:rPr>
          <w:rFonts w:asciiTheme="majorHAnsi" w:hAnsiTheme="majorHAnsi"/>
          <w:color w:val="4F81BD" w:themeColor="accent1"/>
        </w:rPr>
        <w:t xml:space="preserve">Méthode : </w:t>
      </w:r>
    </w:p>
    <w:p w14:paraId="4103B46C" w14:textId="77777777" w:rsidR="009F7D77" w:rsidRDefault="009F7D77" w:rsidP="00054778">
      <w:pPr>
        <w:jc w:val="both"/>
        <w:rPr>
          <w:rFonts w:asciiTheme="majorHAnsi" w:hAnsiTheme="majorHAnsi"/>
        </w:rPr>
      </w:pPr>
      <w:r w:rsidRPr="009F7D77">
        <w:rPr>
          <w:rFonts w:asciiTheme="majorHAnsi" w:hAnsiTheme="majorHAnsi"/>
        </w:rPr>
        <w:t xml:space="preserve">Etude randomisée, prospective, multicentrique, comparant le </w:t>
      </w:r>
      <w:proofErr w:type="spellStart"/>
      <w:r w:rsidRPr="009F7D77">
        <w:rPr>
          <w:rFonts w:asciiTheme="majorHAnsi" w:hAnsiTheme="majorHAnsi"/>
        </w:rPr>
        <w:t>Sitaglifozin</w:t>
      </w:r>
      <w:proofErr w:type="spellEnd"/>
      <w:r w:rsidRPr="009F7D77">
        <w:rPr>
          <w:rFonts w:asciiTheme="majorHAnsi" w:hAnsiTheme="majorHAnsi"/>
        </w:rPr>
        <w:t xml:space="preserve"> </w:t>
      </w:r>
      <w:proofErr w:type="gramStart"/>
      <w:r w:rsidRPr="009F7D77">
        <w:rPr>
          <w:rFonts w:asciiTheme="majorHAnsi" w:hAnsiTheme="majorHAnsi"/>
        </w:rPr>
        <w:t>( 400</w:t>
      </w:r>
      <w:proofErr w:type="gramEnd"/>
      <w:r w:rsidRPr="009F7D77">
        <w:rPr>
          <w:rFonts w:asciiTheme="majorHAnsi" w:hAnsiTheme="majorHAnsi"/>
        </w:rPr>
        <w:t xml:space="preserve"> mg/j PO) au placebo chez les diabétiques de type 1 ayant une HbA1C&gt; 7% malgré insulinothérapie (sur 133 sites dans 19 pays sur 24 semaines) . </w:t>
      </w:r>
      <w:r w:rsidRPr="009F7D77">
        <w:rPr>
          <w:rFonts w:asciiTheme="majorHAnsi" w:hAnsiTheme="majorHAnsi"/>
          <w:u w:val="single"/>
        </w:rPr>
        <w:t>Critère inclusion</w:t>
      </w:r>
      <w:r w:rsidRPr="009F7D77">
        <w:rPr>
          <w:rFonts w:asciiTheme="majorHAnsi" w:hAnsiTheme="majorHAnsi"/>
        </w:rPr>
        <w:t xml:space="preserve"> : diabète type 1 &gt; 1 an avec HbA1C entre 7 et 11%, et IMC &gt; 18.5.</w:t>
      </w:r>
      <w:r w:rsidRPr="009F7D77">
        <w:rPr>
          <w:rFonts w:asciiTheme="majorHAnsi" w:hAnsiTheme="majorHAnsi"/>
          <w:u w:val="single"/>
        </w:rPr>
        <w:t xml:space="preserve"> Critère exclusion</w:t>
      </w:r>
      <w:r w:rsidRPr="009F7D77">
        <w:rPr>
          <w:rFonts w:asciiTheme="majorHAnsi" w:hAnsiTheme="majorHAnsi"/>
        </w:rPr>
        <w:t xml:space="preserve"> : sévère hypoglycémie ou acidocétose le mois précédent l’étude, ≥ 2 épisodes d’acidocétose dans les 6 derniers mois, DFG &lt; 45 ml/min/1.73 m2. </w:t>
      </w:r>
      <w:r w:rsidRPr="009F7D77">
        <w:rPr>
          <w:rFonts w:asciiTheme="majorHAnsi" w:hAnsiTheme="majorHAnsi"/>
          <w:i/>
        </w:rPr>
        <w:t>Critères jugements:</w:t>
      </w:r>
      <w:r w:rsidRPr="009F7D77">
        <w:rPr>
          <w:rFonts w:asciiTheme="majorHAnsi" w:hAnsiTheme="majorHAnsi"/>
        </w:rPr>
        <w:t xml:space="preserve"> Critère principal : diminution de l’HbA1C&lt; 7% à 24 semaines sans épisodes d’hypoglycémie sévère ou d’acidocétose. Critères secondaires : Perte de poids, diminution des posologies des bolus insuline, de l’insuline basale, diminution de la PAS &lt; 130 </w:t>
      </w:r>
      <w:proofErr w:type="spellStart"/>
      <w:r w:rsidRPr="009F7D77">
        <w:rPr>
          <w:rFonts w:asciiTheme="majorHAnsi" w:hAnsiTheme="majorHAnsi"/>
        </w:rPr>
        <w:t>mmHg</w:t>
      </w:r>
      <w:proofErr w:type="spellEnd"/>
      <w:r w:rsidRPr="009F7D77">
        <w:rPr>
          <w:rFonts w:asciiTheme="majorHAnsi" w:hAnsiTheme="majorHAnsi"/>
        </w:rPr>
        <w:t xml:space="preserve"> à 16 semaines chez patients avec HTA préexistante. Critère composite : HbA1C &lt; 7% </w:t>
      </w:r>
      <w:r w:rsidRPr="009F7D77">
        <w:rPr>
          <w:rFonts w:asciiTheme="majorHAnsi" w:hAnsiTheme="majorHAnsi"/>
        </w:rPr>
        <w:lastRenderedPageBreak/>
        <w:t xml:space="preserve">ou diminution &gt; 5% + absence de prise de poids ou diminution de plus de 5% + aucun épisode d’hyper ou hypoglycémie sévères. </w:t>
      </w:r>
    </w:p>
    <w:p w14:paraId="5784C629" w14:textId="77777777" w:rsidR="009F7D77" w:rsidRDefault="009F7D77" w:rsidP="00054778">
      <w:pPr>
        <w:jc w:val="both"/>
        <w:rPr>
          <w:rFonts w:asciiTheme="majorHAnsi" w:hAnsiTheme="majorHAnsi"/>
        </w:rPr>
      </w:pPr>
    </w:p>
    <w:p w14:paraId="1BB2F1FB" w14:textId="77777777" w:rsidR="009F7D77" w:rsidRPr="009F7D77" w:rsidRDefault="009F7D77" w:rsidP="00054778">
      <w:pPr>
        <w:jc w:val="both"/>
        <w:rPr>
          <w:rFonts w:asciiTheme="majorHAnsi" w:hAnsiTheme="majorHAnsi"/>
          <w:color w:val="4F81BD" w:themeColor="accent1"/>
        </w:rPr>
      </w:pPr>
      <w:r w:rsidRPr="009F7D77">
        <w:rPr>
          <w:rFonts w:asciiTheme="majorHAnsi" w:hAnsiTheme="majorHAnsi"/>
          <w:color w:val="4F81BD" w:themeColor="accent1"/>
        </w:rPr>
        <w:t xml:space="preserve">Résultats : </w:t>
      </w:r>
    </w:p>
    <w:p w14:paraId="219C2CD5" w14:textId="77777777" w:rsidR="009F7D77" w:rsidRDefault="009F7D77" w:rsidP="00054778">
      <w:pPr>
        <w:jc w:val="both"/>
        <w:rPr>
          <w:rFonts w:asciiTheme="majorHAnsi" w:hAnsiTheme="majorHAnsi"/>
        </w:rPr>
      </w:pPr>
      <w:r w:rsidRPr="009F7D77">
        <w:rPr>
          <w:rFonts w:asciiTheme="majorHAnsi" w:hAnsiTheme="majorHAnsi"/>
        </w:rPr>
        <w:t xml:space="preserve">D’octobre 2015 à septembre 2016 : 1402 patients inclus (699 dans le groupe </w:t>
      </w:r>
      <w:proofErr w:type="spellStart"/>
      <w:r w:rsidRPr="009F7D77">
        <w:rPr>
          <w:rFonts w:asciiTheme="majorHAnsi" w:hAnsiTheme="majorHAnsi"/>
        </w:rPr>
        <w:t>sotagliflozin</w:t>
      </w:r>
      <w:proofErr w:type="spellEnd"/>
      <w:r w:rsidRPr="009F7D77">
        <w:rPr>
          <w:rFonts w:asciiTheme="majorHAnsi" w:hAnsiTheme="majorHAnsi"/>
        </w:rPr>
        <w:t xml:space="preserve"> vs 703 groupe placebo). Le critère de jugement principal, HbA1C &lt; 7 % était atteint de façon plus fréquente dans le groupe </w:t>
      </w:r>
      <w:proofErr w:type="spellStart"/>
      <w:r w:rsidRPr="009F7D77">
        <w:rPr>
          <w:rFonts w:asciiTheme="majorHAnsi" w:hAnsiTheme="majorHAnsi"/>
        </w:rPr>
        <w:t>Sotaglifozin</w:t>
      </w:r>
      <w:proofErr w:type="spellEnd"/>
      <w:r w:rsidRPr="009F7D77">
        <w:rPr>
          <w:rFonts w:asciiTheme="majorHAnsi" w:hAnsiTheme="majorHAnsi"/>
        </w:rPr>
        <w:t xml:space="preserve"> que dans le groupe placebo (200 vs. 107, P&lt;0.001, diminution de 0.46 points d’HbA1C dans le groupe </w:t>
      </w:r>
      <w:proofErr w:type="spellStart"/>
      <w:r w:rsidRPr="009F7D77">
        <w:rPr>
          <w:rFonts w:asciiTheme="majorHAnsi" w:hAnsiTheme="majorHAnsi"/>
        </w:rPr>
        <w:t>sotaglifozin</w:t>
      </w:r>
      <w:proofErr w:type="spellEnd"/>
      <w:r w:rsidRPr="009F7D77">
        <w:rPr>
          <w:rFonts w:asciiTheme="majorHAnsi" w:hAnsiTheme="majorHAnsi"/>
        </w:rPr>
        <w:t xml:space="preserve">). De même, le critère composite était aussi plus souvent atteint avec un traitement par </w:t>
      </w:r>
      <w:proofErr w:type="spellStart"/>
      <w:r w:rsidRPr="009F7D77">
        <w:rPr>
          <w:rFonts w:asciiTheme="majorHAnsi" w:hAnsiTheme="majorHAnsi"/>
        </w:rPr>
        <w:t>Sotaglifozin</w:t>
      </w:r>
      <w:proofErr w:type="spellEnd"/>
      <w:r w:rsidRPr="009F7D77">
        <w:rPr>
          <w:rFonts w:asciiTheme="majorHAnsi" w:hAnsiTheme="majorHAnsi"/>
        </w:rPr>
        <w:t xml:space="preserve"> (171 vs 53) qu’avec le placebo.  Les autres objectifs secondaires étaient aussi atteints avec une diminution plus importante de poids (−2.98 kg; P&lt;0.001), de la dose d’insuline totale, bolus ou basale (−5.3 </w:t>
      </w:r>
      <w:proofErr w:type="spellStart"/>
      <w:r w:rsidRPr="009F7D77">
        <w:rPr>
          <w:rFonts w:asciiTheme="majorHAnsi" w:hAnsiTheme="majorHAnsi"/>
        </w:rPr>
        <w:t>ui</w:t>
      </w:r>
      <w:proofErr w:type="spellEnd"/>
      <w:r w:rsidRPr="009F7D77">
        <w:rPr>
          <w:rFonts w:asciiTheme="majorHAnsi" w:hAnsiTheme="majorHAnsi"/>
        </w:rPr>
        <w:t xml:space="preserve"> /j (−9.7%), −2.8 (−12.3%), et−2.6 (−9.9%), respectivement, P&lt;0.001pour tout) à 24 semaines et enfin une diminution plus importante de la pression artérielle à 16 semaines (chez les patients initialement hypertendus, différence −3.5 mm Hg; P=0.002) dans le groupe </w:t>
      </w:r>
      <w:proofErr w:type="spellStart"/>
      <w:r w:rsidRPr="009F7D77">
        <w:rPr>
          <w:rFonts w:asciiTheme="majorHAnsi" w:hAnsiTheme="majorHAnsi"/>
        </w:rPr>
        <w:t>Sotaglifozin</w:t>
      </w:r>
      <w:proofErr w:type="spellEnd"/>
      <w:r w:rsidRPr="009F7D77">
        <w:rPr>
          <w:rFonts w:asciiTheme="majorHAnsi" w:hAnsiTheme="majorHAnsi"/>
        </w:rPr>
        <w:t xml:space="preserve">. Il n’existait par contre pas de différence significative entre les deux groupes à 24 semaines du taux de créatinine, du DFG ou de l’albuminurie. </w:t>
      </w:r>
      <w:r w:rsidRPr="009F7D77">
        <w:rPr>
          <w:rFonts w:asciiTheme="majorHAnsi" w:hAnsiTheme="majorHAnsi"/>
          <w:i/>
        </w:rPr>
        <w:t>Effet indésirable grave :</w:t>
      </w:r>
      <w:r w:rsidRPr="009F7D77">
        <w:rPr>
          <w:rFonts w:asciiTheme="majorHAnsi" w:hAnsiTheme="majorHAnsi"/>
        </w:rPr>
        <w:t xml:space="preserve"> Il existait une tendance à l’hypoglycémie plus fréquente (69.8 personne/année vs 77.9 personne-année) dans le groupe </w:t>
      </w:r>
      <w:proofErr w:type="spellStart"/>
      <w:r w:rsidRPr="009F7D77">
        <w:rPr>
          <w:rFonts w:asciiTheme="majorHAnsi" w:hAnsiTheme="majorHAnsi"/>
        </w:rPr>
        <w:t>Sotaglifozin</w:t>
      </w:r>
      <w:proofErr w:type="spellEnd"/>
      <w:r w:rsidRPr="009F7D77">
        <w:rPr>
          <w:rFonts w:asciiTheme="majorHAnsi" w:hAnsiTheme="majorHAnsi"/>
        </w:rPr>
        <w:t xml:space="preserve"> et il existait un sur risque réel d’acidocétose dans groupe </w:t>
      </w:r>
      <w:proofErr w:type="spellStart"/>
      <w:r w:rsidRPr="009F7D77">
        <w:rPr>
          <w:rFonts w:asciiTheme="majorHAnsi" w:hAnsiTheme="majorHAnsi"/>
        </w:rPr>
        <w:t>Sitaglifozin</w:t>
      </w:r>
      <w:proofErr w:type="spellEnd"/>
      <w:r w:rsidRPr="009F7D77">
        <w:rPr>
          <w:rFonts w:asciiTheme="majorHAnsi" w:hAnsiTheme="majorHAnsi"/>
        </w:rPr>
        <w:t xml:space="preserve"> lorsque l’HbA1C restait &gt; 7% </w:t>
      </w:r>
      <w:proofErr w:type="gramStart"/>
      <w:r w:rsidRPr="009F7D77">
        <w:rPr>
          <w:rFonts w:asciiTheme="majorHAnsi" w:hAnsiTheme="majorHAnsi"/>
        </w:rPr>
        <w:t>( 18</w:t>
      </w:r>
      <w:proofErr w:type="gramEnd"/>
      <w:r w:rsidRPr="009F7D77">
        <w:rPr>
          <w:rFonts w:asciiTheme="majorHAnsi" w:hAnsiTheme="majorHAnsi"/>
        </w:rPr>
        <w:t xml:space="preserve"> vs 4 dans groupe placebo, p : 0.03). Dans ce même groupe, où l’objectif principal n’était pas atteint, il semblait exister plus d’épisode d’hypoglycémie sévère </w:t>
      </w:r>
      <w:proofErr w:type="gramStart"/>
      <w:r w:rsidRPr="009F7D77">
        <w:rPr>
          <w:rFonts w:asciiTheme="majorHAnsi" w:hAnsiTheme="majorHAnsi"/>
        </w:rPr>
        <w:t>( 21</w:t>
      </w:r>
      <w:proofErr w:type="gramEnd"/>
      <w:r w:rsidRPr="009F7D77">
        <w:rPr>
          <w:rFonts w:asciiTheme="majorHAnsi" w:hAnsiTheme="majorHAnsi"/>
        </w:rPr>
        <w:t xml:space="preserve"> vs 17, 3% vs 2.1 %). En prenant toute la population étudiée, il existait plus d’effet indésirable grave dans le groupe </w:t>
      </w:r>
      <w:proofErr w:type="spellStart"/>
      <w:r w:rsidRPr="009F7D77">
        <w:rPr>
          <w:rFonts w:asciiTheme="majorHAnsi" w:hAnsiTheme="majorHAnsi"/>
        </w:rPr>
        <w:t>Sotaglifozin</w:t>
      </w:r>
      <w:proofErr w:type="spellEnd"/>
      <w:r w:rsidRPr="009F7D77">
        <w:rPr>
          <w:rFonts w:asciiTheme="majorHAnsi" w:hAnsiTheme="majorHAnsi"/>
        </w:rPr>
        <w:t xml:space="preserve"> (48 patients [6.9%] vs. 23 [3.3%]) (1 infarctus du myocarde, 1 revascularisation coronarienne, et plus d’épisode hypoglycémie sévère ou d’acidocétose). </w:t>
      </w:r>
    </w:p>
    <w:p w14:paraId="20221C04" w14:textId="77777777" w:rsidR="009F7D77" w:rsidRDefault="009F7D77" w:rsidP="00054778">
      <w:pPr>
        <w:jc w:val="both"/>
        <w:rPr>
          <w:rFonts w:asciiTheme="majorHAnsi" w:hAnsiTheme="majorHAnsi"/>
        </w:rPr>
      </w:pPr>
    </w:p>
    <w:p w14:paraId="57997A94" w14:textId="77777777" w:rsidR="009F7D77" w:rsidRPr="009F7D77" w:rsidRDefault="009F7D77" w:rsidP="00054778">
      <w:pPr>
        <w:jc w:val="both"/>
        <w:rPr>
          <w:rFonts w:asciiTheme="majorHAnsi" w:hAnsiTheme="majorHAnsi"/>
          <w:color w:val="4F81BD" w:themeColor="accent1"/>
        </w:rPr>
      </w:pPr>
      <w:r w:rsidRPr="009F7D77">
        <w:rPr>
          <w:rFonts w:asciiTheme="majorHAnsi" w:hAnsiTheme="majorHAnsi"/>
          <w:color w:val="4F81BD" w:themeColor="accent1"/>
        </w:rPr>
        <w:t xml:space="preserve">Limites : </w:t>
      </w:r>
    </w:p>
    <w:p w14:paraId="453B4F56" w14:textId="77777777" w:rsidR="009F7D77" w:rsidRDefault="009F7D77" w:rsidP="00054778">
      <w:pPr>
        <w:jc w:val="both"/>
        <w:rPr>
          <w:rFonts w:asciiTheme="majorHAnsi" w:hAnsiTheme="majorHAnsi"/>
        </w:rPr>
      </w:pPr>
      <w:r w:rsidRPr="009F7D77">
        <w:rPr>
          <w:rFonts w:asciiTheme="majorHAnsi" w:hAnsiTheme="majorHAnsi"/>
        </w:rPr>
        <w:t xml:space="preserve">La population avec insuffisance rénale n’est pas prise en compte. De même, les patients ayant des déséquilibres glycémiques sévères ne sont inclus dans cette étude </w:t>
      </w:r>
      <w:proofErr w:type="gramStart"/>
      <w:r w:rsidRPr="009F7D77">
        <w:rPr>
          <w:rFonts w:asciiTheme="majorHAnsi" w:hAnsiTheme="majorHAnsi"/>
        </w:rPr>
        <w:t xml:space="preserve">( </w:t>
      </w:r>
      <w:proofErr w:type="spellStart"/>
      <w:r w:rsidRPr="009F7D77">
        <w:rPr>
          <w:rFonts w:asciiTheme="majorHAnsi" w:hAnsiTheme="majorHAnsi"/>
        </w:rPr>
        <w:t>cf</w:t>
      </w:r>
      <w:proofErr w:type="spellEnd"/>
      <w:proofErr w:type="gramEnd"/>
      <w:r w:rsidRPr="009F7D77">
        <w:rPr>
          <w:rFonts w:asciiTheme="majorHAnsi" w:hAnsiTheme="majorHAnsi"/>
        </w:rPr>
        <w:t xml:space="preserve"> critères d’inclusion), population normalement la plus visée ici du fait des objectifs de l’étude. Enfin, du fait des effets indésirables, il se pose la question de la population que l’on pourra traiter avec ce traitement, d’autant que la durée de suivi fut courte </w:t>
      </w:r>
      <w:proofErr w:type="gramStart"/>
      <w:r w:rsidRPr="009F7D77">
        <w:rPr>
          <w:rFonts w:asciiTheme="majorHAnsi" w:hAnsiTheme="majorHAnsi"/>
        </w:rPr>
        <w:t>( 24</w:t>
      </w:r>
      <w:proofErr w:type="gramEnd"/>
      <w:r w:rsidRPr="009F7D77">
        <w:rPr>
          <w:rFonts w:asciiTheme="majorHAnsi" w:hAnsiTheme="majorHAnsi"/>
        </w:rPr>
        <w:t xml:space="preserve"> semaines), pouvant faire suspecter l’apparition d’effets indésirables plus sévères à long terme. </w:t>
      </w:r>
    </w:p>
    <w:p w14:paraId="5ADA4D1E" w14:textId="77777777" w:rsidR="009F7D77" w:rsidRDefault="009F7D77" w:rsidP="00054778">
      <w:pPr>
        <w:jc w:val="both"/>
        <w:rPr>
          <w:rFonts w:asciiTheme="majorHAnsi" w:hAnsiTheme="majorHAnsi"/>
        </w:rPr>
      </w:pPr>
    </w:p>
    <w:p w14:paraId="452F2299" w14:textId="0F5F6CB6" w:rsidR="009F7D77" w:rsidRPr="009F7D77" w:rsidRDefault="009F7D77" w:rsidP="00054778">
      <w:pPr>
        <w:jc w:val="both"/>
        <w:rPr>
          <w:rFonts w:asciiTheme="majorHAnsi" w:hAnsiTheme="majorHAnsi"/>
        </w:rPr>
      </w:pPr>
      <w:r w:rsidRPr="009F7D77">
        <w:rPr>
          <w:rFonts w:asciiTheme="majorHAnsi" w:hAnsiTheme="majorHAnsi"/>
          <w:color w:val="4F81BD" w:themeColor="accent1"/>
        </w:rPr>
        <w:t>Conclusion :</w:t>
      </w:r>
      <w:r w:rsidRPr="009F7D77">
        <w:rPr>
          <w:rFonts w:asciiTheme="majorHAnsi" w:hAnsiTheme="majorHAnsi"/>
        </w:rPr>
        <w:t xml:space="preserve"> Il existe une e</w:t>
      </w:r>
      <w:r w:rsidRPr="009F7D77">
        <w:rPr>
          <w:rFonts w:asciiTheme="majorHAnsi" w:hAnsiTheme="majorHAnsi"/>
          <w:i/>
        </w:rPr>
        <w:t xml:space="preserve">fficacité du </w:t>
      </w:r>
      <w:proofErr w:type="spellStart"/>
      <w:r w:rsidRPr="009F7D77">
        <w:rPr>
          <w:rFonts w:asciiTheme="majorHAnsi" w:hAnsiTheme="majorHAnsi"/>
          <w:i/>
        </w:rPr>
        <w:t>sitaglofizin</w:t>
      </w:r>
      <w:proofErr w:type="spellEnd"/>
      <w:r w:rsidRPr="009F7D77">
        <w:rPr>
          <w:rFonts w:asciiTheme="majorHAnsi" w:hAnsiTheme="majorHAnsi"/>
          <w:i/>
        </w:rPr>
        <w:t xml:space="preserve"> chez les Diabétiques type 1 mal contrôlé par une insulinothérapie </w:t>
      </w:r>
      <w:proofErr w:type="gramStart"/>
      <w:r w:rsidRPr="009F7D77">
        <w:rPr>
          <w:rFonts w:asciiTheme="majorHAnsi" w:hAnsiTheme="majorHAnsi"/>
          <w:i/>
        </w:rPr>
        <w:t>( HbA</w:t>
      </w:r>
      <w:proofErr w:type="gramEnd"/>
      <w:r w:rsidRPr="009F7D77">
        <w:rPr>
          <w:rFonts w:asciiTheme="majorHAnsi" w:hAnsiTheme="majorHAnsi"/>
          <w:i/>
        </w:rPr>
        <w:t xml:space="preserve">1C&gt; 7%). Un problème majeur est par contre la présence d’effets indésirables graves. Ceux-ci apparaissent si l’objectif (HbA1C&lt; 7%) n’est pas </w:t>
      </w:r>
      <w:proofErr w:type="gramStart"/>
      <w:r w:rsidRPr="009F7D77">
        <w:rPr>
          <w:rFonts w:asciiTheme="majorHAnsi" w:hAnsiTheme="majorHAnsi"/>
          <w:i/>
        </w:rPr>
        <w:t>atteint  avec</w:t>
      </w:r>
      <w:proofErr w:type="gramEnd"/>
      <w:r w:rsidRPr="009F7D77">
        <w:rPr>
          <w:rFonts w:asciiTheme="majorHAnsi" w:hAnsiTheme="majorHAnsi"/>
          <w:i/>
        </w:rPr>
        <w:t xml:space="preserve"> plus d’épisode d’acidocétose </w:t>
      </w:r>
      <w:proofErr w:type="spellStart"/>
      <w:r w:rsidRPr="009F7D77">
        <w:rPr>
          <w:rFonts w:asciiTheme="majorHAnsi" w:hAnsiTheme="majorHAnsi"/>
          <w:i/>
        </w:rPr>
        <w:t>etune</w:t>
      </w:r>
      <w:proofErr w:type="spellEnd"/>
      <w:r w:rsidRPr="009F7D77">
        <w:rPr>
          <w:rFonts w:asciiTheme="majorHAnsi" w:hAnsiTheme="majorHAnsi"/>
          <w:i/>
        </w:rPr>
        <w:t xml:space="preserve">  tendance à plus d’épisode d’hypoglycémie sévère.</w:t>
      </w:r>
    </w:p>
    <w:p w14:paraId="54CC3A78" w14:textId="77777777" w:rsidR="009F7D77" w:rsidRPr="009F7D77" w:rsidRDefault="009F7D77" w:rsidP="00E362B7">
      <w:pPr>
        <w:jc w:val="both"/>
        <w:rPr>
          <w:rFonts w:asciiTheme="majorHAnsi" w:hAnsiTheme="majorHAnsi"/>
          <w:b/>
        </w:rPr>
      </w:pPr>
    </w:p>
    <w:p w14:paraId="39EBF7D8" w14:textId="77777777" w:rsidR="009F7D77" w:rsidRPr="009F7D77" w:rsidRDefault="009F7D77" w:rsidP="00E362B7">
      <w:pPr>
        <w:jc w:val="both"/>
        <w:rPr>
          <w:rFonts w:asciiTheme="majorHAnsi" w:hAnsiTheme="majorHAnsi"/>
        </w:rPr>
      </w:pPr>
    </w:p>
    <w:p w14:paraId="419072FB" w14:textId="77777777" w:rsidR="00E362B7" w:rsidRDefault="00E362B7" w:rsidP="00E1667F">
      <w:pPr>
        <w:jc w:val="both"/>
        <w:rPr>
          <w:rFonts w:asciiTheme="majorHAnsi" w:hAnsiTheme="majorHAnsi"/>
        </w:rPr>
      </w:pPr>
    </w:p>
    <w:p w14:paraId="6F8AB433" w14:textId="77777777" w:rsidR="00E362B7" w:rsidRDefault="00E362B7" w:rsidP="00E1667F">
      <w:pPr>
        <w:jc w:val="both"/>
        <w:rPr>
          <w:rFonts w:asciiTheme="majorHAnsi" w:hAnsiTheme="majorHAnsi"/>
        </w:rPr>
      </w:pPr>
    </w:p>
    <w:p w14:paraId="358C1168" w14:textId="77777777" w:rsidR="00054778" w:rsidRDefault="00054778" w:rsidP="00E1667F">
      <w:pPr>
        <w:jc w:val="both"/>
        <w:rPr>
          <w:rFonts w:asciiTheme="majorHAnsi" w:hAnsiTheme="majorHAnsi"/>
        </w:rPr>
      </w:pPr>
    </w:p>
    <w:p w14:paraId="59849354" w14:textId="77777777" w:rsidR="00054778" w:rsidRDefault="00054778" w:rsidP="00E1667F">
      <w:pPr>
        <w:jc w:val="both"/>
        <w:rPr>
          <w:rFonts w:asciiTheme="majorHAnsi" w:hAnsiTheme="majorHAnsi"/>
        </w:rPr>
      </w:pPr>
    </w:p>
    <w:p w14:paraId="4E14E178" w14:textId="77777777" w:rsidR="00054778" w:rsidRDefault="00054778" w:rsidP="00E1667F">
      <w:pPr>
        <w:jc w:val="both"/>
        <w:rPr>
          <w:rFonts w:asciiTheme="majorHAnsi" w:hAnsiTheme="majorHAnsi"/>
        </w:rPr>
      </w:pPr>
    </w:p>
    <w:p w14:paraId="121A9E46" w14:textId="77777777" w:rsidR="00054778" w:rsidRDefault="00054778" w:rsidP="00E1667F">
      <w:pPr>
        <w:jc w:val="both"/>
        <w:rPr>
          <w:rFonts w:asciiTheme="majorHAnsi" w:hAnsiTheme="majorHAnsi"/>
        </w:rPr>
      </w:pPr>
    </w:p>
    <w:p w14:paraId="2236A991" w14:textId="77777777" w:rsidR="00054778" w:rsidRDefault="00054778" w:rsidP="00E1667F">
      <w:pPr>
        <w:jc w:val="both"/>
        <w:rPr>
          <w:rFonts w:asciiTheme="majorHAnsi" w:hAnsiTheme="majorHAnsi"/>
        </w:rPr>
      </w:pPr>
    </w:p>
    <w:p w14:paraId="2613D3C1" w14:textId="4EBA9B03" w:rsidR="00054778" w:rsidRPr="004522FD" w:rsidRDefault="00054778" w:rsidP="00E1667F">
      <w:pPr>
        <w:jc w:val="both"/>
        <w:rPr>
          <w:rFonts w:asciiTheme="majorHAnsi" w:hAnsiTheme="majorHAnsi"/>
          <w:b/>
          <w:color w:val="1F497D" w:themeColor="text2"/>
          <w:sz w:val="28"/>
          <w:szCs w:val="28"/>
        </w:rPr>
      </w:pPr>
    </w:p>
    <w:p w14:paraId="61AF4FCE" w14:textId="77777777" w:rsidR="00054778" w:rsidRDefault="00054778" w:rsidP="00E1667F">
      <w:pPr>
        <w:jc w:val="both"/>
        <w:rPr>
          <w:rFonts w:asciiTheme="majorHAnsi" w:hAnsiTheme="majorHAnsi"/>
        </w:rPr>
      </w:pPr>
    </w:p>
    <w:p w14:paraId="1D95709F" w14:textId="77777777" w:rsidR="00054778" w:rsidRDefault="00054778" w:rsidP="00E1667F">
      <w:pPr>
        <w:jc w:val="both"/>
        <w:rPr>
          <w:rFonts w:asciiTheme="majorHAnsi" w:hAnsiTheme="majorHAnsi"/>
        </w:rPr>
      </w:pPr>
    </w:p>
    <w:p w14:paraId="090E54FD" w14:textId="77777777" w:rsidR="00054778" w:rsidRDefault="00054778" w:rsidP="00E1667F">
      <w:pPr>
        <w:jc w:val="both"/>
        <w:rPr>
          <w:rFonts w:asciiTheme="majorHAnsi" w:hAnsiTheme="majorHAnsi"/>
        </w:rPr>
      </w:pPr>
    </w:p>
    <w:p w14:paraId="05DF1D7E" w14:textId="77777777" w:rsidR="00054778" w:rsidRDefault="00054778" w:rsidP="00E1667F">
      <w:pPr>
        <w:jc w:val="both"/>
        <w:rPr>
          <w:rFonts w:asciiTheme="majorHAnsi" w:hAnsiTheme="majorHAnsi"/>
        </w:rPr>
      </w:pPr>
    </w:p>
    <w:p w14:paraId="5B7B2B5C" w14:textId="77777777" w:rsidR="00054778" w:rsidRDefault="00054778" w:rsidP="00E1667F">
      <w:pPr>
        <w:jc w:val="both"/>
        <w:rPr>
          <w:rFonts w:asciiTheme="majorHAnsi" w:hAnsiTheme="majorHAnsi"/>
        </w:rPr>
      </w:pPr>
    </w:p>
    <w:p w14:paraId="1F3B584B" w14:textId="77777777" w:rsidR="00054778" w:rsidRDefault="00054778" w:rsidP="00E1667F">
      <w:pPr>
        <w:jc w:val="both"/>
        <w:rPr>
          <w:rFonts w:asciiTheme="majorHAnsi" w:hAnsiTheme="majorHAnsi"/>
        </w:rPr>
      </w:pPr>
    </w:p>
    <w:p w14:paraId="42B6EFFD" w14:textId="77777777" w:rsidR="00054778" w:rsidRDefault="00054778" w:rsidP="00E1667F">
      <w:pPr>
        <w:jc w:val="both"/>
        <w:rPr>
          <w:rFonts w:asciiTheme="majorHAnsi" w:hAnsiTheme="majorHAnsi"/>
        </w:rPr>
      </w:pPr>
    </w:p>
    <w:p w14:paraId="7F21A655" w14:textId="77777777" w:rsidR="00054778" w:rsidRDefault="00054778" w:rsidP="00E1667F">
      <w:pPr>
        <w:jc w:val="both"/>
        <w:rPr>
          <w:rFonts w:asciiTheme="majorHAnsi" w:hAnsiTheme="majorHAnsi"/>
        </w:rPr>
      </w:pPr>
    </w:p>
    <w:p w14:paraId="48F6FA86" w14:textId="77777777" w:rsidR="00054778" w:rsidRDefault="00054778" w:rsidP="00E1667F">
      <w:pPr>
        <w:jc w:val="both"/>
        <w:rPr>
          <w:rFonts w:asciiTheme="majorHAnsi" w:hAnsiTheme="majorHAnsi"/>
        </w:rPr>
      </w:pPr>
    </w:p>
    <w:p w14:paraId="45F5B308" w14:textId="77777777" w:rsidR="00054778" w:rsidRDefault="00054778" w:rsidP="00E1667F">
      <w:pPr>
        <w:jc w:val="both"/>
        <w:rPr>
          <w:rFonts w:asciiTheme="majorHAnsi" w:hAnsiTheme="majorHAnsi"/>
        </w:rPr>
      </w:pPr>
    </w:p>
    <w:p w14:paraId="7DE21743" w14:textId="77777777" w:rsidR="00054778" w:rsidRDefault="00054778" w:rsidP="00E1667F">
      <w:pPr>
        <w:jc w:val="both"/>
        <w:rPr>
          <w:rFonts w:asciiTheme="majorHAnsi" w:hAnsiTheme="majorHAnsi"/>
        </w:rPr>
      </w:pPr>
    </w:p>
    <w:p w14:paraId="65A371FA" w14:textId="77777777" w:rsidR="00054778" w:rsidRDefault="00054778" w:rsidP="00E1667F">
      <w:pPr>
        <w:jc w:val="both"/>
        <w:rPr>
          <w:rFonts w:asciiTheme="majorHAnsi" w:hAnsiTheme="majorHAnsi"/>
        </w:rPr>
      </w:pPr>
    </w:p>
    <w:p w14:paraId="4A5881C6" w14:textId="77777777" w:rsidR="00054778" w:rsidRDefault="00054778" w:rsidP="00E1667F">
      <w:pPr>
        <w:jc w:val="both"/>
        <w:rPr>
          <w:rFonts w:asciiTheme="majorHAnsi" w:hAnsiTheme="majorHAnsi"/>
        </w:rPr>
      </w:pPr>
    </w:p>
    <w:p w14:paraId="40776FBB" w14:textId="77777777" w:rsidR="00054778" w:rsidRDefault="00054778" w:rsidP="00E1667F">
      <w:pPr>
        <w:jc w:val="both"/>
        <w:rPr>
          <w:rFonts w:asciiTheme="majorHAnsi" w:hAnsiTheme="majorHAnsi"/>
        </w:rPr>
      </w:pPr>
    </w:p>
    <w:p w14:paraId="41063ADD" w14:textId="77777777" w:rsidR="00054778" w:rsidRDefault="00054778" w:rsidP="00E1667F">
      <w:pPr>
        <w:jc w:val="both"/>
        <w:rPr>
          <w:rFonts w:asciiTheme="majorHAnsi" w:hAnsiTheme="majorHAnsi"/>
        </w:rPr>
      </w:pPr>
    </w:p>
    <w:p w14:paraId="270D19A3" w14:textId="77777777" w:rsidR="00054778" w:rsidRDefault="00054778" w:rsidP="00E1667F">
      <w:pPr>
        <w:jc w:val="both"/>
        <w:rPr>
          <w:rFonts w:asciiTheme="majorHAnsi" w:hAnsiTheme="majorHAnsi"/>
        </w:rPr>
      </w:pPr>
    </w:p>
    <w:p w14:paraId="3C9D4487" w14:textId="77777777" w:rsidR="00054778" w:rsidRDefault="00054778" w:rsidP="00E1667F">
      <w:pPr>
        <w:jc w:val="both"/>
        <w:rPr>
          <w:rFonts w:asciiTheme="majorHAnsi" w:hAnsiTheme="majorHAnsi"/>
        </w:rPr>
      </w:pPr>
    </w:p>
    <w:p w14:paraId="785ABF5D" w14:textId="77777777" w:rsidR="00054778" w:rsidRDefault="00054778" w:rsidP="00E1667F">
      <w:pPr>
        <w:jc w:val="both"/>
        <w:rPr>
          <w:rFonts w:asciiTheme="majorHAnsi" w:hAnsiTheme="majorHAnsi"/>
        </w:rPr>
      </w:pPr>
    </w:p>
    <w:p w14:paraId="4C6C4833" w14:textId="77777777" w:rsidR="00054778" w:rsidRDefault="00054778" w:rsidP="00E1667F">
      <w:pPr>
        <w:jc w:val="both"/>
        <w:rPr>
          <w:rFonts w:asciiTheme="majorHAnsi" w:hAnsiTheme="majorHAnsi"/>
        </w:rPr>
      </w:pPr>
    </w:p>
    <w:p w14:paraId="711A9847" w14:textId="77777777" w:rsidR="00054778" w:rsidRDefault="00054778" w:rsidP="00E1667F">
      <w:pPr>
        <w:jc w:val="both"/>
        <w:rPr>
          <w:rFonts w:asciiTheme="majorHAnsi" w:hAnsiTheme="majorHAnsi"/>
        </w:rPr>
      </w:pPr>
    </w:p>
    <w:p w14:paraId="2450CE23" w14:textId="77777777" w:rsidR="00054778" w:rsidRDefault="00054778" w:rsidP="00E1667F">
      <w:pPr>
        <w:jc w:val="both"/>
        <w:rPr>
          <w:rFonts w:asciiTheme="majorHAnsi" w:hAnsiTheme="majorHAnsi"/>
        </w:rPr>
      </w:pPr>
    </w:p>
    <w:p w14:paraId="4B00CF62" w14:textId="77777777" w:rsidR="00054778" w:rsidRDefault="00054778" w:rsidP="00E1667F">
      <w:pPr>
        <w:jc w:val="both"/>
        <w:rPr>
          <w:rFonts w:asciiTheme="majorHAnsi" w:hAnsiTheme="majorHAnsi"/>
        </w:rPr>
      </w:pPr>
    </w:p>
    <w:p w14:paraId="6A33D679" w14:textId="77777777" w:rsidR="0004617B" w:rsidRPr="0004617B" w:rsidRDefault="0004617B" w:rsidP="000249CB">
      <w:pPr>
        <w:rPr>
          <w:b/>
          <w:color w:val="244061" w:themeColor="accent1" w:themeShade="80"/>
          <w:sz w:val="28"/>
          <w:szCs w:val="28"/>
          <w:lang w:val="en-GB"/>
        </w:rPr>
      </w:pPr>
      <w:r w:rsidRPr="0004617B">
        <w:rPr>
          <w:b/>
          <w:color w:val="244061" w:themeColor="accent1" w:themeShade="80"/>
          <w:sz w:val="28"/>
          <w:szCs w:val="28"/>
          <w:lang w:val="en-GB"/>
        </w:rPr>
        <w:t>CARDIOVASCULAIRE</w:t>
      </w:r>
    </w:p>
    <w:p w14:paraId="65955CC6" w14:textId="77777777" w:rsidR="0004617B" w:rsidRDefault="0004617B" w:rsidP="000249CB">
      <w:pPr>
        <w:rPr>
          <w:color w:val="244061" w:themeColor="accent1" w:themeShade="80"/>
          <w:lang w:val="en-GB"/>
        </w:rPr>
      </w:pPr>
    </w:p>
    <w:p w14:paraId="1048B0D4" w14:textId="61B7DC90" w:rsidR="000249CB" w:rsidRPr="000249CB" w:rsidRDefault="00A73B7B" w:rsidP="000249CB">
      <w:pPr>
        <w:rPr>
          <w:rFonts w:asciiTheme="majorHAnsi" w:hAnsiTheme="majorHAnsi"/>
          <w:b/>
          <w:color w:val="4F81BD" w:themeColor="accent1"/>
          <w:lang w:val="en-GB"/>
        </w:rPr>
      </w:pPr>
      <w:hyperlink r:id="rId16" w:tgtFrame="_blank" w:history="1">
        <w:r w:rsidR="000249CB" w:rsidRPr="000249CB">
          <w:rPr>
            <w:rFonts w:asciiTheme="majorHAnsi" w:hAnsiTheme="majorHAnsi"/>
            <w:b/>
            <w:color w:val="4F81BD" w:themeColor="accent1"/>
            <w:lang w:val="en-GB"/>
          </w:rPr>
          <w:t xml:space="preserve">Effects of </w:t>
        </w:r>
        <w:proofErr w:type="spellStart"/>
        <w:r w:rsidR="000249CB" w:rsidRPr="000249CB">
          <w:rPr>
            <w:rFonts w:asciiTheme="majorHAnsi" w:hAnsiTheme="majorHAnsi"/>
            <w:b/>
            <w:color w:val="4F81BD" w:themeColor="accent1"/>
            <w:lang w:val="en-GB"/>
          </w:rPr>
          <w:t>Anacetrapib</w:t>
        </w:r>
        <w:proofErr w:type="spellEnd"/>
        <w:r w:rsidR="000249CB" w:rsidRPr="000249CB">
          <w:rPr>
            <w:rFonts w:asciiTheme="majorHAnsi" w:hAnsiTheme="majorHAnsi"/>
            <w:b/>
            <w:color w:val="4F81BD" w:themeColor="accent1"/>
            <w:lang w:val="en-GB"/>
          </w:rPr>
          <w:t xml:space="preserve"> in Patients with Atherosclerotic Vascular Disease  </w:t>
        </w:r>
      </w:hyperlink>
    </w:p>
    <w:p w14:paraId="7ACF0AE7" w14:textId="0580E31D" w:rsidR="000E4E77" w:rsidRPr="000249CB" w:rsidRDefault="000E4E77" w:rsidP="000E4E77">
      <w:pPr>
        <w:jc w:val="both"/>
        <w:rPr>
          <w:rFonts w:asciiTheme="majorHAnsi" w:hAnsiTheme="majorHAnsi"/>
          <w:lang w:val="en-GB"/>
        </w:rPr>
      </w:pPr>
      <w:r w:rsidRPr="000249CB">
        <w:rPr>
          <w:rFonts w:asciiTheme="majorHAnsi" w:hAnsiTheme="majorHAnsi"/>
          <w:lang w:val="en-GB"/>
        </w:rPr>
        <w:t>The HPS3/TIMI55-REVEAL Collaborative Group</w:t>
      </w:r>
      <w:r>
        <w:rPr>
          <w:rFonts w:asciiTheme="majorHAnsi" w:hAnsiTheme="majorHAnsi"/>
          <w:lang w:val="en-GB"/>
        </w:rPr>
        <w:t xml:space="preserve">, </w:t>
      </w:r>
      <w:r w:rsidRPr="000249CB">
        <w:rPr>
          <w:rFonts w:asciiTheme="majorHAnsi" w:hAnsiTheme="majorHAnsi"/>
          <w:lang w:val="en-GB"/>
        </w:rPr>
        <w:t xml:space="preserve">N </w:t>
      </w:r>
      <w:proofErr w:type="spellStart"/>
      <w:r w:rsidRPr="000249CB">
        <w:rPr>
          <w:rFonts w:asciiTheme="majorHAnsi" w:hAnsiTheme="majorHAnsi"/>
          <w:lang w:val="en-GB"/>
        </w:rPr>
        <w:t>Engl</w:t>
      </w:r>
      <w:proofErr w:type="spellEnd"/>
      <w:r w:rsidRPr="000249CB">
        <w:rPr>
          <w:rFonts w:asciiTheme="majorHAnsi" w:hAnsiTheme="majorHAnsi"/>
          <w:lang w:val="en-GB"/>
        </w:rPr>
        <w:t xml:space="preserve"> J Med, August 28, 2017</w:t>
      </w:r>
    </w:p>
    <w:p w14:paraId="16B58E4D" w14:textId="692F521B" w:rsidR="00A73B7B" w:rsidRPr="000249CB" w:rsidRDefault="000249CB" w:rsidP="00A73B7B">
      <w:pPr>
        <w:jc w:val="both"/>
        <w:rPr>
          <w:rFonts w:asciiTheme="majorHAnsi" w:hAnsiTheme="majorHAnsi"/>
          <w:lang w:val="en-GB"/>
        </w:rPr>
      </w:pPr>
      <w:r w:rsidRPr="000249CB">
        <w:rPr>
          <w:lang w:val="en-GB"/>
        </w:rPr>
        <w:cr/>
      </w:r>
      <w:hyperlink r:id="rId17" w:history="1">
        <w:r w:rsidR="00A73B7B" w:rsidRPr="0007555D">
          <w:rPr>
            <w:rStyle w:val="Lienhypertexte"/>
            <w:rFonts w:asciiTheme="majorHAnsi" w:hAnsiTheme="majorHAnsi"/>
            <w:lang w:val="en-GB"/>
          </w:rPr>
          <w:t>https://www.ncbi.nlm.nih.gov/pubmed/28847206</w:t>
        </w:r>
      </w:hyperlink>
      <w:r w:rsidR="00A73B7B">
        <w:rPr>
          <w:rFonts w:asciiTheme="majorHAnsi" w:hAnsiTheme="majorHAnsi"/>
          <w:lang w:val="en-GB"/>
        </w:rPr>
        <w:t xml:space="preserve"> </w:t>
      </w:r>
    </w:p>
    <w:p w14:paraId="51F560FC" w14:textId="4E20DA0B" w:rsidR="000249CB" w:rsidRPr="000249CB" w:rsidRDefault="00A73B7B" w:rsidP="00A73B7B">
      <w:pPr>
        <w:pStyle w:val="Titre4"/>
        <w:shd w:val="clear" w:color="auto" w:fill="FFFFFF"/>
        <w:spacing w:before="0"/>
        <w:ind w:right="60"/>
        <w:rPr>
          <w:i w:val="0"/>
          <w:color w:val="4F81BD" w:themeColor="accent1"/>
        </w:rPr>
      </w:pPr>
      <w:r w:rsidRPr="000249CB">
        <w:rPr>
          <w:lang w:val="en-GB"/>
        </w:rPr>
        <w:cr/>
      </w:r>
      <w:r w:rsidR="000249CB" w:rsidRPr="000249CB">
        <w:rPr>
          <w:i w:val="0"/>
          <w:color w:val="4F81BD" w:themeColor="accent1"/>
        </w:rPr>
        <w:t>Introduction</w:t>
      </w:r>
    </w:p>
    <w:p w14:paraId="6F66DEF4" w14:textId="77777777" w:rsidR="000249CB" w:rsidRPr="000E4E77" w:rsidRDefault="000249CB" w:rsidP="000249CB">
      <w:pPr>
        <w:pStyle w:val="Titre4"/>
        <w:shd w:val="clear" w:color="auto" w:fill="FFFFFF"/>
        <w:spacing w:before="0"/>
        <w:ind w:right="60"/>
        <w:rPr>
          <w:rFonts w:cstheme="majorHAnsi"/>
          <w:i w:val="0"/>
          <w:color w:val="auto"/>
        </w:rPr>
      </w:pPr>
      <w:r w:rsidRPr="000E4E77">
        <w:rPr>
          <w:rFonts w:cstheme="majorHAnsi"/>
          <w:i w:val="0"/>
          <w:color w:val="auto"/>
        </w:rPr>
        <w:t>Le risqué cardiovasculaire est élevé chez les patients présentant une athérosclérose. L’inhibition par l’</w:t>
      </w:r>
      <w:proofErr w:type="spellStart"/>
      <w:r w:rsidRPr="000E4E77">
        <w:rPr>
          <w:rFonts w:cstheme="majorHAnsi"/>
          <w:i w:val="0"/>
          <w:color w:val="auto"/>
        </w:rPr>
        <w:t>Anacetrapib</w:t>
      </w:r>
      <w:proofErr w:type="spellEnd"/>
      <w:r w:rsidRPr="000E4E77">
        <w:rPr>
          <w:rFonts w:cstheme="majorHAnsi"/>
          <w:i w:val="0"/>
          <w:color w:val="auto"/>
        </w:rPr>
        <w:t xml:space="preserve"> de la </w:t>
      </w:r>
      <w:proofErr w:type="spellStart"/>
      <w:r w:rsidRPr="000E4E77">
        <w:rPr>
          <w:rFonts w:cstheme="majorHAnsi"/>
          <w:i w:val="0"/>
          <w:color w:val="auto"/>
        </w:rPr>
        <w:t>proteine</w:t>
      </w:r>
      <w:proofErr w:type="spellEnd"/>
      <w:r w:rsidRPr="000E4E77">
        <w:rPr>
          <w:rFonts w:cstheme="majorHAnsi"/>
          <w:i w:val="0"/>
          <w:color w:val="auto"/>
        </w:rPr>
        <w:t xml:space="preserve"> CETP (</w:t>
      </w:r>
      <w:proofErr w:type="spellStart"/>
      <w:r w:rsidRPr="000E4E77">
        <w:rPr>
          <w:rFonts w:cstheme="majorHAnsi"/>
          <w:i w:val="0"/>
          <w:color w:val="000000"/>
        </w:rPr>
        <w:t>cholesteryl</w:t>
      </w:r>
      <w:proofErr w:type="spellEnd"/>
      <w:r w:rsidRPr="000E4E77">
        <w:rPr>
          <w:rFonts w:cstheme="majorHAnsi"/>
          <w:i w:val="0"/>
          <w:color w:val="000000"/>
        </w:rPr>
        <w:t xml:space="preserve"> ester </w:t>
      </w:r>
      <w:proofErr w:type="spellStart"/>
      <w:r w:rsidRPr="000E4E77">
        <w:rPr>
          <w:rFonts w:cstheme="majorHAnsi"/>
          <w:i w:val="0"/>
          <w:color w:val="000000"/>
        </w:rPr>
        <w:t>transfer</w:t>
      </w:r>
      <w:proofErr w:type="spellEnd"/>
      <w:r w:rsidRPr="000E4E77">
        <w:rPr>
          <w:rFonts w:cstheme="majorHAnsi"/>
          <w:i w:val="0"/>
          <w:color w:val="000000"/>
        </w:rPr>
        <w:t xml:space="preserve"> </w:t>
      </w:r>
      <w:proofErr w:type="spellStart"/>
      <w:r w:rsidRPr="000E4E77">
        <w:rPr>
          <w:rFonts w:cstheme="majorHAnsi"/>
          <w:i w:val="0"/>
          <w:color w:val="000000"/>
        </w:rPr>
        <w:t>protein</w:t>
      </w:r>
      <w:proofErr w:type="spellEnd"/>
      <w:r w:rsidRPr="000E4E77">
        <w:rPr>
          <w:rFonts w:cstheme="majorHAnsi"/>
          <w:i w:val="0"/>
          <w:color w:val="auto"/>
        </w:rPr>
        <w:t xml:space="preserve">) réduit le niveau de cholestérol LDL et augmente le cholestérol HDL. </w:t>
      </w:r>
    </w:p>
    <w:p w14:paraId="0FAB4A47" w14:textId="77777777" w:rsidR="000249CB" w:rsidRPr="000E4E77" w:rsidRDefault="000249CB" w:rsidP="000249CB">
      <w:pPr>
        <w:pStyle w:val="Titre4"/>
        <w:shd w:val="clear" w:color="auto" w:fill="FFFFFF"/>
        <w:spacing w:before="0"/>
        <w:ind w:right="60"/>
        <w:rPr>
          <w:rFonts w:cstheme="majorHAnsi"/>
          <w:i w:val="0"/>
          <w:color w:val="auto"/>
        </w:rPr>
      </w:pPr>
      <w:r w:rsidRPr="000E4E77">
        <w:rPr>
          <w:rFonts w:cstheme="majorHAnsi"/>
          <w:i w:val="0"/>
          <w:color w:val="auto"/>
        </w:rPr>
        <w:t xml:space="preserve">Objectif </w:t>
      </w:r>
    </w:p>
    <w:p w14:paraId="6938D6E9" w14:textId="6C5843FA" w:rsidR="000249CB" w:rsidRDefault="000249CB" w:rsidP="000249CB">
      <w:pPr>
        <w:pStyle w:val="Titre4"/>
        <w:shd w:val="clear" w:color="auto" w:fill="FFFFFF"/>
        <w:spacing w:before="0"/>
        <w:ind w:right="60"/>
        <w:rPr>
          <w:rFonts w:cstheme="majorHAnsi"/>
          <w:i w:val="0"/>
          <w:color w:val="auto"/>
        </w:rPr>
      </w:pPr>
      <w:r w:rsidRPr="000E4E77">
        <w:rPr>
          <w:rFonts w:cstheme="majorHAnsi"/>
          <w:i w:val="0"/>
          <w:color w:val="auto"/>
        </w:rPr>
        <w:t>Vérifier sir l’</w:t>
      </w:r>
      <w:proofErr w:type="spellStart"/>
      <w:r w:rsidRPr="000E4E77">
        <w:rPr>
          <w:rFonts w:cstheme="majorHAnsi"/>
          <w:i w:val="0"/>
          <w:color w:val="auto"/>
        </w:rPr>
        <w:t>Anacetrapib</w:t>
      </w:r>
      <w:proofErr w:type="spellEnd"/>
      <w:r w:rsidRPr="000E4E77">
        <w:rPr>
          <w:rFonts w:cstheme="majorHAnsi"/>
          <w:i w:val="0"/>
          <w:color w:val="auto"/>
        </w:rPr>
        <w:t xml:space="preserve"> permet une </w:t>
      </w:r>
      <w:r w:rsidR="00FF6684" w:rsidRPr="000E4E77">
        <w:rPr>
          <w:rFonts w:cstheme="majorHAnsi"/>
          <w:i w:val="0"/>
          <w:color w:val="auto"/>
        </w:rPr>
        <w:t xml:space="preserve">diminution du </w:t>
      </w:r>
      <w:r w:rsidR="00963B8E" w:rsidRPr="000E4E77">
        <w:rPr>
          <w:rFonts w:cstheme="majorHAnsi"/>
          <w:i w:val="0"/>
          <w:color w:val="auto"/>
        </w:rPr>
        <w:t xml:space="preserve">risque de </w:t>
      </w:r>
      <w:r w:rsidR="00FF6684" w:rsidRPr="000E4E77">
        <w:rPr>
          <w:rFonts w:cstheme="majorHAnsi"/>
          <w:i w:val="0"/>
          <w:color w:val="auto"/>
        </w:rPr>
        <w:t xml:space="preserve">présenter un accident </w:t>
      </w:r>
      <w:proofErr w:type="gramStart"/>
      <w:r w:rsidR="00FF6684" w:rsidRPr="000E4E77">
        <w:rPr>
          <w:rFonts w:cstheme="majorHAnsi"/>
          <w:i w:val="0"/>
          <w:color w:val="auto"/>
        </w:rPr>
        <w:t>cardiovasculaire  chez</w:t>
      </w:r>
      <w:proofErr w:type="gramEnd"/>
      <w:r w:rsidR="00FF6684" w:rsidRPr="000E4E77">
        <w:rPr>
          <w:rFonts w:cstheme="majorHAnsi"/>
          <w:i w:val="0"/>
          <w:color w:val="auto"/>
        </w:rPr>
        <w:t xml:space="preserve"> les patients déjà sous haute dose d’atorvastatine</w:t>
      </w:r>
      <w:r w:rsidR="000E4E77" w:rsidRPr="000E4E77">
        <w:rPr>
          <w:rFonts w:cstheme="majorHAnsi"/>
          <w:i w:val="0"/>
          <w:color w:val="auto"/>
        </w:rPr>
        <w:t>.</w:t>
      </w:r>
    </w:p>
    <w:p w14:paraId="1134B06E" w14:textId="77777777" w:rsidR="00771496" w:rsidRPr="00771496" w:rsidRDefault="00771496" w:rsidP="00771496"/>
    <w:p w14:paraId="721C183B" w14:textId="77777777" w:rsidR="000249CB" w:rsidRPr="00771496" w:rsidRDefault="000249CB" w:rsidP="000249CB">
      <w:pPr>
        <w:pStyle w:val="Titre4"/>
        <w:shd w:val="clear" w:color="auto" w:fill="FFFFFF"/>
        <w:spacing w:before="0"/>
        <w:ind w:right="60"/>
        <w:rPr>
          <w:rFonts w:cstheme="majorHAnsi"/>
          <w:i w:val="0"/>
          <w:color w:val="0070C0"/>
        </w:rPr>
      </w:pPr>
      <w:proofErr w:type="spellStart"/>
      <w:r w:rsidRPr="00771496">
        <w:rPr>
          <w:rFonts w:cstheme="majorHAnsi"/>
          <w:i w:val="0"/>
          <w:color w:val="0070C0"/>
        </w:rPr>
        <w:t>Methode</w:t>
      </w:r>
      <w:proofErr w:type="spellEnd"/>
    </w:p>
    <w:p w14:paraId="3859C87A" w14:textId="2D6120F0" w:rsidR="000249CB" w:rsidRPr="000E4E77" w:rsidRDefault="000249CB" w:rsidP="0056112B">
      <w:pPr>
        <w:pStyle w:val="Titre4"/>
        <w:shd w:val="clear" w:color="auto" w:fill="FFFFFF"/>
        <w:spacing w:before="0"/>
        <w:ind w:right="60"/>
        <w:rPr>
          <w:rFonts w:cstheme="majorHAnsi"/>
          <w:i w:val="0"/>
          <w:color w:val="auto"/>
        </w:rPr>
      </w:pPr>
      <w:r w:rsidRPr="000E4E77">
        <w:rPr>
          <w:rFonts w:cstheme="majorHAnsi"/>
          <w:i w:val="0"/>
          <w:color w:val="auto"/>
        </w:rPr>
        <w:t>Etude randomisée, contrôlée contre placebo en double aveugle,</w:t>
      </w:r>
      <w:r w:rsidR="0056112B" w:rsidRPr="000E4E77">
        <w:rPr>
          <w:rFonts w:cstheme="majorHAnsi"/>
          <w:i w:val="0"/>
          <w:color w:val="auto"/>
        </w:rPr>
        <w:t xml:space="preserve"> mondiale (Chine, Amérique du Nord, Europe). 30 449 patients furent </w:t>
      </w:r>
      <w:proofErr w:type="gramStart"/>
      <w:r w:rsidR="0056112B" w:rsidRPr="000E4E77">
        <w:rPr>
          <w:rFonts w:cstheme="majorHAnsi"/>
          <w:i w:val="0"/>
          <w:color w:val="auto"/>
        </w:rPr>
        <w:t>inclut</w:t>
      </w:r>
      <w:proofErr w:type="gramEnd"/>
      <w:r w:rsidR="0056112B" w:rsidRPr="000E4E77">
        <w:rPr>
          <w:rFonts w:cstheme="majorHAnsi"/>
          <w:i w:val="0"/>
          <w:color w:val="auto"/>
        </w:rPr>
        <w:t xml:space="preserve"> avec maladie athéromateuse vasculaire (homme ou femme&gt; 50 ans, avec ATCD IDM, AVC, AOMI, diabète associé à maladie coronarienne symptomatique). Les critères d’exclusions étaient : AVC/IDM de moins de 3 mois, insuffisance rénale/hépatocellulaire sévères, maladie musculaire inflammatoire, utilisation d’un </w:t>
      </w:r>
      <w:proofErr w:type="spellStart"/>
      <w:r w:rsidR="0056112B" w:rsidRPr="000E4E77">
        <w:rPr>
          <w:rFonts w:cstheme="majorHAnsi"/>
          <w:i w:val="0"/>
          <w:color w:val="auto"/>
        </w:rPr>
        <w:t>fibrate</w:t>
      </w:r>
      <w:proofErr w:type="spellEnd"/>
      <w:r w:rsidR="0056112B" w:rsidRPr="000E4E77">
        <w:rPr>
          <w:rFonts w:cstheme="majorHAnsi"/>
          <w:i w:val="0"/>
          <w:color w:val="auto"/>
        </w:rPr>
        <w:t>/niacine/atorvastatine ou tout autre médicament avec possédant une interaction médicamenteuse avec l’</w:t>
      </w:r>
      <w:proofErr w:type="spellStart"/>
      <w:r w:rsidR="0056112B" w:rsidRPr="000E4E77">
        <w:rPr>
          <w:rFonts w:cstheme="majorHAnsi"/>
          <w:i w:val="0"/>
          <w:color w:val="auto"/>
        </w:rPr>
        <w:t>Anacetrapib</w:t>
      </w:r>
      <w:proofErr w:type="spellEnd"/>
      <w:r w:rsidR="0056112B" w:rsidRPr="000E4E77">
        <w:rPr>
          <w:rFonts w:cstheme="majorHAnsi"/>
          <w:i w:val="0"/>
          <w:color w:val="auto"/>
        </w:rPr>
        <w:t>, mauvaise observance thérapeutique suspectée.</w:t>
      </w:r>
    </w:p>
    <w:p w14:paraId="4404EA87" w14:textId="77777777" w:rsidR="00FF6684" w:rsidRPr="000E4E77" w:rsidRDefault="00FF6684" w:rsidP="00FF6684">
      <w:pPr>
        <w:rPr>
          <w:rFonts w:asciiTheme="majorHAnsi" w:hAnsiTheme="majorHAnsi" w:cstheme="majorHAnsi"/>
        </w:rPr>
      </w:pPr>
      <w:r w:rsidRPr="000E4E77">
        <w:rPr>
          <w:rFonts w:asciiTheme="majorHAnsi" w:hAnsiTheme="majorHAnsi" w:cstheme="majorHAnsi"/>
        </w:rPr>
        <w:t xml:space="preserve">Le taux de LDL avant étude, sous atorvastatine était de 61 mg/dl, le HDL de 40 mg/dl. </w:t>
      </w:r>
    </w:p>
    <w:p w14:paraId="40188AB1" w14:textId="327B607D" w:rsidR="00FF6684" w:rsidRPr="000E4E77" w:rsidRDefault="00FF6684" w:rsidP="00FF6684">
      <w:pPr>
        <w:rPr>
          <w:rFonts w:asciiTheme="majorHAnsi" w:hAnsiTheme="majorHAnsi" w:cstheme="majorHAnsi"/>
        </w:rPr>
      </w:pPr>
      <w:r w:rsidRPr="000E4E77">
        <w:rPr>
          <w:rFonts w:asciiTheme="majorHAnsi" w:hAnsiTheme="majorHAnsi" w:cstheme="majorHAnsi"/>
        </w:rPr>
        <w:lastRenderedPageBreak/>
        <w:t xml:space="preserve">Les patients recevaient 100mg de </w:t>
      </w:r>
      <w:proofErr w:type="spellStart"/>
      <w:r w:rsidRPr="000E4E77">
        <w:rPr>
          <w:rFonts w:asciiTheme="majorHAnsi" w:hAnsiTheme="majorHAnsi" w:cstheme="majorHAnsi"/>
        </w:rPr>
        <w:t>Anacetrapib</w:t>
      </w:r>
      <w:proofErr w:type="spellEnd"/>
      <w:r w:rsidRPr="000E4E77">
        <w:rPr>
          <w:rFonts w:asciiTheme="majorHAnsi" w:hAnsiTheme="majorHAnsi" w:cstheme="majorHAnsi"/>
        </w:rPr>
        <w:t xml:space="preserve"> une fois par jour </w:t>
      </w:r>
      <w:proofErr w:type="gramStart"/>
      <w:r w:rsidRPr="000E4E77">
        <w:rPr>
          <w:rFonts w:asciiTheme="majorHAnsi" w:hAnsiTheme="majorHAnsi" w:cstheme="majorHAnsi"/>
        </w:rPr>
        <w:t>( 15225</w:t>
      </w:r>
      <w:proofErr w:type="gramEnd"/>
      <w:r w:rsidRPr="000E4E77">
        <w:rPr>
          <w:rFonts w:asciiTheme="majorHAnsi" w:hAnsiTheme="majorHAnsi" w:cstheme="majorHAnsi"/>
        </w:rPr>
        <w:t xml:space="preserve"> patients) ou du placebo ( 15224 patients).</w:t>
      </w:r>
    </w:p>
    <w:p w14:paraId="3CF423D1" w14:textId="323A0BDC" w:rsidR="00963B8E" w:rsidRPr="000E4E77" w:rsidRDefault="00963B8E" w:rsidP="00FF6684">
      <w:pPr>
        <w:rPr>
          <w:rFonts w:asciiTheme="majorHAnsi" w:hAnsiTheme="majorHAnsi" w:cstheme="majorHAnsi"/>
        </w:rPr>
      </w:pPr>
      <w:r w:rsidRPr="000E4E77">
        <w:rPr>
          <w:rFonts w:asciiTheme="majorHAnsi" w:hAnsiTheme="majorHAnsi" w:cstheme="majorHAnsi"/>
        </w:rPr>
        <w:t>Le critère principal de jugement était le délai d’apparition du</w:t>
      </w:r>
      <w:r w:rsidR="000E4E77">
        <w:rPr>
          <w:rFonts w:asciiTheme="majorHAnsi" w:hAnsiTheme="majorHAnsi" w:cstheme="majorHAnsi"/>
        </w:rPr>
        <w:t xml:space="preserve"> premier évènement coronarien (</w:t>
      </w:r>
      <w:r w:rsidRPr="000E4E77">
        <w:rPr>
          <w:rFonts w:asciiTheme="majorHAnsi" w:hAnsiTheme="majorHAnsi" w:cstheme="majorHAnsi"/>
        </w:rPr>
        <w:t xml:space="preserve">critère composite comprenant : mort d’origine coronarienne, IDM ou revascularisation coronarienne). </w:t>
      </w:r>
    </w:p>
    <w:p w14:paraId="159EAB72" w14:textId="20A2B1AD" w:rsidR="00963B8E" w:rsidRPr="000E4E77" w:rsidRDefault="00963B8E" w:rsidP="00FF6684">
      <w:pPr>
        <w:rPr>
          <w:rFonts w:asciiTheme="majorHAnsi" w:hAnsiTheme="majorHAnsi" w:cstheme="majorHAnsi"/>
        </w:rPr>
      </w:pPr>
      <w:r w:rsidRPr="000E4E77">
        <w:rPr>
          <w:rFonts w:asciiTheme="majorHAnsi" w:hAnsiTheme="majorHAnsi" w:cstheme="majorHAnsi"/>
        </w:rPr>
        <w:t xml:space="preserve">Résultats </w:t>
      </w:r>
    </w:p>
    <w:p w14:paraId="1C87005C" w14:textId="3BB5577B" w:rsidR="000E4E77" w:rsidRPr="000E4E77" w:rsidRDefault="000E4E77" w:rsidP="00FF6684">
      <w:pPr>
        <w:rPr>
          <w:rFonts w:asciiTheme="majorHAnsi" w:hAnsiTheme="majorHAnsi" w:cstheme="majorHAnsi"/>
        </w:rPr>
      </w:pPr>
      <w:r w:rsidRPr="000E4E77">
        <w:rPr>
          <w:rFonts w:asciiTheme="majorHAnsi" w:hAnsiTheme="majorHAnsi" w:cstheme="majorHAnsi"/>
        </w:rPr>
        <w:t xml:space="preserve">La durée de suivi médiane était de 4 ans. </w:t>
      </w:r>
    </w:p>
    <w:p w14:paraId="083D0F09" w14:textId="4A039DEA" w:rsidR="00FF6684" w:rsidRPr="000E4E77" w:rsidRDefault="00963B8E" w:rsidP="00FF6684">
      <w:pPr>
        <w:rPr>
          <w:rFonts w:asciiTheme="majorHAnsi" w:hAnsiTheme="majorHAnsi" w:cstheme="majorHAnsi"/>
        </w:rPr>
      </w:pPr>
      <w:r w:rsidRPr="000E4E77">
        <w:rPr>
          <w:rFonts w:asciiTheme="majorHAnsi" w:hAnsiTheme="majorHAnsi" w:cstheme="majorHAnsi"/>
        </w:rPr>
        <w:t>L’âge</w:t>
      </w:r>
      <w:r w:rsidR="00FF6684" w:rsidRPr="000E4E77">
        <w:rPr>
          <w:rFonts w:asciiTheme="majorHAnsi" w:hAnsiTheme="majorHAnsi" w:cstheme="majorHAnsi"/>
        </w:rPr>
        <w:t xml:space="preserve"> médian moyen était de 67 ans. Une histoire coronarienne était rapportée dans 88% des cas, </w:t>
      </w:r>
      <w:proofErr w:type="spellStart"/>
      <w:r w:rsidR="00FF6684" w:rsidRPr="000E4E77">
        <w:rPr>
          <w:rFonts w:asciiTheme="majorHAnsi" w:hAnsiTheme="majorHAnsi" w:cstheme="majorHAnsi"/>
        </w:rPr>
        <w:t>cérébrovasculaire</w:t>
      </w:r>
      <w:proofErr w:type="spellEnd"/>
      <w:r w:rsidR="00FF6684" w:rsidRPr="000E4E77">
        <w:rPr>
          <w:rFonts w:asciiTheme="majorHAnsi" w:hAnsiTheme="majorHAnsi" w:cstheme="majorHAnsi"/>
        </w:rPr>
        <w:t xml:space="preserve"> dans 22%, artérielle périphérique dans 8% des cas et un diabète dans 37%.  </w:t>
      </w:r>
    </w:p>
    <w:p w14:paraId="2F4F1749" w14:textId="5161BC95" w:rsidR="00FF6684" w:rsidRPr="000E4E77" w:rsidRDefault="00963B8E" w:rsidP="00FF6684">
      <w:pPr>
        <w:rPr>
          <w:rFonts w:asciiTheme="majorHAnsi" w:hAnsiTheme="majorHAnsi" w:cstheme="majorHAnsi"/>
        </w:rPr>
      </w:pPr>
      <w:r w:rsidRPr="000E4E77">
        <w:rPr>
          <w:rFonts w:asciiTheme="majorHAnsi" w:hAnsiTheme="majorHAnsi" w:cstheme="majorHAnsi"/>
        </w:rPr>
        <w:t xml:space="preserve">Pendant la période de suivi de 4.1 ans, le critère principal de jugement était moins souvent atteint dans le groupe </w:t>
      </w:r>
      <w:proofErr w:type="spellStart"/>
      <w:r w:rsidRPr="000E4E77">
        <w:rPr>
          <w:rFonts w:asciiTheme="majorHAnsi" w:hAnsiTheme="majorHAnsi" w:cstheme="majorHAnsi"/>
        </w:rPr>
        <w:t>Anacetrapib</w:t>
      </w:r>
      <w:proofErr w:type="spellEnd"/>
      <w:r w:rsidRPr="000E4E77">
        <w:rPr>
          <w:rFonts w:asciiTheme="majorHAnsi" w:hAnsiTheme="majorHAnsi" w:cstheme="majorHAnsi"/>
        </w:rPr>
        <w:t xml:space="preserve"> que dans le groupe placebo </w:t>
      </w:r>
      <w:proofErr w:type="gramStart"/>
      <w:r w:rsidRPr="000E4E77">
        <w:rPr>
          <w:rFonts w:asciiTheme="majorHAnsi" w:hAnsiTheme="majorHAnsi" w:cstheme="majorHAnsi"/>
        </w:rPr>
        <w:t>( 1640</w:t>
      </w:r>
      <w:proofErr w:type="gramEnd"/>
      <w:r w:rsidRPr="000E4E77">
        <w:rPr>
          <w:rFonts w:asciiTheme="majorHAnsi" w:hAnsiTheme="majorHAnsi" w:cstheme="majorHAnsi"/>
        </w:rPr>
        <w:t xml:space="preserve"> de 15225 patients ( 10.8%) vs 1803 des 15224 patients ( 11.8%), RR 0.91, p : 004). La tendance était la même si l’on regardait les différents critères du critère composite). Le niveau de cholestérol HDL était augmenté de 43 mg/dl dans le groupe </w:t>
      </w:r>
      <w:proofErr w:type="spellStart"/>
      <w:r w:rsidRPr="000E4E77">
        <w:rPr>
          <w:rFonts w:asciiTheme="majorHAnsi" w:hAnsiTheme="majorHAnsi" w:cstheme="majorHAnsi"/>
        </w:rPr>
        <w:t>anacetrapib</w:t>
      </w:r>
      <w:proofErr w:type="spellEnd"/>
      <w:r w:rsidRPr="000E4E77">
        <w:rPr>
          <w:rFonts w:asciiTheme="majorHAnsi" w:hAnsiTheme="majorHAnsi" w:cstheme="majorHAnsi"/>
        </w:rPr>
        <w:t xml:space="preserve"> versus groupe placebo, et le non HDL diminué de 17 mg/dl </w:t>
      </w:r>
      <w:proofErr w:type="gramStart"/>
      <w:r w:rsidRPr="000E4E77">
        <w:rPr>
          <w:rFonts w:asciiTheme="majorHAnsi" w:hAnsiTheme="majorHAnsi" w:cstheme="majorHAnsi"/>
        </w:rPr>
        <w:t>( différence</w:t>
      </w:r>
      <w:proofErr w:type="gramEnd"/>
      <w:r w:rsidRPr="000E4E77">
        <w:rPr>
          <w:rFonts w:asciiTheme="majorHAnsi" w:hAnsiTheme="majorHAnsi" w:cstheme="majorHAnsi"/>
        </w:rPr>
        <w:t xml:space="preserve"> relative de -18%). Il n’existait pas de différence </w:t>
      </w:r>
      <w:r w:rsidR="000E4E77" w:rsidRPr="000E4E77">
        <w:rPr>
          <w:rFonts w:asciiTheme="majorHAnsi" w:hAnsiTheme="majorHAnsi" w:cstheme="majorHAnsi"/>
        </w:rPr>
        <w:t xml:space="preserve">quant au nombre de </w:t>
      </w:r>
      <w:proofErr w:type="spellStart"/>
      <w:r w:rsidR="000E4E77" w:rsidRPr="000E4E77">
        <w:rPr>
          <w:rFonts w:asciiTheme="majorHAnsi" w:hAnsiTheme="majorHAnsi" w:cstheme="majorHAnsi"/>
        </w:rPr>
        <w:t>déces</w:t>
      </w:r>
      <w:proofErr w:type="spellEnd"/>
      <w:r w:rsidR="000E4E77" w:rsidRPr="000E4E77">
        <w:rPr>
          <w:rFonts w:asciiTheme="majorHAnsi" w:hAnsiTheme="majorHAnsi" w:cstheme="majorHAnsi"/>
        </w:rPr>
        <w:t xml:space="preserve">, de cancer ou d’effets indésirables graves. </w:t>
      </w:r>
    </w:p>
    <w:p w14:paraId="2D8C7579" w14:textId="00837888" w:rsidR="000E4E77" w:rsidRPr="000E4E77" w:rsidRDefault="000E4E77" w:rsidP="00FF6684">
      <w:pPr>
        <w:rPr>
          <w:rFonts w:asciiTheme="majorHAnsi" w:hAnsiTheme="majorHAnsi" w:cstheme="majorHAnsi"/>
        </w:rPr>
      </w:pPr>
    </w:p>
    <w:p w14:paraId="4EB39727" w14:textId="34365793" w:rsidR="000E4E77" w:rsidRPr="0004617B" w:rsidRDefault="000E4E77" w:rsidP="00FF6684">
      <w:pPr>
        <w:rPr>
          <w:rFonts w:asciiTheme="majorHAnsi" w:hAnsiTheme="majorHAnsi" w:cstheme="majorHAnsi"/>
          <w:color w:val="4F81BD" w:themeColor="accent1"/>
        </w:rPr>
      </w:pPr>
      <w:r w:rsidRPr="0004617B">
        <w:rPr>
          <w:rFonts w:asciiTheme="majorHAnsi" w:hAnsiTheme="majorHAnsi" w:cstheme="majorHAnsi"/>
          <w:color w:val="4F81BD" w:themeColor="accent1"/>
        </w:rPr>
        <w:t xml:space="preserve">Conclusion </w:t>
      </w:r>
    </w:p>
    <w:p w14:paraId="23CA6577" w14:textId="3C95760D" w:rsidR="000E4E77" w:rsidRDefault="000E4E77" w:rsidP="00FF6684">
      <w:pPr>
        <w:rPr>
          <w:rFonts w:asciiTheme="majorHAnsi" w:hAnsiTheme="majorHAnsi" w:cstheme="majorHAnsi"/>
        </w:rPr>
      </w:pPr>
      <w:r w:rsidRPr="000E4E77">
        <w:rPr>
          <w:rFonts w:asciiTheme="majorHAnsi" w:hAnsiTheme="majorHAnsi" w:cstheme="majorHAnsi"/>
        </w:rPr>
        <w:t>Parmi les patients avec une pathologie cardiovasculaire recevant une thérapie à base de statine, l’utilisation de l’</w:t>
      </w:r>
      <w:proofErr w:type="spellStart"/>
      <w:r w:rsidRPr="000E4E77">
        <w:rPr>
          <w:rFonts w:asciiTheme="majorHAnsi" w:hAnsiTheme="majorHAnsi" w:cstheme="majorHAnsi"/>
        </w:rPr>
        <w:t>anacetrapib</w:t>
      </w:r>
      <w:proofErr w:type="spellEnd"/>
      <w:r w:rsidRPr="000E4E77">
        <w:rPr>
          <w:rFonts w:asciiTheme="majorHAnsi" w:hAnsiTheme="majorHAnsi" w:cstheme="majorHAnsi"/>
        </w:rPr>
        <w:t xml:space="preserve"> permettait une diminution du risque d’accident coronarien versus placebo. </w:t>
      </w:r>
    </w:p>
    <w:p w14:paraId="4CDE9222" w14:textId="11991226" w:rsidR="000E4E77" w:rsidRDefault="000E4E77" w:rsidP="00FF6684">
      <w:pPr>
        <w:rPr>
          <w:rFonts w:asciiTheme="majorHAnsi" w:hAnsiTheme="majorHAnsi" w:cstheme="majorHAnsi"/>
        </w:rPr>
      </w:pPr>
    </w:p>
    <w:p w14:paraId="3859EF95" w14:textId="77777777" w:rsidR="000E4E77" w:rsidRPr="000E4E77" w:rsidRDefault="000E4E77" w:rsidP="00FF6684">
      <w:pPr>
        <w:rPr>
          <w:rFonts w:asciiTheme="majorHAnsi" w:hAnsiTheme="majorHAnsi" w:cstheme="majorHAnsi"/>
        </w:rPr>
      </w:pPr>
    </w:p>
    <w:p w14:paraId="64C8DAED" w14:textId="77777777" w:rsidR="000249CB" w:rsidRPr="000E4E77" w:rsidRDefault="000249CB" w:rsidP="000249CB">
      <w:pPr>
        <w:jc w:val="both"/>
        <w:rPr>
          <w:rFonts w:asciiTheme="majorHAnsi" w:hAnsiTheme="majorHAnsi"/>
          <w:b/>
          <w:color w:val="4F81BD" w:themeColor="accent1"/>
          <w:lang w:val="en-GB"/>
        </w:rPr>
      </w:pPr>
      <w:r w:rsidRPr="000E4E77">
        <w:rPr>
          <w:rFonts w:asciiTheme="majorHAnsi" w:hAnsiTheme="majorHAnsi"/>
          <w:b/>
          <w:color w:val="4F81BD" w:themeColor="accent1"/>
          <w:lang w:val="en-GB"/>
        </w:rPr>
        <w:t xml:space="preserve">Patent Foramen </w:t>
      </w:r>
      <w:proofErr w:type="spellStart"/>
      <w:r w:rsidRPr="000E4E77">
        <w:rPr>
          <w:rFonts w:asciiTheme="majorHAnsi" w:hAnsiTheme="majorHAnsi"/>
          <w:b/>
          <w:color w:val="4F81BD" w:themeColor="accent1"/>
          <w:lang w:val="en-GB"/>
        </w:rPr>
        <w:t>Ovale</w:t>
      </w:r>
      <w:proofErr w:type="spellEnd"/>
      <w:r w:rsidRPr="000E4E77">
        <w:rPr>
          <w:rFonts w:asciiTheme="majorHAnsi" w:hAnsiTheme="majorHAnsi"/>
          <w:b/>
          <w:color w:val="4F81BD" w:themeColor="accent1"/>
          <w:lang w:val="en-GB"/>
        </w:rPr>
        <w:t xml:space="preserve"> Closure or Anticoagulation vs. </w:t>
      </w:r>
      <w:proofErr w:type="spellStart"/>
      <w:r w:rsidRPr="000E4E77">
        <w:rPr>
          <w:rFonts w:asciiTheme="majorHAnsi" w:hAnsiTheme="majorHAnsi"/>
          <w:b/>
          <w:color w:val="4F81BD" w:themeColor="accent1"/>
          <w:lang w:val="en-GB"/>
        </w:rPr>
        <w:t>Antiplatelets</w:t>
      </w:r>
      <w:proofErr w:type="spellEnd"/>
      <w:r w:rsidRPr="000E4E77">
        <w:rPr>
          <w:rFonts w:asciiTheme="majorHAnsi" w:hAnsiTheme="majorHAnsi"/>
          <w:b/>
          <w:color w:val="4F81BD" w:themeColor="accent1"/>
          <w:lang w:val="en-GB"/>
        </w:rPr>
        <w:t xml:space="preserve"> after Stroke </w:t>
      </w:r>
    </w:p>
    <w:p w14:paraId="0883A213" w14:textId="2201D58B" w:rsidR="000249CB" w:rsidRDefault="000249CB" w:rsidP="000249CB">
      <w:pPr>
        <w:jc w:val="both"/>
        <w:rPr>
          <w:rFonts w:asciiTheme="majorHAnsi" w:hAnsiTheme="majorHAnsi"/>
          <w:lang w:val="en-GB"/>
        </w:rPr>
      </w:pPr>
      <w:r w:rsidRPr="000249CB">
        <w:rPr>
          <w:rFonts w:asciiTheme="majorHAnsi" w:hAnsiTheme="majorHAnsi"/>
          <w:lang w:val="en-GB"/>
        </w:rPr>
        <w:t xml:space="preserve">J.-L. Mas and Others | N </w:t>
      </w:r>
      <w:proofErr w:type="spellStart"/>
      <w:r w:rsidRPr="000249CB">
        <w:rPr>
          <w:rFonts w:asciiTheme="majorHAnsi" w:hAnsiTheme="majorHAnsi"/>
          <w:lang w:val="en-GB"/>
        </w:rPr>
        <w:t>Engl</w:t>
      </w:r>
      <w:proofErr w:type="spellEnd"/>
      <w:r w:rsidRPr="000249CB">
        <w:rPr>
          <w:rFonts w:asciiTheme="majorHAnsi" w:hAnsiTheme="majorHAnsi"/>
          <w:lang w:val="en-GB"/>
        </w:rPr>
        <w:t xml:space="preserve"> J Med 2017</w:t>
      </w:r>
      <w:proofErr w:type="gramStart"/>
      <w:r w:rsidRPr="000249CB">
        <w:rPr>
          <w:rFonts w:asciiTheme="majorHAnsi" w:hAnsiTheme="majorHAnsi"/>
          <w:lang w:val="en-GB"/>
        </w:rPr>
        <w:t>;377:1011</w:t>
      </w:r>
      <w:proofErr w:type="gramEnd"/>
      <w:r w:rsidRPr="000249CB">
        <w:rPr>
          <w:rFonts w:asciiTheme="majorHAnsi" w:hAnsiTheme="majorHAnsi"/>
          <w:lang w:val="en-GB"/>
        </w:rPr>
        <w:t>-1021</w:t>
      </w:r>
    </w:p>
    <w:p w14:paraId="6C7123B7" w14:textId="77777777" w:rsidR="00A73B7B" w:rsidRDefault="00A73B7B" w:rsidP="00A73B7B">
      <w:pPr>
        <w:jc w:val="both"/>
        <w:rPr>
          <w:rFonts w:asciiTheme="majorHAnsi" w:hAnsiTheme="majorHAnsi"/>
          <w:lang w:val="en-GB"/>
        </w:rPr>
      </w:pPr>
      <w:hyperlink r:id="rId18" w:history="1">
        <w:r w:rsidRPr="00153C5D">
          <w:rPr>
            <w:rStyle w:val="Lienhypertexte"/>
            <w:rFonts w:asciiTheme="majorHAnsi" w:hAnsiTheme="majorHAnsi"/>
            <w:lang w:val="en-GB"/>
          </w:rPr>
          <w:t>https://www.ncbi.nlm.nih.gov/pubmed/28902593</w:t>
        </w:r>
      </w:hyperlink>
      <w:r>
        <w:rPr>
          <w:rFonts w:asciiTheme="majorHAnsi" w:hAnsiTheme="majorHAnsi"/>
          <w:lang w:val="en-GB"/>
        </w:rPr>
        <w:t xml:space="preserve"> </w:t>
      </w:r>
    </w:p>
    <w:p w14:paraId="3B69FF3A" w14:textId="77777777" w:rsidR="00A73B7B" w:rsidRPr="000249CB" w:rsidRDefault="00A73B7B" w:rsidP="000249CB">
      <w:pPr>
        <w:jc w:val="both"/>
        <w:rPr>
          <w:rFonts w:asciiTheme="majorHAnsi" w:hAnsiTheme="majorHAnsi"/>
          <w:lang w:val="en-GB"/>
        </w:rPr>
      </w:pPr>
    </w:p>
    <w:p w14:paraId="3CED5C90" w14:textId="77777777" w:rsidR="000249CB" w:rsidRPr="000249CB" w:rsidRDefault="000249CB" w:rsidP="000249CB">
      <w:pPr>
        <w:jc w:val="both"/>
        <w:rPr>
          <w:rFonts w:asciiTheme="majorHAnsi" w:hAnsiTheme="majorHAnsi"/>
          <w:lang w:val="en-GB"/>
        </w:rPr>
      </w:pPr>
      <w:r w:rsidRPr="000249CB">
        <w:rPr>
          <w:rFonts w:asciiTheme="majorHAnsi" w:hAnsiTheme="majorHAnsi"/>
          <w:lang w:val="en-GB"/>
        </w:rPr>
        <w:t xml:space="preserve">       </w:t>
      </w:r>
    </w:p>
    <w:p w14:paraId="25A91049" w14:textId="77777777" w:rsidR="000E4E77" w:rsidRPr="0016655A" w:rsidRDefault="000E4E77"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sidRPr="0016655A">
        <w:rPr>
          <w:rFonts w:asciiTheme="majorHAnsi" w:hAnsiTheme="majorHAnsi" w:cstheme="majorHAnsi"/>
          <w:color w:val="4F81BD" w:themeColor="accent1"/>
        </w:rPr>
        <w:t>Introduction</w:t>
      </w:r>
    </w:p>
    <w:p w14:paraId="33B62514" w14:textId="7D04450F" w:rsidR="000E4E77" w:rsidRPr="0016655A" w:rsidRDefault="000E4E77"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sidRPr="0016655A">
        <w:rPr>
          <w:rFonts w:asciiTheme="majorHAnsi" w:hAnsiTheme="majorHAnsi" w:cstheme="majorHAnsi"/>
          <w:color w:val="333333"/>
        </w:rPr>
        <w:t xml:space="preserve">La fermeture du foramen </w:t>
      </w:r>
      <w:proofErr w:type="spellStart"/>
      <w:r w:rsidRPr="0016655A">
        <w:rPr>
          <w:rFonts w:asciiTheme="majorHAnsi" w:hAnsiTheme="majorHAnsi" w:cstheme="majorHAnsi"/>
          <w:color w:val="333333"/>
        </w:rPr>
        <w:t>oval</w:t>
      </w:r>
      <w:proofErr w:type="spellEnd"/>
      <w:r w:rsidRPr="0016655A">
        <w:rPr>
          <w:rFonts w:asciiTheme="majorHAnsi" w:hAnsiTheme="majorHAnsi" w:cstheme="majorHAnsi"/>
          <w:color w:val="333333"/>
        </w:rPr>
        <w:t xml:space="preserve"> pour diminuer le risque n’est pas à l’heure actuelle démontré</w:t>
      </w:r>
      <w:r w:rsidR="0016655A" w:rsidRPr="0016655A">
        <w:rPr>
          <w:rFonts w:asciiTheme="majorHAnsi" w:hAnsiTheme="majorHAnsi" w:cstheme="majorHAnsi"/>
          <w:color w:val="333333"/>
        </w:rPr>
        <w:t>e</w:t>
      </w:r>
      <w:r w:rsidRPr="0016655A">
        <w:rPr>
          <w:rFonts w:asciiTheme="majorHAnsi" w:hAnsiTheme="majorHAnsi" w:cstheme="majorHAnsi"/>
          <w:color w:val="333333"/>
        </w:rPr>
        <w:t xml:space="preserve">. </w:t>
      </w:r>
    </w:p>
    <w:p w14:paraId="31611BA9" w14:textId="1FCFCBF9" w:rsidR="000E4E77" w:rsidRDefault="000E4E77"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sidRPr="000E4E77">
        <w:rPr>
          <w:rFonts w:asciiTheme="majorHAnsi" w:hAnsiTheme="majorHAnsi" w:cstheme="majorHAnsi"/>
          <w:color w:val="333333"/>
        </w:rPr>
        <w:t>L’</w:t>
      </w:r>
      <w:r w:rsidR="0016655A">
        <w:rPr>
          <w:rFonts w:asciiTheme="majorHAnsi" w:hAnsiTheme="majorHAnsi" w:cstheme="majorHAnsi"/>
          <w:color w:val="333333"/>
        </w:rPr>
        <w:t>a</w:t>
      </w:r>
      <w:r w:rsidRPr="000E4E77">
        <w:rPr>
          <w:rFonts w:asciiTheme="majorHAnsi" w:hAnsiTheme="majorHAnsi" w:cstheme="majorHAnsi"/>
          <w:color w:val="333333"/>
        </w:rPr>
        <w:t xml:space="preserve">rticle se propose d’étudier chez les patients présentant un AVC </w:t>
      </w:r>
      <w:proofErr w:type="spellStart"/>
      <w:r w:rsidRPr="000E4E77">
        <w:rPr>
          <w:rFonts w:asciiTheme="majorHAnsi" w:hAnsiTheme="majorHAnsi" w:cstheme="majorHAnsi"/>
          <w:color w:val="333333"/>
        </w:rPr>
        <w:t>cryptogénique</w:t>
      </w:r>
      <w:proofErr w:type="spellEnd"/>
      <w:r w:rsidRPr="000E4E77">
        <w:rPr>
          <w:rFonts w:asciiTheme="majorHAnsi" w:hAnsiTheme="majorHAnsi" w:cstheme="majorHAnsi"/>
          <w:color w:val="333333"/>
        </w:rPr>
        <w:t xml:space="preserve"> et des images échographiques de FOP </w:t>
      </w:r>
      <w:r w:rsidR="0016655A">
        <w:rPr>
          <w:rFonts w:asciiTheme="majorHAnsi" w:hAnsiTheme="majorHAnsi" w:cstheme="majorHAnsi"/>
          <w:color w:val="333333"/>
        </w:rPr>
        <w:t>l’efficacité de</w:t>
      </w:r>
      <w:r w:rsidRPr="000E4E77">
        <w:rPr>
          <w:rFonts w:asciiTheme="majorHAnsi" w:hAnsiTheme="majorHAnsi" w:cstheme="majorHAnsi"/>
          <w:color w:val="333333"/>
        </w:rPr>
        <w:t xml:space="preserve"> la fermeture</w:t>
      </w:r>
      <w:r w:rsidR="0016655A">
        <w:rPr>
          <w:rFonts w:asciiTheme="majorHAnsi" w:hAnsiTheme="majorHAnsi" w:cstheme="majorHAnsi"/>
          <w:color w:val="333333"/>
        </w:rPr>
        <w:t xml:space="preserve"> d</w:t>
      </w:r>
      <w:r w:rsidRPr="000E4E77">
        <w:rPr>
          <w:rFonts w:asciiTheme="majorHAnsi" w:hAnsiTheme="majorHAnsi" w:cstheme="majorHAnsi"/>
          <w:color w:val="333333"/>
        </w:rPr>
        <w:t xml:space="preserve">e </w:t>
      </w:r>
      <w:proofErr w:type="spellStart"/>
      <w:r w:rsidRPr="000E4E77">
        <w:rPr>
          <w:rFonts w:asciiTheme="majorHAnsi" w:hAnsiTheme="majorHAnsi" w:cstheme="majorHAnsi"/>
          <w:color w:val="333333"/>
        </w:rPr>
        <w:t>celui ci</w:t>
      </w:r>
      <w:proofErr w:type="spellEnd"/>
      <w:r w:rsidRPr="000E4E77">
        <w:rPr>
          <w:rFonts w:asciiTheme="majorHAnsi" w:hAnsiTheme="majorHAnsi" w:cstheme="majorHAnsi"/>
          <w:color w:val="333333"/>
        </w:rPr>
        <w:t xml:space="preserve"> </w:t>
      </w:r>
      <w:r w:rsidR="0016655A">
        <w:rPr>
          <w:rFonts w:asciiTheme="majorHAnsi" w:hAnsiTheme="majorHAnsi" w:cstheme="majorHAnsi"/>
          <w:color w:val="333333"/>
        </w:rPr>
        <w:t>quant à la récidive d’AVC.</w:t>
      </w:r>
    </w:p>
    <w:p w14:paraId="01D0C988" w14:textId="77777777" w:rsidR="0016655A" w:rsidRDefault="0016655A"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p>
    <w:p w14:paraId="762AE470" w14:textId="77777777" w:rsidR="000E4E77" w:rsidRPr="0004617B" w:rsidRDefault="000E4E77"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4F81BD" w:themeColor="accent1"/>
        </w:rPr>
      </w:pPr>
      <w:r w:rsidRPr="0004617B">
        <w:rPr>
          <w:rFonts w:asciiTheme="majorHAnsi" w:hAnsiTheme="majorHAnsi" w:cstheme="majorHAnsi"/>
          <w:color w:val="4F81BD" w:themeColor="accent1"/>
        </w:rPr>
        <w:t xml:space="preserve">Méthode </w:t>
      </w:r>
    </w:p>
    <w:p w14:paraId="6EB9C29A" w14:textId="280C4B9F" w:rsidR="00165190" w:rsidRDefault="000E4E77" w:rsidP="00AB342D">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sidRPr="00165190">
        <w:rPr>
          <w:rFonts w:asciiTheme="majorHAnsi" w:hAnsiTheme="majorHAnsi" w:cstheme="majorHAnsi"/>
          <w:color w:val="333333"/>
        </w:rPr>
        <w:t>Etude multicentrique</w:t>
      </w:r>
      <w:r w:rsidR="0016655A">
        <w:rPr>
          <w:rFonts w:asciiTheme="majorHAnsi" w:hAnsiTheme="majorHAnsi" w:cstheme="majorHAnsi"/>
          <w:color w:val="333333"/>
        </w:rPr>
        <w:t xml:space="preserve"> (3</w:t>
      </w:r>
      <w:r w:rsidR="00165190" w:rsidRPr="00165190">
        <w:rPr>
          <w:rFonts w:asciiTheme="majorHAnsi" w:hAnsiTheme="majorHAnsi" w:cstheme="majorHAnsi"/>
          <w:color w:val="333333"/>
        </w:rPr>
        <w:t xml:space="preserve">2 sites </w:t>
      </w:r>
      <w:r w:rsidR="0016655A" w:rsidRPr="00165190">
        <w:rPr>
          <w:rFonts w:asciiTheme="majorHAnsi" w:hAnsiTheme="majorHAnsi" w:cstheme="majorHAnsi"/>
          <w:color w:val="333333"/>
        </w:rPr>
        <w:t>français</w:t>
      </w:r>
      <w:r w:rsidR="00165190" w:rsidRPr="00165190">
        <w:rPr>
          <w:rFonts w:asciiTheme="majorHAnsi" w:hAnsiTheme="majorHAnsi" w:cstheme="majorHAnsi"/>
          <w:color w:val="333333"/>
        </w:rPr>
        <w:t>, 2 allemands)</w:t>
      </w:r>
      <w:r w:rsidRPr="00165190">
        <w:rPr>
          <w:rFonts w:asciiTheme="majorHAnsi" w:hAnsiTheme="majorHAnsi" w:cstheme="majorHAnsi"/>
          <w:color w:val="333333"/>
        </w:rPr>
        <w:t>, randomisée, en double aveugle, effectué</w:t>
      </w:r>
      <w:r w:rsidR="00165190" w:rsidRPr="00165190">
        <w:rPr>
          <w:rFonts w:asciiTheme="majorHAnsi" w:hAnsiTheme="majorHAnsi" w:cstheme="majorHAnsi"/>
          <w:color w:val="333333"/>
        </w:rPr>
        <w:t>e</w:t>
      </w:r>
      <w:r w:rsidRPr="00165190">
        <w:rPr>
          <w:rFonts w:asciiTheme="majorHAnsi" w:hAnsiTheme="majorHAnsi" w:cstheme="majorHAnsi"/>
          <w:color w:val="333333"/>
        </w:rPr>
        <w:t xml:space="preserve"> chez des patients </w:t>
      </w:r>
      <w:r w:rsidR="0016655A" w:rsidRPr="00165190">
        <w:rPr>
          <w:rFonts w:asciiTheme="majorHAnsi" w:hAnsiTheme="majorHAnsi" w:cstheme="majorHAnsi"/>
          <w:color w:val="333333"/>
        </w:rPr>
        <w:t>âgés</w:t>
      </w:r>
      <w:r w:rsidRPr="00165190">
        <w:rPr>
          <w:rFonts w:asciiTheme="majorHAnsi" w:hAnsiTheme="majorHAnsi" w:cstheme="majorHAnsi"/>
          <w:color w:val="333333"/>
        </w:rPr>
        <w:t xml:space="preserve"> de 16 à 60 ans, présentant comme </w:t>
      </w:r>
      <w:r w:rsidR="0016655A">
        <w:rPr>
          <w:rFonts w:asciiTheme="majorHAnsi" w:hAnsiTheme="majorHAnsi" w:cstheme="majorHAnsi"/>
          <w:color w:val="333333"/>
        </w:rPr>
        <w:t>antécédent</w:t>
      </w:r>
      <w:r w:rsidRPr="00165190">
        <w:rPr>
          <w:rFonts w:asciiTheme="majorHAnsi" w:hAnsiTheme="majorHAnsi" w:cstheme="majorHAnsi"/>
          <w:color w:val="333333"/>
        </w:rPr>
        <w:t xml:space="preserve"> récent un AVC considéré comme secondaire à un FOP.</w:t>
      </w:r>
      <w:r w:rsidR="00165190" w:rsidRPr="00165190">
        <w:rPr>
          <w:rFonts w:asciiTheme="majorHAnsi" w:hAnsiTheme="majorHAnsi" w:cstheme="majorHAnsi"/>
          <w:color w:val="333333"/>
        </w:rPr>
        <w:t xml:space="preserve"> Le FOP devait être associé à un anévrysme septal (sortie de plus de 10 mm) ou un shunt inter</w:t>
      </w:r>
      <w:r w:rsidR="00AB342D">
        <w:rPr>
          <w:rFonts w:asciiTheme="majorHAnsi" w:hAnsiTheme="majorHAnsi" w:cstheme="majorHAnsi"/>
          <w:color w:val="333333"/>
        </w:rPr>
        <w:t>-</w:t>
      </w:r>
      <w:r w:rsidR="00165190" w:rsidRPr="00165190">
        <w:rPr>
          <w:rFonts w:asciiTheme="majorHAnsi" w:hAnsiTheme="majorHAnsi" w:cstheme="majorHAnsi"/>
          <w:color w:val="333333"/>
        </w:rPr>
        <w:t>atrial large</w:t>
      </w:r>
      <w:r w:rsidR="0016655A">
        <w:rPr>
          <w:rFonts w:asciiTheme="majorHAnsi" w:hAnsiTheme="majorHAnsi" w:cstheme="majorHAnsi"/>
          <w:color w:val="333333"/>
        </w:rPr>
        <w:t xml:space="preserve"> (</w:t>
      </w:r>
      <w:r w:rsidR="00165190" w:rsidRPr="00165190">
        <w:rPr>
          <w:rFonts w:asciiTheme="majorHAnsi" w:hAnsiTheme="majorHAnsi" w:cstheme="majorHAnsi"/>
          <w:color w:val="333333"/>
        </w:rPr>
        <w:t>&gt; 30 micro bulles dans oreillette gauche).</w:t>
      </w:r>
      <w:r w:rsidR="00165190">
        <w:rPr>
          <w:rFonts w:asciiTheme="majorHAnsi" w:hAnsiTheme="majorHAnsi" w:cstheme="majorHAnsi"/>
          <w:color w:val="333333"/>
        </w:rPr>
        <w:t xml:space="preserve"> </w:t>
      </w:r>
      <w:r w:rsidR="00165190" w:rsidRPr="00165190">
        <w:rPr>
          <w:rFonts w:asciiTheme="majorHAnsi" w:hAnsiTheme="majorHAnsi" w:cstheme="majorHAnsi"/>
          <w:color w:val="333333"/>
        </w:rPr>
        <w:t>Trois groupes furent comparés : fermeture du FOP</w:t>
      </w:r>
      <w:r w:rsidR="0016655A">
        <w:rPr>
          <w:rFonts w:asciiTheme="majorHAnsi" w:hAnsiTheme="majorHAnsi" w:cstheme="majorHAnsi"/>
          <w:color w:val="333333"/>
        </w:rPr>
        <w:t xml:space="preserve"> associée à une anti </w:t>
      </w:r>
      <w:proofErr w:type="spellStart"/>
      <w:r w:rsidR="0016655A">
        <w:rPr>
          <w:rFonts w:asciiTheme="majorHAnsi" w:hAnsiTheme="majorHAnsi" w:cstheme="majorHAnsi"/>
          <w:color w:val="333333"/>
        </w:rPr>
        <w:t>aggrégation</w:t>
      </w:r>
      <w:proofErr w:type="spellEnd"/>
      <w:r w:rsidR="0016655A">
        <w:rPr>
          <w:rFonts w:asciiTheme="majorHAnsi" w:hAnsiTheme="majorHAnsi" w:cstheme="majorHAnsi"/>
          <w:color w:val="333333"/>
        </w:rPr>
        <w:t xml:space="preserve"> plaquettaire</w:t>
      </w:r>
      <w:r w:rsidR="00165190" w:rsidRPr="00165190">
        <w:rPr>
          <w:rFonts w:asciiTheme="majorHAnsi" w:hAnsiTheme="majorHAnsi" w:cstheme="majorHAnsi"/>
          <w:color w:val="333333"/>
        </w:rPr>
        <w:t xml:space="preserve">, anti </w:t>
      </w:r>
      <w:proofErr w:type="spellStart"/>
      <w:r w:rsidR="00165190" w:rsidRPr="00165190">
        <w:rPr>
          <w:rFonts w:asciiTheme="majorHAnsi" w:hAnsiTheme="majorHAnsi" w:cstheme="majorHAnsi"/>
          <w:color w:val="333333"/>
        </w:rPr>
        <w:t>aggr</w:t>
      </w:r>
      <w:r w:rsidR="00165190">
        <w:rPr>
          <w:rFonts w:asciiTheme="majorHAnsi" w:hAnsiTheme="majorHAnsi" w:cstheme="majorHAnsi"/>
          <w:color w:val="333333"/>
        </w:rPr>
        <w:t>é</w:t>
      </w:r>
      <w:r w:rsidR="00165190" w:rsidRPr="00165190">
        <w:rPr>
          <w:rFonts w:asciiTheme="majorHAnsi" w:hAnsiTheme="majorHAnsi" w:cstheme="majorHAnsi"/>
          <w:color w:val="333333"/>
        </w:rPr>
        <w:t>gation</w:t>
      </w:r>
      <w:proofErr w:type="spellEnd"/>
      <w:r w:rsidR="00165190" w:rsidRPr="00165190">
        <w:rPr>
          <w:rFonts w:asciiTheme="majorHAnsi" w:hAnsiTheme="majorHAnsi" w:cstheme="majorHAnsi"/>
          <w:color w:val="333333"/>
        </w:rPr>
        <w:t xml:space="preserve"> efficace</w:t>
      </w:r>
      <w:r w:rsidR="0016655A">
        <w:rPr>
          <w:rFonts w:asciiTheme="majorHAnsi" w:hAnsiTheme="majorHAnsi" w:cstheme="majorHAnsi"/>
          <w:color w:val="333333"/>
        </w:rPr>
        <w:t xml:space="preserve"> seule</w:t>
      </w:r>
      <w:r w:rsidR="00AB342D">
        <w:rPr>
          <w:rFonts w:asciiTheme="majorHAnsi" w:hAnsiTheme="majorHAnsi" w:cstheme="majorHAnsi"/>
          <w:color w:val="333333"/>
        </w:rPr>
        <w:t xml:space="preserve">, </w:t>
      </w:r>
      <w:proofErr w:type="spellStart"/>
      <w:r w:rsidR="00AB342D">
        <w:rPr>
          <w:rFonts w:asciiTheme="majorHAnsi" w:hAnsiTheme="majorHAnsi" w:cstheme="majorHAnsi"/>
          <w:color w:val="333333"/>
        </w:rPr>
        <w:t>contre indication</w:t>
      </w:r>
      <w:proofErr w:type="spellEnd"/>
      <w:r w:rsidR="00AB342D">
        <w:rPr>
          <w:rFonts w:asciiTheme="majorHAnsi" w:hAnsiTheme="majorHAnsi" w:cstheme="majorHAnsi"/>
          <w:color w:val="333333"/>
        </w:rPr>
        <w:t xml:space="preserve"> à une anti coagulation efficace et/ou un intervention chirurgicale</w:t>
      </w:r>
      <w:r w:rsidR="00165190" w:rsidRPr="00165190">
        <w:rPr>
          <w:rFonts w:asciiTheme="majorHAnsi" w:hAnsiTheme="majorHAnsi" w:cstheme="majorHAnsi"/>
          <w:color w:val="333333"/>
        </w:rPr>
        <w:t>.</w:t>
      </w:r>
      <w:r w:rsidR="00165190">
        <w:rPr>
          <w:rFonts w:asciiTheme="majorHAnsi" w:hAnsiTheme="majorHAnsi" w:cstheme="majorHAnsi"/>
          <w:color w:val="333333"/>
        </w:rPr>
        <w:t xml:space="preserve"> </w:t>
      </w:r>
      <w:r w:rsidR="0016655A">
        <w:rPr>
          <w:rFonts w:asciiTheme="majorHAnsi" w:hAnsiTheme="majorHAnsi" w:cstheme="majorHAnsi"/>
          <w:color w:val="333333"/>
        </w:rPr>
        <w:t xml:space="preserve">Le </w:t>
      </w:r>
      <w:proofErr w:type="spellStart"/>
      <w:r w:rsidR="0016655A">
        <w:rPr>
          <w:rFonts w:asciiTheme="majorHAnsi" w:hAnsiTheme="majorHAnsi" w:cstheme="majorHAnsi"/>
          <w:color w:val="333333"/>
        </w:rPr>
        <w:t>troisieme</w:t>
      </w:r>
      <w:proofErr w:type="spellEnd"/>
      <w:r w:rsidR="0016655A">
        <w:rPr>
          <w:rFonts w:asciiTheme="majorHAnsi" w:hAnsiTheme="majorHAnsi" w:cstheme="majorHAnsi"/>
          <w:color w:val="333333"/>
        </w:rPr>
        <w:t xml:space="preserve"> groupe comprenant l</w:t>
      </w:r>
      <w:r w:rsidR="00165190" w:rsidRPr="00AB342D">
        <w:rPr>
          <w:rFonts w:asciiTheme="majorHAnsi" w:hAnsiTheme="majorHAnsi" w:cstheme="majorHAnsi"/>
          <w:color w:val="333333"/>
        </w:rPr>
        <w:t xml:space="preserve">es patients contre indiqués </w:t>
      </w:r>
      <w:r w:rsidR="00AB342D">
        <w:rPr>
          <w:rFonts w:asciiTheme="majorHAnsi" w:hAnsiTheme="majorHAnsi" w:cstheme="majorHAnsi"/>
          <w:color w:val="333333"/>
        </w:rPr>
        <w:t>à l’intervention chirurgical</w:t>
      </w:r>
      <w:r w:rsidR="0016655A">
        <w:rPr>
          <w:rFonts w:asciiTheme="majorHAnsi" w:hAnsiTheme="majorHAnsi" w:cstheme="majorHAnsi"/>
          <w:color w:val="333333"/>
        </w:rPr>
        <w:t xml:space="preserve"> ou à l’anticoagulation efficace</w:t>
      </w:r>
      <w:r w:rsidR="00AB342D">
        <w:rPr>
          <w:rFonts w:asciiTheme="majorHAnsi" w:hAnsiTheme="majorHAnsi" w:cstheme="majorHAnsi"/>
          <w:color w:val="333333"/>
        </w:rPr>
        <w:t xml:space="preserve"> étaient </w:t>
      </w:r>
      <w:r w:rsidR="0016655A">
        <w:rPr>
          <w:rFonts w:asciiTheme="majorHAnsi" w:hAnsiTheme="majorHAnsi" w:cstheme="majorHAnsi"/>
          <w:color w:val="333333"/>
        </w:rPr>
        <w:lastRenderedPageBreak/>
        <w:t xml:space="preserve">secondairement </w:t>
      </w:r>
      <w:r w:rsidR="00AB342D">
        <w:rPr>
          <w:rFonts w:asciiTheme="majorHAnsi" w:hAnsiTheme="majorHAnsi" w:cstheme="majorHAnsi"/>
          <w:color w:val="333333"/>
        </w:rPr>
        <w:t xml:space="preserve">randomisés en deux </w:t>
      </w:r>
      <w:proofErr w:type="spellStart"/>
      <w:r w:rsidR="00AB342D">
        <w:rPr>
          <w:rFonts w:asciiTheme="majorHAnsi" w:hAnsiTheme="majorHAnsi" w:cstheme="majorHAnsi"/>
          <w:color w:val="333333"/>
        </w:rPr>
        <w:t>sous groupes</w:t>
      </w:r>
      <w:proofErr w:type="spellEnd"/>
      <w:r w:rsidR="00AB342D">
        <w:rPr>
          <w:rFonts w:asciiTheme="majorHAnsi" w:hAnsiTheme="majorHAnsi" w:cstheme="majorHAnsi"/>
          <w:color w:val="333333"/>
        </w:rPr>
        <w:t xml:space="preserve">. L’un recevant un anti </w:t>
      </w:r>
      <w:proofErr w:type="spellStart"/>
      <w:r w:rsidR="00AB342D">
        <w:rPr>
          <w:rFonts w:asciiTheme="majorHAnsi" w:hAnsiTheme="majorHAnsi" w:cstheme="majorHAnsi"/>
          <w:color w:val="333333"/>
        </w:rPr>
        <w:t>aggrégant</w:t>
      </w:r>
      <w:proofErr w:type="spellEnd"/>
      <w:r w:rsidR="00AB342D">
        <w:rPr>
          <w:rFonts w:asciiTheme="majorHAnsi" w:hAnsiTheme="majorHAnsi" w:cstheme="majorHAnsi"/>
          <w:color w:val="333333"/>
        </w:rPr>
        <w:t xml:space="preserve"> plaquettaire l’autre une anti coagulation efficace.</w:t>
      </w:r>
    </w:p>
    <w:p w14:paraId="6E036FE0" w14:textId="287A64A7" w:rsidR="00AB342D" w:rsidRPr="00AB342D" w:rsidRDefault="00AB342D" w:rsidP="00AB342D">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Pr>
          <w:rFonts w:asciiTheme="majorHAnsi" w:hAnsiTheme="majorHAnsi" w:cstheme="majorHAnsi"/>
          <w:color w:val="333333"/>
        </w:rPr>
        <w:t xml:space="preserve">Le critère de jugement principal était la survenue d’un nouvel AVC. </w:t>
      </w:r>
    </w:p>
    <w:p w14:paraId="21257CFD" w14:textId="77777777" w:rsidR="00165190" w:rsidRPr="00AB342D" w:rsidRDefault="00165190"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p>
    <w:p w14:paraId="50C32A5A" w14:textId="77777777" w:rsidR="00165190" w:rsidRPr="004522FD" w:rsidRDefault="00165190"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4F81BD" w:themeColor="accent1"/>
        </w:rPr>
      </w:pPr>
      <w:r w:rsidRPr="004522FD">
        <w:rPr>
          <w:rFonts w:asciiTheme="majorHAnsi" w:hAnsiTheme="majorHAnsi" w:cstheme="majorHAnsi"/>
          <w:color w:val="4F81BD" w:themeColor="accent1"/>
        </w:rPr>
        <w:t>Résultats</w:t>
      </w:r>
    </w:p>
    <w:p w14:paraId="50969167" w14:textId="56603170" w:rsidR="00AB342D" w:rsidRDefault="0016655A"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sidRPr="0016655A">
        <w:rPr>
          <w:rFonts w:asciiTheme="majorHAnsi" w:hAnsiTheme="majorHAnsi" w:cstheme="majorHAnsi"/>
          <w:color w:val="333333"/>
        </w:rPr>
        <w:t>Au</w:t>
      </w:r>
      <w:r>
        <w:rPr>
          <w:rFonts w:asciiTheme="majorHAnsi" w:hAnsiTheme="majorHAnsi" w:cstheme="majorHAnsi"/>
          <w:color w:val="333333"/>
        </w:rPr>
        <w:t xml:space="preserve"> total,</w:t>
      </w:r>
      <w:r w:rsidR="00165190" w:rsidRPr="00165190">
        <w:rPr>
          <w:rFonts w:asciiTheme="majorHAnsi" w:hAnsiTheme="majorHAnsi" w:cstheme="majorHAnsi"/>
          <w:color w:val="333333"/>
        </w:rPr>
        <w:t xml:space="preserve"> 663 patients furent randomisés</w:t>
      </w:r>
      <w:r w:rsidR="00165190">
        <w:rPr>
          <w:rFonts w:asciiTheme="majorHAnsi" w:hAnsiTheme="majorHAnsi" w:cstheme="majorHAnsi"/>
          <w:color w:val="333333"/>
        </w:rPr>
        <w:t xml:space="preserve"> (sur le principe 1 :1 :1)</w:t>
      </w:r>
      <w:r w:rsidR="00165190" w:rsidRPr="00165190">
        <w:rPr>
          <w:rFonts w:asciiTheme="majorHAnsi" w:hAnsiTheme="majorHAnsi" w:cstheme="majorHAnsi"/>
          <w:color w:val="333333"/>
        </w:rPr>
        <w:t xml:space="preserve"> et suivi sur une durée </w:t>
      </w:r>
      <w:r w:rsidRPr="00165190">
        <w:rPr>
          <w:rFonts w:asciiTheme="majorHAnsi" w:hAnsiTheme="majorHAnsi" w:cstheme="majorHAnsi"/>
          <w:color w:val="333333"/>
        </w:rPr>
        <w:t>m</w:t>
      </w:r>
      <w:r>
        <w:rPr>
          <w:rFonts w:asciiTheme="majorHAnsi" w:hAnsiTheme="majorHAnsi" w:cstheme="majorHAnsi"/>
          <w:color w:val="333333"/>
        </w:rPr>
        <w:t>édiane</w:t>
      </w:r>
      <w:r w:rsidR="00165190" w:rsidRPr="00165190">
        <w:rPr>
          <w:rFonts w:asciiTheme="majorHAnsi" w:hAnsiTheme="majorHAnsi" w:cstheme="majorHAnsi"/>
          <w:color w:val="333333"/>
        </w:rPr>
        <w:t xml:space="preserve"> de 5.3 ans +/- 2 ans. </w:t>
      </w:r>
      <w:r w:rsidR="00165190">
        <w:rPr>
          <w:rFonts w:asciiTheme="majorHAnsi" w:hAnsiTheme="majorHAnsi" w:cstheme="majorHAnsi"/>
          <w:color w:val="333333"/>
        </w:rPr>
        <w:t xml:space="preserve"> Aucun AVC ne survint dans le groupe fermeture de FOP durant le suivi. Dans le groupe anti </w:t>
      </w:r>
      <w:proofErr w:type="spellStart"/>
      <w:r w:rsidR="00165190">
        <w:rPr>
          <w:rFonts w:asciiTheme="majorHAnsi" w:hAnsiTheme="majorHAnsi" w:cstheme="majorHAnsi"/>
          <w:color w:val="333333"/>
        </w:rPr>
        <w:t>aggrégation</w:t>
      </w:r>
      <w:proofErr w:type="spellEnd"/>
      <w:r w:rsidR="00165190">
        <w:rPr>
          <w:rFonts w:asciiTheme="majorHAnsi" w:hAnsiTheme="majorHAnsi" w:cstheme="majorHAnsi"/>
          <w:color w:val="333333"/>
        </w:rPr>
        <w:t xml:space="preserve"> plaquettaire</w:t>
      </w:r>
      <w:r>
        <w:rPr>
          <w:rFonts w:asciiTheme="majorHAnsi" w:hAnsiTheme="majorHAnsi" w:cstheme="majorHAnsi"/>
          <w:color w:val="333333"/>
        </w:rPr>
        <w:t xml:space="preserve"> seule</w:t>
      </w:r>
      <w:r w:rsidR="00165190">
        <w:rPr>
          <w:rFonts w:asciiTheme="majorHAnsi" w:hAnsiTheme="majorHAnsi" w:cstheme="majorHAnsi"/>
          <w:color w:val="333333"/>
        </w:rPr>
        <w:t xml:space="preserve">, 14 (sur les </w:t>
      </w:r>
      <w:proofErr w:type="gramStart"/>
      <w:r w:rsidR="00165190">
        <w:rPr>
          <w:rFonts w:asciiTheme="majorHAnsi" w:hAnsiTheme="majorHAnsi" w:cstheme="majorHAnsi"/>
          <w:color w:val="333333"/>
        </w:rPr>
        <w:t>235 )</w:t>
      </w:r>
      <w:proofErr w:type="gramEnd"/>
      <w:r w:rsidR="00165190">
        <w:rPr>
          <w:rFonts w:asciiTheme="majorHAnsi" w:hAnsiTheme="majorHAnsi" w:cstheme="majorHAnsi"/>
          <w:color w:val="333333"/>
        </w:rPr>
        <w:t xml:space="preserve"> patients </w:t>
      </w:r>
      <w:r>
        <w:rPr>
          <w:rFonts w:asciiTheme="majorHAnsi" w:hAnsiTheme="majorHAnsi" w:cstheme="majorHAnsi"/>
          <w:color w:val="333333"/>
        </w:rPr>
        <w:t>présentè</w:t>
      </w:r>
      <w:r w:rsidR="00165190">
        <w:rPr>
          <w:rFonts w:asciiTheme="majorHAnsi" w:hAnsiTheme="majorHAnsi" w:cstheme="majorHAnsi"/>
          <w:color w:val="333333"/>
        </w:rPr>
        <w:t xml:space="preserve">rent un AVC durant le suivi ( HR 0.03, p&lt; 0.001). </w:t>
      </w:r>
      <w:r w:rsidR="00AB342D">
        <w:rPr>
          <w:rFonts w:asciiTheme="majorHAnsi" w:hAnsiTheme="majorHAnsi" w:cstheme="majorHAnsi"/>
          <w:color w:val="333333"/>
        </w:rPr>
        <w:t xml:space="preserve">Des complications chirurgicales survenaient chez 14 patients traités par fermeture de FOP </w:t>
      </w:r>
      <w:proofErr w:type="gramStart"/>
      <w:r w:rsidR="00AB342D">
        <w:rPr>
          <w:rFonts w:asciiTheme="majorHAnsi" w:hAnsiTheme="majorHAnsi" w:cstheme="majorHAnsi"/>
          <w:color w:val="333333"/>
        </w:rPr>
        <w:t>( 5</w:t>
      </w:r>
      <w:proofErr w:type="gramEnd"/>
      <w:r w:rsidR="00AB342D">
        <w:rPr>
          <w:rFonts w:asciiTheme="majorHAnsi" w:hAnsiTheme="majorHAnsi" w:cstheme="majorHAnsi"/>
          <w:color w:val="333333"/>
        </w:rPr>
        <w:t>.9%). Le taux de FA durant le suivi était proportionnellement plus importa</w:t>
      </w:r>
      <w:r>
        <w:rPr>
          <w:rFonts w:asciiTheme="majorHAnsi" w:hAnsiTheme="majorHAnsi" w:cstheme="majorHAnsi"/>
          <w:color w:val="333333"/>
        </w:rPr>
        <w:t xml:space="preserve">nt dans le groupe fermeture de </w:t>
      </w:r>
      <w:r w:rsidR="00AB342D">
        <w:rPr>
          <w:rFonts w:asciiTheme="majorHAnsi" w:hAnsiTheme="majorHAnsi" w:cstheme="majorHAnsi"/>
          <w:color w:val="333333"/>
        </w:rPr>
        <w:t>FO</w:t>
      </w:r>
      <w:r>
        <w:rPr>
          <w:rFonts w:asciiTheme="majorHAnsi" w:hAnsiTheme="majorHAnsi" w:cstheme="majorHAnsi"/>
          <w:color w:val="333333"/>
        </w:rPr>
        <w:t>P</w:t>
      </w:r>
      <w:r w:rsidR="00AB342D">
        <w:rPr>
          <w:rFonts w:asciiTheme="majorHAnsi" w:hAnsiTheme="majorHAnsi" w:cstheme="majorHAnsi"/>
          <w:color w:val="333333"/>
        </w:rPr>
        <w:t xml:space="preserve"> que le groupe traitement anti plaquettaire </w:t>
      </w:r>
      <w:proofErr w:type="gramStart"/>
      <w:r w:rsidR="00AB342D">
        <w:rPr>
          <w:rFonts w:asciiTheme="majorHAnsi" w:hAnsiTheme="majorHAnsi" w:cstheme="majorHAnsi"/>
          <w:color w:val="333333"/>
        </w:rPr>
        <w:t>( 4.6</w:t>
      </w:r>
      <w:proofErr w:type="gramEnd"/>
      <w:r w:rsidR="00AB342D">
        <w:rPr>
          <w:rFonts w:asciiTheme="majorHAnsi" w:hAnsiTheme="majorHAnsi" w:cstheme="majorHAnsi"/>
          <w:color w:val="333333"/>
        </w:rPr>
        <w:t xml:space="preserve">% vs 0.9 %, p : 0.02). Le nombre d’effet indésirable ne différait pas entre les deux groupes (p : 0.56). L’analyse comparent la survenue d’un AVC dans les groupes anti </w:t>
      </w:r>
      <w:proofErr w:type="spellStart"/>
      <w:r w:rsidR="00AB342D">
        <w:rPr>
          <w:rFonts w:asciiTheme="majorHAnsi" w:hAnsiTheme="majorHAnsi" w:cstheme="majorHAnsi"/>
          <w:color w:val="333333"/>
        </w:rPr>
        <w:t>aggrégations</w:t>
      </w:r>
      <w:proofErr w:type="spellEnd"/>
      <w:r w:rsidR="00AB342D">
        <w:rPr>
          <w:rFonts w:asciiTheme="majorHAnsi" w:hAnsiTheme="majorHAnsi" w:cstheme="majorHAnsi"/>
          <w:color w:val="333333"/>
        </w:rPr>
        <w:t xml:space="preserve"> et anti coagulation ne montrait pas de différence significative</w:t>
      </w:r>
      <w:r>
        <w:rPr>
          <w:rFonts w:asciiTheme="majorHAnsi" w:hAnsiTheme="majorHAnsi" w:cstheme="majorHAnsi"/>
          <w:color w:val="333333"/>
        </w:rPr>
        <w:t xml:space="preserve"> (7</w:t>
      </w:r>
      <w:r w:rsidR="00AB342D">
        <w:rPr>
          <w:rFonts w:asciiTheme="majorHAnsi" w:hAnsiTheme="majorHAnsi" w:cstheme="majorHAnsi"/>
          <w:color w:val="333333"/>
        </w:rPr>
        <w:t xml:space="preserve"> des</w:t>
      </w:r>
      <w:r w:rsidR="000E4E77" w:rsidRPr="00AB342D">
        <w:rPr>
          <w:rFonts w:asciiTheme="majorHAnsi" w:hAnsiTheme="majorHAnsi" w:cstheme="majorHAnsi"/>
          <w:color w:val="333333"/>
        </w:rPr>
        <w:t xml:space="preserve"> 174 patients</w:t>
      </w:r>
      <w:r w:rsidR="00AB342D">
        <w:rPr>
          <w:rFonts w:asciiTheme="majorHAnsi" w:hAnsiTheme="majorHAnsi" w:cstheme="majorHAnsi"/>
          <w:color w:val="333333"/>
        </w:rPr>
        <w:t xml:space="preserve"> groupe anti </w:t>
      </w:r>
      <w:proofErr w:type="spellStart"/>
      <w:r w:rsidR="00AB342D">
        <w:rPr>
          <w:rFonts w:asciiTheme="majorHAnsi" w:hAnsiTheme="majorHAnsi" w:cstheme="majorHAnsi"/>
          <w:color w:val="333333"/>
        </w:rPr>
        <w:t>aggrégant</w:t>
      </w:r>
      <w:proofErr w:type="spellEnd"/>
      <w:r w:rsidR="00AB342D">
        <w:rPr>
          <w:rFonts w:asciiTheme="majorHAnsi" w:hAnsiTheme="majorHAnsi" w:cstheme="majorHAnsi"/>
          <w:color w:val="333333"/>
        </w:rPr>
        <w:t xml:space="preserve"> versus 3 sur 187 patients anti coagulés). </w:t>
      </w:r>
    </w:p>
    <w:p w14:paraId="435585DB" w14:textId="77777777" w:rsidR="0016655A" w:rsidRDefault="0016655A"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p>
    <w:p w14:paraId="0651D994" w14:textId="77777777" w:rsidR="00AB342D" w:rsidRPr="0016655A" w:rsidRDefault="00AB342D" w:rsidP="000E4E77">
      <w:pPr>
        <w:pStyle w:val="NormalWeb"/>
        <w:shd w:val="clear" w:color="auto" w:fill="FFFFFF"/>
        <w:spacing w:before="0" w:beforeAutospacing="0" w:after="0" w:afterAutospacing="0" w:line="336" w:lineRule="atLeast"/>
        <w:textAlignment w:val="baseline"/>
        <w:rPr>
          <w:rFonts w:asciiTheme="majorHAnsi" w:hAnsiTheme="majorHAnsi" w:cstheme="majorHAnsi"/>
          <w:color w:val="4F81BD" w:themeColor="accent1"/>
        </w:rPr>
      </w:pPr>
      <w:r w:rsidRPr="0016655A">
        <w:rPr>
          <w:rFonts w:asciiTheme="majorHAnsi" w:hAnsiTheme="majorHAnsi" w:cstheme="majorHAnsi"/>
          <w:color w:val="4F81BD" w:themeColor="accent1"/>
        </w:rPr>
        <w:t>Conclusion</w:t>
      </w:r>
    </w:p>
    <w:p w14:paraId="2D6C5F71" w14:textId="49E6657C" w:rsidR="000E4E77" w:rsidRDefault="00AB342D" w:rsidP="0016655A">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r>
        <w:rPr>
          <w:rFonts w:asciiTheme="majorHAnsi" w:hAnsiTheme="majorHAnsi" w:cstheme="majorHAnsi"/>
          <w:color w:val="333333"/>
        </w:rPr>
        <w:t>Parmi les patients présentant</w:t>
      </w:r>
      <w:r w:rsidR="0016655A">
        <w:rPr>
          <w:rFonts w:asciiTheme="majorHAnsi" w:hAnsiTheme="majorHAnsi" w:cstheme="majorHAnsi"/>
          <w:color w:val="333333"/>
        </w:rPr>
        <w:t xml:space="preserve"> un AVC </w:t>
      </w:r>
      <w:proofErr w:type="spellStart"/>
      <w:r w:rsidR="0016655A">
        <w:rPr>
          <w:rFonts w:asciiTheme="majorHAnsi" w:hAnsiTheme="majorHAnsi" w:cstheme="majorHAnsi"/>
          <w:color w:val="333333"/>
        </w:rPr>
        <w:t>cyptogénique</w:t>
      </w:r>
      <w:proofErr w:type="spellEnd"/>
      <w:r w:rsidR="0016655A">
        <w:rPr>
          <w:rFonts w:asciiTheme="majorHAnsi" w:hAnsiTheme="majorHAnsi" w:cstheme="majorHAnsi"/>
          <w:color w:val="333333"/>
        </w:rPr>
        <w:t xml:space="preserve"> secondaire à</w:t>
      </w:r>
      <w:r>
        <w:rPr>
          <w:rFonts w:asciiTheme="majorHAnsi" w:hAnsiTheme="majorHAnsi" w:cstheme="majorHAnsi"/>
          <w:color w:val="333333"/>
        </w:rPr>
        <w:t xml:space="preserve"> un FOP associé à un anévrysme </w:t>
      </w:r>
      <w:proofErr w:type="spellStart"/>
      <w:r>
        <w:rPr>
          <w:rFonts w:asciiTheme="majorHAnsi" w:hAnsiTheme="majorHAnsi" w:cstheme="majorHAnsi"/>
          <w:color w:val="333333"/>
        </w:rPr>
        <w:t>atrioseptal</w:t>
      </w:r>
      <w:proofErr w:type="spellEnd"/>
      <w:r>
        <w:rPr>
          <w:rFonts w:asciiTheme="majorHAnsi" w:hAnsiTheme="majorHAnsi" w:cstheme="majorHAnsi"/>
          <w:color w:val="333333"/>
        </w:rPr>
        <w:t xml:space="preserve"> ou un large shunt inter atrial, le taux de récurrence d’AVC est plus faible si le FOP est opéré. </w:t>
      </w:r>
      <w:r w:rsidR="000E4E77" w:rsidRPr="00AB342D">
        <w:rPr>
          <w:rFonts w:asciiTheme="majorHAnsi" w:hAnsiTheme="majorHAnsi" w:cstheme="majorHAnsi"/>
          <w:color w:val="333333"/>
        </w:rPr>
        <w:t xml:space="preserve"> </w:t>
      </w:r>
      <w:r w:rsidR="0016655A">
        <w:rPr>
          <w:rFonts w:asciiTheme="majorHAnsi" w:hAnsiTheme="majorHAnsi" w:cstheme="majorHAnsi"/>
          <w:color w:val="333333"/>
        </w:rPr>
        <w:t xml:space="preserve">Néanmoins, après intervention, le risque de FA est majoré. </w:t>
      </w:r>
    </w:p>
    <w:p w14:paraId="26D0255C" w14:textId="1A35EFB3" w:rsidR="004522FD" w:rsidRDefault="004522FD" w:rsidP="0016655A">
      <w:pPr>
        <w:pStyle w:val="NormalWeb"/>
        <w:shd w:val="clear" w:color="auto" w:fill="FFFFFF"/>
        <w:spacing w:before="0" w:beforeAutospacing="0" w:after="0" w:afterAutospacing="0" w:line="336" w:lineRule="atLeast"/>
        <w:textAlignment w:val="baseline"/>
        <w:rPr>
          <w:rFonts w:asciiTheme="majorHAnsi" w:hAnsiTheme="majorHAnsi" w:cstheme="majorHAnsi"/>
          <w:color w:val="333333"/>
        </w:rPr>
      </w:pPr>
    </w:p>
    <w:p w14:paraId="24F66831" w14:textId="77777777" w:rsidR="004522FD" w:rsidRPr="00A73B7B" w:rsidRDefault="004522FD" w:rsidP="004522FD">
      <w:pPr>
        <w:pStyle w:val="NormalWeb"/>
        <w:shd w:val="clear" w:color="auto" w:fill="FFFFFF"/>
        <w:spacing w:before="0" w:beforeAutospacing="0" w:after="0" w:afterAutospacing="0" w:line="336" w:lineRule="atLeast"/>
        <w:textAlignment w:val="baseline"/>
        <w:rPr>
          <w:rFonts w:asciiTheme="majorHAnsi" w:hAnsiTheme="majorHAnsi" w:cstheme="majorHAnsi"/>
          <w:b/>
          <w:color w:val="0070C0"/>
        </w:rPr>
      </w:pPr>
      <w:proofErr w:type="spellStart"/>
      <w:r w:rsidRPr="00A73B7B">
        <w:rPr>
          <w:rFonts w:asciiTheme="majorHAnsi" w:hAnsiTheme="majorHAnsi" w:cstheme="majorHAnsi"/>
          <w:b/>
          <w:color w:val="0070C0"/>
        </w:rPr>
        <w:t>Antiinflammatory</w:t>
      </w:r>
      <w:proofErr w:type="spellEnd"/>
      <w:r w:rsidRPr="00A73B7B">
        <w:rPr>
          <w:rFonts w:asciiTheme="majorHAnsi" w:hAnsiTheme="majorHAnsi" w:cstheme="majorHAnsi"/>
          <w:b/>
          <w:color w:val="0070C0"/>
        </w:rPr>
        <w:t xml:space="preserve"> </w:t>
      </w:r>
      <w:proofErr w:type="spellStart"/>
      <w:r w:rsidRPr="00A73B7B">
        <w:rPr>
          <w:rFonts w:asciiTheme="majorHAnsi" w:hAnsiTheme="majorHAnsi" w:cstheme="majorHAnsi"/>
          <w:b/>
          <w:color w:val="0070C0"/>
        </w:rPr>
        <w:t>Therapy</w:t>
      </w:r>
      <w:proofErr w:type="spellEnd"/>
      <w:r w:rsidRPr="00A73B7B">
        <w:rPr>
          <w:rFonts w:asciiTheme="majorHAnsi" w:hAnsiTheme="majorHAnsi" w:cstheme="majorHAnsi"/>
          <w:b/>
          <w:color w:val="0070C0"/>
        </w:rPr>
        <w:t xml:space="preserve"> </w:t>
      </w:r>
      <w:proofErr w:type="spellStart"/>
      <w:r w:rsidRPr="00A73B7B">
        <w:rPr>
          <w:rFonts w:asciiTheme="majorHAnsi" w:hAnsiTheme="majorHAnsi" w:cstheme="majorHAnsi"/>
          <w:b/>
          <w:color w:val="0070C0"/>
        </w:rPr>
        <w:t>with</w:t>
      </w:r>
      <w:proofErr w:type="spellEnd"/>
      <w:r w:rsidRPr="00A73B7B">
        <w:rPr>
          <w:rFonts w:asciiTheme="majorHAnsi" w:hAnsiTheme="majorHAnsi" w:cstheme="majorHAnsi"/>
          <w:b/>
          <w:color w:val="0070C0"/>
        </w:rPr>
        <w:t xml:space="preserve"> </w:t>
      </w:r>
      <w:proofErr w:type="spellStart"/>
      <w:r w:rsidRPr="00A73B7B">
        <w:rPr>
          <w:rFonts w:asciiTheme="majorHAnsi" w:hAnsiTheme="majorHAnsi" w:cstheme="majorHAnsi"/>
          <w:b/>
          <w:color w:val="0070C0"/>
        </w:rPr>
        <w:t>Canakinumab</w:t>
      </w:r>
      <w:proofErr w:type="spellEnd"/>
      <w:r w:rsidRPr="00A73B7B">
        <w:rPr>
          <w:rFonts w:asciiTheme="majorHAnsi" w:hAnsiTheme="majorHAnsi" w:cstheme="majorHAnsi"/>
          <w:b/>
          <w:color w:val="0070C0"/>
        </w:rPr>
        <w:t xml:space="preserve"> for </w:t>
      </w:r>
      <w:proofErr w:type="spellStart"/>
      <w:r w:rsidRPr="00A73B7B">
        <w:rPr>
          <w:rFonts w:asciiTheme="majorHAnsi" w:hAnsiTheme="majorHAnsi" w:cstheme="majorHAnsi"/>
          <w:b/>
          <w:color w:val="0070C0"/>
        </w:rPr>
        <w:t>Atherosclerotic</w:t>
      </w:r>
      <w:proofErr w:type="spellEnd"/>
      <w:r w:rsidRPr="00A73B7B">
        <w:rPr>
          <w:rFonts w:asciiTheme="majorHAnsi" w:hAnsiTheme="majorHAnsi" w:cstheme="majorHAnsi"/>
          <w:b/>
          <w:color w:val="0070C0"/>
        </w:rPr>
        <w:t xml:space="preserve"> </w:t>
      </w:r>
      <w:proofErr w:type="spellStart"/>
      <w:r w:rsidRPr="00A73B7B">
        <w:rPr>
          <w:rFonts w:asciiTheme="majorHAnsi" w:hAnsiTheme="majorHAnsi" w:cstheme="majorHAnsi"/>
          <w:b/>
          <w:color w:val="0070C0"/>
        </w:rPr>
        <w:t>Disease</w:t>
      </w:r>
      <w:proofErr w:type="spellEnd"/>
    </w:p>
    <w:p w14:paraId="22395F20" w14:textId="541AC971"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r w:rsidRPr="004522FD">
        <w:rPr>
          <w:rFonts w:asciiTheme="majorHAnsi" w:hAnsiTheme="majorHAnsi" w:cstheme="majorHAnsi"/>
          <w:color w:val="333333"/>
        </w:rPr>
        <w:t xml:space="preserve">P.M. </w:t>
      </w:r>
      <w:proofErr w:type="spellStart"/>
      <w:r w:rsidRPr="004522FD">
        <w:rPr>
          <w:rFonts w:asciiTheme="majorHAnsi" w:hAnsiTheme="majorHAnsi" w:cstheme="majorHAnsi"/>
          <w:color w:val="333333"/>
        </w:rPr>
        <w:t>Ridker</w:t>
      </w:r>
      <w:proofErr w:type="spellEnd"/>
    </w:p>
    <w:p w14:paraId="62C74D50" w14:textId="77777777" w:rsidR="00A73B7B" w:rsidRDefault="00A73B7B" w:rsidP="00A73B7B">
      <w:pPr>
        <w:pStyle w:val="NormalWeb"/>
        <w:shd w:val="clear" w:color="auto" w:fill="FFFFFF"/>
        <w:spacing w:before="0" w:beforeAutospacing="0" w:after="0" w:afterAutospacing="0"/>
        <w:textAlignment w:val="baseline"/>
        <w:rPr>
          <w:rFonts w:asciiTheme="majorHAnsi" w:hAnsiTheme="majorHAnsi" w:cstheme="majorHAnsi"/>
          <w:color w:val="333333"/>
        </w:rPr>
      </w:pPr>
    </w:p>
    <w:p w14:paraId="22AEDA7B" w14:textId="4D7DA6D7" w:rsidR="004522FD" w:rsidRDefault="00A73B7B" w:rsidP="00A73B7B">
      <w:pPr>
        <w:pStyle w:val="NormalWeb"/>
        <w:shd w:val="clear" w:color="auto" w:fill="FFFFFF"/>
        <w:spacing w:before="0" w:beforeAutospacing="0" w:after="0" w:afterAutospacing="0"/>
        <w:textAlignment w:val="baseline"/>
        <w:rPr>
          <w:rStyle w:val="Lienhypertexte"/>
          <w:rFonts w:asciiTheme="majorHAnsi" w:hAnsiTheme="majorHAnsi" w:cstheme="majorHAnsi"/>
        </w:rPr>
      </w:pPr>
      <w:hyperlink r:id="rId19" w:history="1">
        <w:r w:rsidRPr="00153C5D">
          <w:rPr>
            <w:rStyle w:val="Lienhypertexte"/>
            <w:rFonts w:asciiTheme="majorHAnsi" w:hAnsiTheme="majorHAnsi" w:cstheme="majorHAnsi"/>
          </w:rPr>
          <w:t>https://www.ncbi.nlm.nih.gov/pubmed/28845751</w:t>
        </w:r>
      </w:hyperlink>
    </w:p>
    <w:p w14:paraId="68766DBB" w14:textId="77777777" w:rsidR="00A73B7B" w:rsidRDefault="00A73B7B" w:rsidP="00A73B7B">
      <w:pPr>
        <w:pStyle w:val="NormalWeb"/>
        <w:shd w:val="clear" w:color="auto" w:fill="FFFFFF"/>
        <w:spacing w:before="0" w:beforeAutospacing="0" w:after="0" w:afterAutospacing="0"/>
        <w:textAlignment w:val="baseline"/>
        <w:rPr>
          <w:rFonts w:asciiTheme="majorHAnsi" w:hAnsiTheme="majorHAnsi" w:cstheme="majorHAnsi"/>
          <w:color w:val="333333"/>
        </w:rPr>
      </w:pPr>
    </w:p>
    <w:p w14:paraId="0E670686" w14:textId="440075DF"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r w:rsidRPr="00771496">
        <w:rPr>
          <w:rFonts w:asciiTheme="majorHAnsi" w:hAnsiTheme="majorHAnsi" w:cstheme="majorHAnsi"/>
          <w:color w:val="0070C0"/>
        </w:rPr>
        <w:t>Introduction</w:t>
      </w:r>
    </w:p>
    <w:p w14:paraId="60B6D5BC" w14:textId="5E03B6D3"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Des études cliniques et expérimentales suggèrent que la réduction de l’inflammation permettrait de réduire le risque cardiovasculaire. Cependant l’hypothèse d’une origine inflammatoire à la maladie athéromateuse n’est pas encore démontrée. </w:t>
      </w:r>
    </w:p>
    <w:p w14:paraId="4F89AA6C" w14:textId="07553D69"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Objectif de l’étude : prouver l’</w:t>
      </w:r>
      <w:proofErr w:type="spellStart"/>
      <w:r>
        <w:rPr>
          <w:rFonts w:asciiTheme="majorHAnsi" w:hAnsiTheme="majorHAnsi" w:cstheme="majorHAnsi"/>
          <w:color w:val="333333"/>
        </w:rPr>
        <w:t>efficacié</w:t>
      </w:r>
      <w:proofErr w:type="spellEnd"/>
      <w:r>
        <w:rPr>
          <w:rFonts w:asciiTheme="majorHAnsi" w:hAnsiTheme="majorHAnsi" w:cstheme="majorHAnsi"/>
          <w:color w:val="333333"/>
        </w:rPr>
        <w:t xml:space="preserve"> du </w:t>
      </w:r>
      <w:proofErr w:type="spellStart"/>
      <w:r>
        <w:rPr>
          <w:rFonts w:asciiTheme="majorHAnsi" w:hAnsiTheme="majorHAnsi" w:cstheme="majorHAnsi"/>
          <w:color w:val="333333"/>
        </w:rPr>
        <w:t>Canakinumab</w:t>
      </w:r>
      <w:proofErr w:type="spellEnd"/>
      <w:r>
        <w:rPr>
          <w:rFonts w:asciiTheme="majorHAnsi" w:hAnsiTheme="majorHAnsi" w:cstheme="majorHAnsi"/>
          <w:color w:val="333333"/>
        </w:rPr>
        <w:t xml:space="preserve"> comme traitement de l’athérosclérose. </w:t>
      </w:r>
    </w:p>
    <w:p w14:paraId="7BECEE89" w14:textId="4B87EF49"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p>
    <w:p w14:paraId="38F3A48D" w14:textId="6C218EE1" w:rsidR="004522FD" w:rsidRPr="00771496"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0070C0"/>
        </w:rPr>
      </w:pPr>
      <w:r w:rsidRPr="00771496">
        <w:rPr>
          <w:rFonts w:asciiTheme="majorHAnsi" w:hAnsiTheme="majorHAnsi" w:cstheme="majorHAnsi"/>
          <w:color w:val="0070C0"/>
        </w:rPr>
        <w:t xml:space="preserve">Méthode </w:t>
      </w:r>
    </w:p>
    <w:p w14:paraId="511670B6" w14:textId="6D5C319F" w:rsidR="004522FD" w:rsidRDefault="004522FD" w:rsidP="004522FD">
      <w:pPr>
        <w:pStyle w:val="NormalWeb"/>
        <w:shd w:val="clear" w:color="auto" w:fill="FFFFFF"/>
        <w:spacing w:before="0" w:beforeAutospacing="0" w:after="0" w:afterAutospacing="0"/>
        <w:textAlignment w:val="baseline"/>
        <w:rPr>
          <w:rFonts w:asciiTheme="majorHAnsi" w:hAnsiTheme="majorHAnsi" w:cstheme="majorHAnsi"/>
          <w:color w:val="333333"/>
        </w:rPr>
      </w:pPr>
      <w:r w:rsidRPr="00530F21">
        <w:rPr>
          <w:rFonts w:asciiTheme="majorHAnsi" w:hAnsiTheme="majorHAnsi" w:cstheme="majorHAnsi"/>
          <w:color w:val="333333"/>
        </w:rPr>
        <w:t>Etude</w:t>
      </w:r>
      <w:r w:rsidR="00771496">
        <w:rPr>
          <w:rFonts w:asciiTheme="majorHAnsi" w:hAnsiTheme="majorHAnsi" w:cstheme="majorHAnsi"/>
          <w:color w:val="333333"/>
        </w:rPr>
        <w:t xml:space="preserve"> multicentrique (</w:t>
      </w:r>
      <w:r w:rsidR="00530F21" w:rsidRPr="00530F21">
        <w:rPr>
          <w:rFonts w:asciiTheme="majorHAnsi" w:hAnsiTheme="majorHAnsi" w:cstheme="majorHAnsi"/>
          <w:color w:val="333333"/>
        </w:rPr>
        <w:t>&gt; 30 pays),</w:t>
      </w:r>
      <w:r w:rsidRPr="00530F21">
        <w:rPr>
          <w:rFonts w:asciiTheme="majorHAnsi" w:hAnsiTheme="majorHAnsi" w:cstheme="majorHAnsi"/>
          <w:color w:val="333333"/>
        </w:rPr>
        <w:t xml:space="preserve"> </w:t>
      </w:r>
      <w:r w:rsidR="00530F21" w:rsidRPr="00530F21">
        <w:rPr>
          <w:rFonts w:asciiTheme="majorHAnsi" w:hAnsiTheme="majorHAnsi" w:cstheme="majorHAnsi"/>
          <w:color w:val="333333"/>
        </w:rPr>
        <w:t>contrôlée</w:t>
      </w:r>
      <w:r w:rsidRPr="00530F21">
        <w:rPr>
          <w:rFonts w:asciiTheme="majorHAnsi" w:hAnsiTheme="majorHAnsi" w:cstheme="majorHAnsi"/>
          <w:color w:val="333333"/>
        </w:rPr>
        <w:t>, randomisée</w:t>
      </w:r>
      <w:r w:rsidR="00530F21">
        <w:rPr>
          <w:rFonts w:asciiTheme="majorHAnsi" w:hAnsiTheme="majorHAnsi" w:cstheme="majorHAnsi"/>
          <w:color w:val="333333"/>
        </w:rPr>
        <w:t xml:space="preserve"> en 1 :1 :1 :1</w:t>
      </w:r>
      <w:r w:rsidRPr="00530F21">
        <w:rPr>
          <w:rFonts w:asciiTheme="majorHAnsi" w:hAnsiTheme="majorHAnsi" w:cstheme="majorHAnsi"/>
          <w:color w:val="333333"/>
        </w:rPr>
        <w:t xml:space="preserve">, en double aveugle du </w:t>
      </w:r>
      <w:proofErr w:type="spellStart"/>
      <w:r w:rsidRPr="00530F21">
        <w:rPr>
          <w:rFonts w:asciiTheme="majorHAnsi" w:hAnsiTheme="majorHAnsi" w:cstheme="majorHAnsi"/>
          <w:color w:val="333333"/>
        </w:rPr>
        <w:t>canakinumab</w:t>
      </w:r>
      <w:proofErr w:type="spellEnd"/>
      <w:r w:rsidRPr="00530F21">
        <w:rPr>
          <w:rFonts w:asciiTheme="majorHAnsi" w:hAnsiTheme="majorHAnsi" w:cstheme="majorHAnsi"/>
          <w:color w:val="333333"/>
        </w:rPr>
        <w:t>, anticorps anti</w:t>
      </w:r>
      <w:r w:rsidR="00530F21" w:rsidRPr="00530F21">
        <w:rPr>
          <w:rFonts w:asciiTheme="majorHAnsi" w:hAnsiTheme="majorHAnsi" w:cstheme="majorHAnsi"/>
          <w:color w:val="333333"/>
        </w:rPr>
        <w:t xml:space="preserve"> Il1</w:t>
      </w:r>
      <w:r w:rsidRPr="004522FD">
        <w:rPr>
          <w:rFonts w:asciiTheme="majorHAnsi" w:hAnsiTheme="majorHAnsi" w:cstheme="majorHAnsi"/>
          <w:color w:val="333333"/>
        </w:rPr>
        <w:t>β</w:t>
      </w:r>
      <w:r w:rsidRPr="00530F21">
        <w:rPr>
          <w:rFonts w:asciiTheme="majorHAnsi" w:hAnsiTheme="majorHAnsi" w:cstheme="majorHAnsi"/>
          <w:color w:val="333333"/>
        </w:rPr>
        <w:t xml:space="preserve">, chez 10,061 patients présentant un </w:t>
      </w:r>
      <w:r w:rsidR="00530F21" w:rsidRPr="00530F21">
        <w:rPr>
          <w:rFonts w:asciiTheme="majorHAnsi" w:hAnsiTheme="majorHAnsi" w:cstheme="majorHAnsi"/>
          <w:color w:val="333333"/>
        </w:rPr>
        <w:t>antécédent</w:t>
      </w:r>
      <w:r w:rsidRPr="00530F21">
        <w:rPr>
          <w:rFonts w:asciiTheme="majorHAnsi" w:hAnsiTheme="majorHAnsi" w:cstheme="majorHAnsi"/>
          <w:color w:val="333333"/>
        </w:rPr>
        <w:t xml:space="preserve"> d’IDM et une CRP &gt; 2 mg/l. </w:t>
      </w:r>
      <w:r w:rsidR="00530F21" w:rsidRPr="00530F21">
        <w:rPr>
          <w:rFonts w:asciiTheme="majorHAnsi" w:hAnsiTheme="majorHAnsi" w:cstheme="majorHAnsi"/>
          <w:color w:val="333333"/>
        </w:rPr>
        <w:t>Les critères d’exclusion étaient un antécédent d’infection chronique, un antécédent de cancer autre que cancer cutané, une immunodépression, un antécédent de tuberculose, une prise de traitement anti inflammatoire au long cours</w:t>
      </w:r>
      <w:r w:rsidR="00530F21">
        <w:rPr>
          <w:rFonts w:asciiTheme="majorHAnsi" w:hAnsiTheme="majorHAnsi" w:cstheme="majorHAnsi"/>
          <w:color w:val="333333"/>
        </w:rPr>
        <w:t xml:space="preserve">. </w:t>
      </w:r>
      <w:r>
        <w:rPr>
          <w:rFonts w:asciiTheme="majorHAnsi" w:hAnsiTheme="majorHAnsi" w:cstheme="majorHAnsi"/>
          <w:color w:val="333333"/>
        </w:rPr>
        <w:t xml:space="preserve">Trois doses de </w:t>
      </w:r>
      <w:proofErr w:type="spellStart"/>
      <w:r>
        <w:rPr>
          <w:rFonts w:asciiTheme="majorHAnsi" w:hAnsiTheme="majorHAnsi" w:cstheme="majorHAnsi"/>
          <w:color w:val="333333"/>
        </w:rPr>
        <w:t>Canakinumab</w:t>
      </w:r>
      <w:proofErr w:type="spellEnd"/>
      <w:r>
        <w:rPr>
          <w:rFonts w:asciiTheme="majorHAnsi" w:hAnsiTheme="majorHAnsi" w:cstheme="majorHAnsi"/>
          <w:color w:val="333333"/>
        </w:rPr>
        <w:t xml:space="preserve"> furent données </w:t>
      </w:r>
      <w:r w:rsidRPr="004522FD">
        <w:rPr>
          <w:rFonts w:asciiTheme="majorHAnsi" w:hAnsiTheme="majorHAnsi" w:cstheme="majorHAnsi"/>
          <w:color w:val="333333"/>
        </w:rPr>
        <w:t>(50 mg, 150 mg, and 300 mg,</w:t>
      </w:r>
      <w:r w:rsidR="00530F21">
        <w:rPr>
          <w:rFonts w:asciiTheme="majorHAnsi" w:hAnsiTheme="majorHAnsi" w:cstheme="majorHAnsi"/>
          <w:color w:val="333333"/>
        </w:rPr>
        <w:t xml:space="preserve"> </w:t>
      </w:r>
      <w:r>
        <w:rPr>
          <w:rFonts w:asciiTheme="majorHAnsi" w:hAnsiTheme="majorHAnsi" w:cstheme="majorHAnsi"/>
          <w:color w:val="333333"/>
        </w:rPr>
        <w:t xml:space="preserve">administrée en sous cutanée tous les trois mois) et comparées à un traitement placebo. Le critère jugement principal était </w:t>
      </w:r>
      <w:r w:rsidR="00530F21">
        <w:rPr>
          <w:rFonts w:asciiTheme="majorHAnsi" w:hAnsiTheme="majorHAnsi" w:cstheme="majorHAnsi"/>
          <w:color w:val="333333"/>
        </w:rPr>
        <w:t xml:space="preserve">l’apparition d’un évènement vasculaire que ce soit un IDM, un AVC ou une mort d’origine CV. </w:t>
      </w:r>
    </w:p>
    <w:p w14:paraId="7479BF88" w14:textId="7DB5BF23" w:rsidR="00530F21" w:rsidRDefault="00530F21" w:rsidP="004522FD">
      <w:pPr>
        <w:pStyle w:val="NormalWeb"/>
        <w:shd w:val="clear" w:color="auto" w:fill="FFFFFF"/>
        <w:spacing w:before="0" w:beforeAutospacing="0" w:after="0" w:afterAutospacing="0"/>
        <w:textAlignment w:val="baseline"/>
        <w:rPr>
          <w:rFonts w:asciiTheme="majorHAnsi" w:hAnsiTheme="majorHAnsi" w:cstheme="majorHAnsi"/>
          <w:color w:val="333333"/>
        </w:rPr>
      </w:pPr>
    </w:p>
    <w:p w14:paraId="1C9A2B45" w14:textId="77777777" w:rsidR="0040491D" w:rsidRPr="00771496" w:rsidRDefault="00530F21" w:rsidP="0040491D">
      <w:pPr>
        <w:pStyle w:val="NormalWeb"/>
        <w:shd w:val="clear" w:color="auto" w:fill="FFFFFF"/>
        <w:spacing w:before="0" w:beforeAutospacing="0" w:after="0" w:afterAutospacing="0"/>
        <w:textAlignment w:val="baseline"/>
        <w:rPr>
          <w:rFonts w:asciiTheme="majorHAnsi" w:hAnsiTheme="majorHAnsi" w:cstheme="majorHAnsi"/>
          <w:color w:val="0070C0"/>
        </w:rPr>
      </w:pPr>
      <w:r w:rsidRPr="00771496">
        <w:rPr>
          <w:rFonts w:asciiTheme="majorHAnsi" w:hAnsiTheme="majorHAnsi" w:cstheme="majorHAnsi"/>
          <w:color w:val="0070C0"/>
        </w:rPr>
        <w:t>Résultats</w:t>
      </w:r>
    </w:p>
    <w:p w14:paraId="55A2D41F" w14:textId="08AB1241" w:rsidR="004522FD" w:rsidRDefault="00530F21" w:rsidP="0040491D">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A 48 mois, une réduction médiane de la CRP haute sensibilité était retrouvée de 26% dans le groupe recevant </w:t>
      </w:r>
      <w:r w:rsidR="004522FD" w:rsidRPr="00530F21">
        <w:rPr>
          <w:rFonts w:asciiTheme="majorHAnsi" w:hAnsiTheme="majorHAnsi" w:cstheme="majorHAnsi"/>
          <w:color w:val="333333"/>
        </w:rPr>
        <w:t>50-mg</w:t>
      </w:r>
      <w:r w:rsidRPr="00530F21">
        <w:rPr>
          <w:rFonts w:asciiTheme="majorHAnsi" w:hAnsiTheme="majorHAnsi" w:cstheme="majorHAnsi"/>
          <w:color w:val="333333"/>
        </w:rPr>
        <w:t>/</w:t>
      </w:r>
      <w:proofErr w:type="gramStart"/>
      <w:r w:rsidRPr="00530F21">
        <w:rPr>
          <w:rFonts w:asciiTheme="majorHAnsi" w:hAnsiTheme="majorHAnsi" w:cstheme="majorHAnsi"/>
          <w:color w:val="333333"/>
        </w:rPr>
        <w:t xml:space="preserve">injection, </w:t>
      </w:r>
      <w:r w:rsidR="004522FD" w:rsidRPr="00530F21">
        <w:rPr>
          <w:rFonts w:asciiTheme="majorHAnsi" w:hAnsiTheme="majorHAnsi" w:cstheme="majorHAnsi"/>
          <w:color w:val="333333"/>
        </w:rPr>
        <w:t xml:space="preserve"> 37</w:t>
      </w:r>
      <w:proofErr w:type="gramEnd"/>
      <w:r w:rsidR="004522FD" w:rsidRPr="00530F21">
        <w:rPr>
          <w:rFonts w:asciiTheme="majorHAnsi" w:hAnsiTheme="majorHAnsi" w:cstheme="majorHAnsi"/>
          <w:color w:val="333333"/>
        </w:rPr>
        <w:t xml:space="preserve"> </w:t>
      </w:r>
      <w:r>
        <w:rPr>
          <w:rFonts w:asciiTheme="majorHAnsi" w:hAnsiTheme="majorHAnsi" w:cstheme="majorHAnsi"/>
          <w:color w:val="333333"/>
        </w:rPr>
        <w:t xml:space="preserve">% dans le groupe recevant </w:t>
      </w:r>
      <w:r w:rsidR="004522FD" w:rsidRPr="00530F21">
        <w:rPr>
          <w:rFonts w:asciiTheme="majorHAnsi" w:hAnsiTheme="majorHAnsi" w:cstheme="majorHAnsi"/>
          <w:color w:val="333333"/>
        </w:rPr>
        <w:t>150mg</w:t>
      </w:r>
      <w:r>
        <w:rPr>
          <w:rFonts w:asciiTheme="majorHAnsi" w:hAnsiTheme="majorHAnsi" w:cstheme="majorHAnsi"/>
          <w:color w:val="333333"/>
        </w:rPr>
        <w:t xml:space="preserve">/injection et 41% dans le groupe recevant 300 mg/injection versus placebo. Le </w:t>
      </w:r>
      <w:proofErr w:type="spellStart"/>
      <w:r>
        <w:rPr>
          <w:rFonts w:asciiTheme="majorHAnsi" w:hAnsiTheme="majorHAnsi" w:cstheme="majorHAnsi"/>
          <w:color w:val="333333"/>
        </w:rPr>
        <w:t>Canakinumab</w:t>
      </w:r>
      <w:proofErr w:type="spellEnd"/>
      <w:r>
        <w:rPr>
          <w:rFonts w:asciiTheme="majorHAnsi" w:hAnsiTheme="majorHAnsi" w:cstheme="majorHAnsi"/>
          <w:color w:val="333333"/>
        </w:rPr>
        <w:t xml:space="preserve"> ne réduisait pas le taux de cholestérol. Après une durée de suivi médiane de 3.7 ans, l’incidence du critère composite était de 4.5 évènement</w:t>
      </w:r>
      <w:r w:rsidR="00771496">
        <w:rPr>
          <w:rFonts w:asciiTheme="majorHAnsi" w:hAnsiTheme="majorHAnsi" w:cstheme="majorHAnsi"/>
          <w:color w:val="333333"/>
        </w:rPr>
        <w:t>s</w:t>
      </w:r>
      <w:r>
        <w:rPr>
          <w:rFonts w:asciiTheme="majorHAnsi" w:hAnsiTheme="majorHAnsi" w:cstheme="majorHAnsi"/>
          <w:color w:val="333333"/>
        </w:rPr>
        <w:t xml:space="preserve"> pour 100 personnes année dans le groupe placebo, 4.11 pour le groupe 50 mg, 3.86 pour le groupe 10 m</w:t>
      </w:r>
      <w:r w:rsidR="0040491D">
        <w:rPr>
          <w:rFonts w:asciiTheme="majorHAnsi" w:hAnsiTheme="majorHAnsi" w:cstheme="majorHAnsi"/>
          <w:color w:val="333333"/>
        </w:rPr>
        <w:t>g et 3.90 pour le groupe 300 mg (</w:t>
      </w:r>
      <w:proofErr w:type="gramStart"/>
      <w:r w:rsidR="0040491D">
        <w:rPr>
          <w:rFonts w:asciiTheme="majorHAnsi" w:hAnsiTheme="majorHAnsi" w:cstheme="majorHAnsi"/>
          <w:color w:val="333333"/>
        </w:rPr>
        <w:t xml:space="preserve">HR </w:t>
      </w:r>
      <w:r w:rsidR="004522FD" w:rsidRPr="00530F21">
        <w:rPr>
          <w:rFonts w:asciiTheme="majorHAnsi" w:hAnsiTheme="majorHAnsi" w:cstheme="majorHAnsi"/>
          <w:color w:val="333333"/>
        </w:rPr>
        <w:t xml:space="preserve"> </w:t>
      </w:r>
      <w:r w:rsidR="004522FD" w:rsidRPr="0040491D">
        <w:rPr>
          <w:rFonts w:asciiTheme="majorHAnsi" w:hAnsiTheme="majorHAnsi" w:cstheme="majorHAnsi"/>
          <w:color w:val="333333"/>
        </w:rPr>
        <w:t>0.93</w:t>
      </w:r>
      <w:proofErr w:type="gramEnd"/>
      <w:r w:rsidR="0040491D" w:rsidRPr="0040491D">
        <w:rPr>
          <w:rFonts w:asciiTheme="majorHAnsi" w:hAnsiTheme="majorHAnsi" w:cstheme="majorHAnsi"/>
          <w:color w:val="333333"/>
        </w:rPr>
        <w:t xml:space="preserve">, </w:t>
      </w:r>
      <w:r w:rsidR="004522FD" w:rsidRPr="0040491D">
        <w:rPr>
          <w:rFonts w:asciiTheme="majorHAnsi" w:hAnsiTheme="majorHAnsi" w:cstheme="majorHAnsi"/>
          <w:color w:val="333333"/>
        </w:rPr>
        <w:t>P=0.30</w:t>
      </w:r>
      <w:r w:rsidR="0040491D" w:rsidRPr="0040491D">
        <w:rPr>
          <w:rFonts w:asciiTheme="majorHAnsi" w:hAnsiTheme="majorHAnsi" w:cstheme="majorHAnsi"/>
          <w:color w:val="333333"/>
        </w:rPr>
        <w:t xml:space="preserve">; </w:t>
      </w:r>
      <w:r w:rsidR="0040491D">
        <w:rPr>
          <w:rFonts w:asciiTheme="majorHAnsi" w:hAnsiTheme="majorHAnsi" w:cstheme="majorHAnsi"/>
          <w:color w:val="333333"/>
        </w:rPr>
        <w:t xml:space="preserve">HR 0.85, </w:t>
      </w:r>
      <w:r w:rsidR="004522FD" w:rsidRPr="0040491D">
        <w:rPr>
          <w:rFonts w:asciiTheme="majorHAnsi" w:hAnsiTheme="majorHAnsi" w:cstheme="majorHAnsi"/>
          <w:color w:val="333333"/>
        </w:rPr>
        <w:t xml:space="preserve">P=0.021; </w:t>
      </w:r>
      <w:r w:rsidR="0040491D">
        <w:rPr>
          <w:rFonts w:asciiTheme="majorHAnsi" w:hAnsiTheme="majorHAnsi" w:cstheme="majorHAnsi"/>
          <w:color w:val="333333"/>
        </w:rPr>
        <w:t>HR</w:t>
      </w:r>
      <w:r w:rsidR="004522FD" w:rsidRPr="0040491D">
        <w:rPr>
          <w:rFonts w:asciiTheme="majorHAnsi" w:hAnsiTheme="majorHAnsi" w:cstheme="majorHAnsi"/>
          <w:color w:val="333333"/>
        </w:rPr>
        <w:t xml:space="preserve"> 0.86</w:t>
      </w:r>
      <w:r w:rsidR="0040491D">
        <w:rPr>
          <w:rFonts w:asciiTheme="majorHAnsi" w:hAnsiTheme="majorHAnsi" w:cstheme="majorHAnsi"/>
          <w:color w:val="333333"/>
        </w:rPr>
        <w:t xml:space="preserve">, </w:t>
      </w:r>
      <w:r w:rsidR="004522FD" w:rsidRPr="0040491D">
        <w:rPr>
          <w:rFonts w:asciiTheme="majorHAnsi" w:hAnsiTheme="majorHAnsi" w:cstheme="majorHAnsi"/>
          <w:color w:val="333333"/>
        </w:rPr>
        <w:t>P=0.031</w:t>
      </w:r>
      <w:r w:rsidR="0040491D">
        <w:rPr>
          <w:rFonts w:asciiTheme="majorHAnsi" w:hAnsiTheme="majorHAnsi" w:cstheme="majorHAnsi"/>
          <w:color w:val="333333"/>
        </w:rPr>
        <w:t xml:space="preserve"> respectivement</w:t>
      </w:r>
      <w:r w:rsidR="004522FD" w:rsidRPr="0040491D">
        <w:rPr>
          <w:rFonts w:asciiTheme="majorHAnsi" w:hAnsiTheme="majorHAnsi" w:cstheme="majorHAnsi"/>
          <w:color w:val="333333"/>
        </w:rPr>
        <w:t xml:space="preserve">). </w:t>
      </w:r>
      <w:r w:rsidR="0040491D">
        <w:rPr>
          <w:rFonts w:asciiTheme="majorHAnsi" w:hAnsiTheme="majorHAnsi" w:cstheme="majorHAnsi"/>
          <w:color w:val="333333"/>
        </w:rPr>
        <w:t>La dose de 150mg/dose permettait donc d’obtenir une réduction significative</w:t>
      </w:r>
      <w:r w:rsidR="00771496">
        <w:rPr>
          <w:rFonts w:asciiTheme="majorHAnsi" w:hAnsiTheme="majorHAnsi" w:cstheme="majorHAnsi"/>
          <w:color w:val="333333"/>
        </w:rPr>
        <w:t xml:space="preserve"> </w:t>
      </w:r>
      <w:r w:rsidR="0040491D">
        <w:rPr>
          <w:rFonts w:asciiTheme="majorHAnsi" w:hAnsiTheme="majorHAnsi" w:cstheme="majorHAnsi"/>
          <w:color w:val="333333"/>
        </w:rPr>
        <w:t xml:space="preserve">de l’incidence des accidents cardiovasculaires. Elle permettait aussi de diminuer le nombre d’hospitalisation pour angor instable et de geste de </w:t>
      </w:r>
      <w:proofErr w:type="spellStart"/>
      <w:r w:rsidR="0040491D">
        <w:rPr>
          <w:rFonts w:asciiTheme="majorHAnsi" w:hAnsiTheme="majorHAnsi" w:cstheme="majorHAnsi"/>
          <w:color w:val="333333"/>
        </w:rPr>
        <w:t>reva</w:t>
      </w:r>
      <w:r w:rsidR="00771496">
        <w:rPr>
          <w:rFonts w:asciiTheme="majorHAnsi" w:hAnsiTheme="majorHAnsi" w:cstheme="majorHAnsi"/>
          <w:color w:val="333333"/>
        </w:rPr>
        <w:t>sc</w:t>
      </w:r>
      <w:r w:rsidR="0040491D">
        <w:rPr>
          <w:rFonts w:asciiTheme="majorHAnsi" w:hAnsiTheme="majorHAnsi" w:cstheme="majorHAnsi"/>
          <w:color w:val="333333"/>
        </w:rPr>
        <w:t>cularisation</w:t>
      </w:r>
      <w:proofErr w:type="spellEnd"/>
      <w:r w:rsidR="0040491D">
        <w:rPr>
          <w:rFonts w:asciiTheme="majorHAnsi" w:hAnsiTheme="majorHAnsi" w:cstheme="majorHAnsi"/>
          <w:color w:val="333333"/>
        </w:rPr>
        <w:t xml:space="preserve"> en urgence </w:t>
      </w:r>
      <w:proofErr w:type="gramStart"/>
      <w:r w:rsidR="0040491D">
        <w:rPr>
          <w:rFonts w:asciiTheme="majorHAnsi" w:hAnsiTheme="majorHAnsi" w:cstheme="majorHAnsi"/>
          <w:color w:val="333333"/>
        </w:rPr>
        <w:t>( HR</w:t>
      </w:r>
      <w:proofErr w:type="gramEnd"/>
      <w:r w:rsidR="0040491D">
        <w:rPr>
          <w:rFonts w:asciiTheme="majorHAnsi" w:hAnsiTheme="majorHAnsi" w:cstheme="majorHAnsi"/>
          <w:color w:val="333333"/>
        </w:rPr>
        <w:t xml:space="preserve"> versus placebo </w:t>
      </w:r>
      <w:r w:rsidR="004522FD" w:rsidRPr="0040491D">
        <w:rPr>
          <w:rFonts w:asciiTheme="majorHAnsi" w:hAnsiTheme="majorHAnsi" w:cstheme="majorHAnsi"/>
          <w:color w:val="333333"/>
        </w:rPr>
        <w:t>0.83; P=0.005).</w:t>
      </w:r>
      <w:r w:rsidR="0040491D">
        <w:rPr>
          <w:rFonts w:asciiTheme="majorHAnsi" w:hAnsiTheme="majorHAnsi" w:cstheme="majorHAnsi"/>
          <w:color w:val="333333"/>
        </w:rPr>
        <w:t xml:space="preserve"> Par contre, le </w:t>
      </w:r>
      <w:proofErr w:type="spellStart"/>
      <w:r w:rsidR="0040491D">
        <w:rPr>
          <w:rFonts w:asciiTheme="majorHAnsi" w:hAnsiTheme="majorHAnsi" w:cstheme="majorHAnsi"/>
          <w:color w:val="333333"/>
        </w:rPr>
        <w:t>Canakinumab</w:t>
      </w:r>
      <w:proofErr w:type="spellEnd"/>
      <w:r w:rsidR="0040491D">
        <w:rPr>
          <w:rFonts w:asciiTheme="majorHAnsi" w:hAnsiTheme="majorHAnsi" w:cstheme="majorHAnsi"/>
          <w:color w:val="333333"/>
        </w:rPr>
        <w:t xml:space="preserve"> était associé à une incidence plus forte d’infection fatale que le placebo (taux d’incidence </w:t>
      </w:r>
      <w:r w:rsidR="0040491D" w:rsidRPr="0040491D">
        <w:rPr>
          <w:rFonts w:asciiTheme="majorHAnsi" w:hAnsiTheme="majorHAnsi" w:cstheme="majorHAnsi"/>
          <w:color w:val="333333"/>
        </w:rPr>
        <w:t>0.31 vs. 0.18</w:t>
      </w:r>
      <w:r w:rsidR="0040491D">
        <w:rPr>
          <w:rFonts w:asciiTheme="majorHAnsi" w:hAnsiTheme="majorHAnsi" w:cstheme="majorHAnsi"/>
          <w:color w:val="333333"/>
        </w:rPr>
        <w:t xml:space="preserve"> évènement pour 100 personnes-années, </w:t>
      </w:r>
      <w:r w:rsidR="0040491D" w:rsidRPr="0040491D">
        <w:rPr>
          <w:rFonts w:asciiTheme="majorHAnsi" w:hAnsiTheme="majorHAnsi" w:cstheme="majorHAnsi"/>
          <w:color w:val="333333"/>
        </w:rPr>
        <w:t>P=0.02).</w:t>
      </w:r>
    </w:p>
    <w:p w14:paraId="25E7EF41" w14:textId="77777777" w:rsidR="00771496" w:rsidRPr="0040491D" w:rsidRDefault="00771496" w:rsidP="0040491D">
      <w:pPr>
        <w:pStyle w:val="NormalWeb"/>
        <w:shd w:val="clear" w:color="auto" w:fill="FFFFFF"/>
        <w:spacing w:before="0" w:beforeAutospacing="0" w:after="0" w:afterAutospacing="0"/>
        <w:textAlignment w:val="baseline"/>
        <w:rPr>
          <w:rFonts w:asciiTheme="majorHAnsi" w:hAnsiTheme="majorHAnsi" w:cstheme="majorHAnsi"/>
          <w:color w:val="333333"/>
        </w:rPr>
      </w:pPr>
    </w:p>
    <w:p w14:paraId="2561CBC5" w14:textId="663ABC46" w:rsidR="0040491D" w:rsidRPr="00771496" w:rsidRDefault="0040491D" w:rsidP="0040491D">
      <w:pPr>
        <w:pStyle w:val="NormalWeb"/>
        <w:shd w:val="clear" w:color="auto" w:fill="FFFFFF"/>
        <w:spacing w:before="0" w:beforeAutospacing="0" w:after="0" w:afterAutospacing="0"/>
        <w:textAlignment w:val="baseline"/>
        <w:rPr>
          <w:rFonts w:asciiTheme="majorHAnsi" w:hAnsiTheme="majorHAnsi" w:cstheme="majorHAnsi"/>
          <w:color w:val="0070C0"/>
        </w:rPr>
      </w:pPr>
      <w:r w:rsidRPr="00771496">
        <w:rPr>
          <w:rFonts w:asciiTheme="majorHAnsi" w:hAnsiTheme="majorHAnsi" w:cstheme="majorHAnsi"/>
          <w:color w:val="0070C0"/>
        </w:rPr>
        <w:t>Conclusion</w:t>
      </w:r>
    </w:p>
    <w:p w14:paraId="7655B865" w14:textId="4DD24776" w:rsidR="0040491D" w:rsidRDefault="0040491D" w:rsidP="0040491D">
      <w:pPr>
        <w:pStyle w:val="NormalWeb"/>
        <w:shd w:val="clear" w:color="auto" w:fill="FFFFFF"/>
        <w:spacing w:before="0" w:beforeAutospacing="0" w:after="0" w:afterAutospacing="0"/>
        <w:textAlignment w:val="baseline"/>
        <w:rPr>
          <w:rFonts w:asciiTheme="majorHAnsi" w:hAnsiTheme="majorHAnsi" w:cstheme="majorHAnsi"/>
          <w:color w:val="333333"/>
        </w:rPr>
      </w:pPr>
      <w:r>
        <w:rPr>
          <w:rFonts w:asciiTheme="majorHAnsi" w:hAnsiTheme="majorHAnsi" w:cstheme="majorHAnsi"/>
          <w:color w:val="333333"/>
        </w:rPr>
        <w:t xml:space="preserve">Le </w:t>
      </w:r>
      <w:proofErr w:type="spellStart"/>
      <w:r>
        <w:rPr>
          <w:rFonts w:asciiTheme="majorHAnsi" w:hAnsiTheme="majorHAnsi" w:cstheme="majorHAnsi"/>
          <w:color w:val="333333"/>
        </w:rPr>
        <w:t>canakinumab</w:t>
      </w:r>
      <w:proofErr w:type="spellEnd"/>
      <w:r>
        <w:rPr>
          <w:rFonts w:asciiTheme="majorHAnsi" w:hAnsiTheme="majorHAnsi" w:cstheme="majorHAnsi"/>
          <w:color w:val="333333"/>
        </w:rPr>
        <w:t xml:space="preserve"> à 150 mg/3 mois permet de diminuer le risque d’évènements cardiovasculaires. Il entraine par contre une majoration du risque cardiovasculaire. </w:t>
      </w:r>
    </w:p>
    <w:p w14:paraId="170C5236" w14:textId="77777777" w:rsidR="00771496" w:rsidRDefault="00771496" w:rsidP="0040491D">
      <w:pPr>
        <w:pStyle w:val="NormalWeb"/>
        <w:shd w:val="clear" w:color="auto" w:fill="FFFFFF"/>
        <w:spacing w:before="0" w:beforeAutospacing="0" w:after="0" w:afterAutospacing="0"/>
        <w:textAlignment w:val="baseline"/>
        <w:rPr>
          <w:rFonts w:asciiTheme="majorHAnsi" w:hAnsiTheme="majorHAnsi" w:cstheme="majorHAnsi"/>
          <w:color w:val="333333"/>
        </w:rPr>
      </w:pPr>
    </w:p>
    <w:p w14:paraId="7FC17386" w14:textId="77777777" w:rsidR="0040491D" w:rsidRPr="00A73B7B" w:rsidRDefault="0040491D" w:rsidP="0040491D">
      <w:pPr>
        <w:jc w:val="both"/>
        <w:rPr>
          <w:rFonts w:asciiTheme="majorHAnsi" w:hAnsiTheme="majorHAnsi"/>
        </w:rPr>
      </w:pPr>
    </w:p>
    <w:p w14:paraId="4CDBDCEA" w14:textId="77777777" w:rsidR="00771496" w:rsidRDefault="00771496" w:rsidP="000249CB">
      <w:pPr>
        <w:jc w:val="both"/>
        <w:rPr>
          <w:rFonts w:asciiTheme="majorHAnsi" w:hAnsiTheme="majorHAnsi"/>
          <w:b/>
          <w:color w:val="244061" w:themeColor="accent1" w:themeShade="80"/>
          <w:sz w:val="28"/>
          <w:szCs w:val="28"/>
        </w:rPr>
      </w:pPr>
    </w:p>
    <w:p w14:paraId="6518431E" w14:textId="77777777" w:rsidR="00771496" w:rsidRDefault="00771496" w:rsidP="000249CB">
      <w:pPr>
        <w:jc w:val="both"/>
        <w:rPr>
          <w:rFonts w:asciiTheme="majorHAnsi" w:hAnsiTheme="majorHAnsi"/>
          <w:b/>
          <w:color w:val="244061" w:themeColor="accent1" w:themeShade="80"/>
          <w:sz w:val="28"/>
          <w:szCs w:val="28"/>
        </w:rPr>
      </w:pPr>
    </w:p>
    <w:p w14:paraId="4AC48EED" w14:textId="77777777" w:rsidR="00771496" w:rsidRDefault="00771496" w:rsidP="000249CB">
      <w:pPr>
        <w:jc w:val="both"/>
        <w:rPr>
          <w:rFonts w:asciiTheme="majorHAnsi" w:hAnsiTheme="majorHAnsi"/>
          <w:b/>
          <w:color w:val="244061" w:themeColor="accent1" w:themeShade="80"/>
          <w:sz w:val="28"/>
          <w:szCs w:val="28"/>
        </w:rPr>
      </w:pPr>
    </w:p>
    <w:p w14:paraId="6CC58F57" w14:textId="77777777" w:rsidR="00771496" w:rsidRDefault="00771496" w:rsidP="000249CB">
      <w:pPr>
        <w:jc w:val="both"/>
        <w:rPr>
          <w:rFonts w:asciiTheme="majorHAnsi" w:hAnsiTheme="majorHAnsi"/>
          <w:b/>
          <w:color w:val="244061" w:themeColor="accent1" w:themeShade="80"/>
          <w:sz w:val="28"/>
          <w:szCs w:val="28"/>
        </w:rPr>
      </w:pPr>
    </w:p>
    <w:p w14:paraId="41237FEA" w14:textId="77777777" w:rsidR="00771496" w:rsidRDefault="00771496" w:rsidP="000249CB">
      <w:pPr>
        <w:jc w:val="both"/>
        <w:rPr>
          <w:rFonts w:asciiTheme="majorHAnsi" w:hAnsiTheme="majorHAnsi"/>
          <w:b/>
          <w:color w:val="244061" w:themeColor="accent1" w:themeShade="80"/>
          <w:sz w:val="28"/>
          <w:szCs w:val="28"/>
        </w:rPr>
      </w:pPr>
    </w:p>
    <w:p w14:paraId="344BFFFC" w14:textId="77777777" w:rsidR="00771496" w:rsidRDefault="00771496" w:rsidP="000249CB">
      <w:pPr>
        <w:jc w:val="both"/>
        <w:rPr>
          <w:rFonts w:asciiTheme="majorHAnsi" w:hAnsiTheme="majorHAnsi"/>
          <w:b/>
          <w:color w:val="244061" w:themeColor="accent1" w:themeShade="80"/>
          <w:sz w:val="28"/>
          <w:szCs w:val="28"/>
        </w:rPr>
      </w:pPr>
    </w:p>
    <w:p w14:paraId="3CB1F915" w14:textId="09EF16D8" w:rsidR="000249CB" w:rsidRPr="0004617B" w:rsidRDefault="000249CB" w:rsidP="000249CB">
      <w:pPr>
        <w:jc w:val="both"/>
        <w:rPr>
          <w:rFonts w:asciiTheme="majorHAnsi" w:hAnsiTheme="majorHAnsi"/>
          <w:b/>
          <w:color w:val="244061" w:themeColor="accent1" w:themeShade="80"/>
          <w:sz w:val="28"/>
          <w:szCs w:val="28"/>
        </w:rPr>
      </w:pPr>
      <w:r w:rsidRPr="0004617B">
        <w:rPr>
          <w:rFonts w:asciiTheme="majorHAnsi" w:hAnsiTheme="majorHAnsi"/>
          <w:b/>
          <w:color w:val="244061" w:themeColor="accent1" w:themeShade="80"/>
          <w:sz w:val="28"/>
          <w:szCs w:val="28"/>
        </w:rPr>
        <w:t>I</w:t>
      </w:r>
      <w:r w:rsidR="00771496">
        <w:rPr>
          <w:rFonts w:asciiTheme="majorHAnsi" w:hAnsiTheme="majorHAnsi"/>
          <w:b/>
          <w:color w:val="244061" w:themeColor="accent1" w:themeShade="80"/>
          <w:sz w:val="28"/>
          <w:szCs w:val="28"/>
        </w:rPr>
        <w:t>NFECTIEUX</w:t>
      </w:r>
    </w:p>
    <w:p w14:paraId="12AD754C" w14:textId="557E39E9" w:rsidR="000249CB" w:rsidRDefault="000249CB" w:rsidP="000249CB">
      <w:pPr>
        <w:jc w:val="both"/>
        <w:rPr>
          <w:rFonts w:asciiTheme="majorHAnsi" w:hAnsiTheme="majorHAnsi"/>
        </w:rPr>
      </w:pPr>
    </w:p>
    <w:p w14:paraId="6BAA05BB" w14:textId="77777777" w:rsidR="00771496" w:rsidRDefault="00771496" w:rsidP="00771496">
      <w:pPr>
        <w:jc w:val="both"/>
        <w:rPr>
          <w:rFonts w:asciiTheme="majorHAnsi" w:hAnsiTheme="majorHAnsi"/>
        </w:rPr>
      </w:pPr>
    </w:p>
    <w:p w14:paraId="74AACCA5" w14:textId="77777777" w:rsidR="00771496" w:rsidRPr="00A73B7B" w:rsidRDefault="00A73B7B" w:rsidP="00771496">
      <w:pPr>
        <w:rPr>
          <w:rFonts w:asciiTheme="majorHAnsi" w:hAnsiTheme="majorHAnsi"/>
          <w:b/>
          <w:color w:val="4F81BD" w:themeColor="accent1"/>
        </w:rPr>
      </w:pPr>
      <w:hyperlink r:id="rId20" w:tgtFrame="_blank" w:history="1">
        <w:r w:rsidR="00771496" w:rsidRPr="00A73B7B">
          <w:rPr>
            <w:rFonts w:asciiTheme="majorHAnsi" w:hAnsiTheme="majorHAnsi"/>
            <w:b/>
            <w:color w:val="4F81BD" w:themeColor="accent1"/>
          </w:rPr>
          <w:t>EVALUATION OF A RAPID MOLECULAR DRUG-SUSCEPTIBILITY TEST FOR TUBERCULOSIS</w:t>
        </w:r>
      </w:hyperlink>
      <w:r w:rsidR="00771496" w:rsidRPr="00A73B7B">
        <w:rPr>
          <w:rFonts w:asciiTheme="majorHAnsi" w:hAnsiTheme="majorHAnsi"/>
          <w:b/>
          <w:color w:val="4F81BD" w:themeColor="accent1"/>
        </w:rPr>
        <w:t> </w:t>
      </w:r>
    </w:p>
    <w:p w14:paraId="5779BD91" w14:textId="77777777" w:rsidR="00771496" w:rsidRPr="00A73B7B" w:rsidRDefault="00771496" w:rsidP="00771496">
      <w:pPr>
        <w:rPr>
          <w:rFonts w:asciiTheme="majorHAnsi" w:hAnsiTheme="majorHAnsi"/>
          <w:b/>
          <w:u w:val="single"/>
        </w:rPr>
      </w:pPr>
    </w:p>
    <w:p w14:paraId="746A459B" w14:textId="77777777" w:rsidR="00771496" w:rsidRPr="000249CB" w:rsidRDefault="00771496" w:rsidP="00771496">
      <w:pPr>
        <w:rPr>
          <w:rFonts w:asciiTheme="majorHAnsi" w:hAnsiTheme="majorHAnsi"/>
          <w:lang w:val="en-GB"/>
        </w:rPr>
      </w:pPr>
      <w:r w:rsidRPr="000249CB">
        <w:rPr>
          <w:rFonts w:asciiTheme="majorHAnsi" w:hAnsiTheme="majorHAnsi"/>
          <w:lang w:val="en-GB"/>
        </w:rPr>
        <w:t xml:space="preserve">Y.L. </w:t>
      </w:r>
      <w:proofErr w:type="spellStart"/>
      <w:r w:rsidRPr="000249CB">
        <w:rPr>
          <w:rFonts w:asciiTheme="majorHAnsi" w:hAnsiTheme="majorHAnsi"/>
          <w:lang w:val="en-GB"/>
        </w:rPr>
        <w:t>Xie</w:t>
      </w:r>
      <w:proofErr w:type="spellEnd"/>
      <w:r w:rsidRPr="000249CB">
        <w:rPr>
          <w:rFonts w:asciiTheme="majorHAnsi" w:hAnsiTheme="majorHAnsi"/>
          <w:lang w:val="en-GB"/>
        </w:rPr>
        <w:t xml:space="preserve"> and Others | N </w:t>
      </w:r>
      <w:proofErr w:type="spellStart"/>
      <w:r w:rsidRPr="000249CB">
        <w:rPr>
          <w:rFonts w:asciiTheme="majorHAnsi" w:hAnsiTheme="majorHAnsi"/>
          <w:lang w:val="en-GB"/>
        </w:rPr>
        <w:t>Engl</w:t>
      </w:r>
      <w:proofErr w:type="spellEnd"/>
      <w:r w:rsidRPr="000249CB">
        <w:rPr>
          <w:rFonts w:asciiTheme="majorHAnsi" w:hAnsiTheme="majorHAnsi"/>
          <w:lang w:val="en-GB"/>
        </w:rPr>
        <w:t xml:space="preserve"> J Med 2017</w:t>
      </w:r>
      <w:proofErr w:type="gramStart"/>
      <w:r w:rsidRPr="000249CB">
        <w:rPr>
          <w:rFonts w:asciiTheme="majorHAnsi" w:hAnsiTheme="majorHAnsi"/>
          <w:lang w:val="en-GB"/>
        </w:rPr>
        <w:t>;377:1043</w:t>
      </w:r>
      <w:proofErr w:type="gramEnd"/>
      <w:r w:rsidRPr="000249CB">
        <w:rPr>
          <w:rFonts w:asciiTheme="majorHAnsi" w:hAnsiTheme="majorHAnsi"/>
          <w:lang w:val="en-GB"/>
        </w:rPr>
        <w:t>-1054</w:t>
      </w:r>
    </w:p>
    <w:p w14:paraId="30496B7A" w14:textId="77777777" w:rsidR="00A73B7B" w:rsidRPr="004B1CD8" w:rsidRDefault="00A73B7B" w:rsidP="00A73B7B">
      <w:pPr>
        <w:rPr>
          <w:rFonts w:asciiTheme="majorHAnsi" w:hAnsiTheme="majorHAnsi"/>
          <w:lang w:val="en-GB"/>
        </w:rPr>
      </w:pPr>
      <w:hyperlink r:id="rId21" w:history="1">
        <w:r w:rsidRPr="004B1CD8">
          <w:rPr>
            <w:rStyle w:val="Lienhypertexte"/>
            <w:rFonts w:asciiTheme="majorHAnsi" w:hAnsiTheme="majorHAnsi"/>
            <w:lang w:val="en-GB"/>
          </w:rPr>
          <w:t>https://www.ncbi.nlm.nih.gov/pubmed/?term=EVALUATION+OF+A+RAPID+MOLECULAR+DRUG-SUSCEPTIBILITY+TEST+FOR+TUBERCULOSIS</w:t>
        </w:r>
      </w:hyperlink>
      <w:r w:rsidRPr="004B1CD8">
        <w:rPr>
          <w:rFonts w:asciiTheme="majorHAnsi" w:hAnsiTheme="majorHAnsi"/>
          <w:lang w:val="en-GB"/>
        </w:rPr>
        <w:t xml:space="preserve"> </w:t>
      </w:r>
    </w:p>
    <w:p w14:paraId="2BFD34A9" w14:textId="77777777" w:rsidR="00771496" w:rsidRPr="000249CB" w:rsidRDefault="00771496" w:rsidP="00771496">
      <w:pPr>
        <w:rPr>
          <w:rFonts w:asciiTheme="majorHAnsi" w:hAnsiTheme="majorHAnsi"/>
          <w:lang w:val="en-GB"/>
        </w:rPr>
      </w:pPr>
    </w:p>
    <w:p w14:paraId="2BD9F9DC" w14:textId="77777777" w:rsidR="00771496" w:rsidRPr="00054778" w:rsidRDefault="00771496" w:rsidP="00771496">
      <w:pPr>
        <w:jc w:val="both"/>
        <w:rPr>
          <w:rFonts w:asciiTheme="majorHAnsi" w:hAnsiTheme="majorHAnsi"/>
          <w:color w:val="4F81BD" w:themeColor="accent1"/>
        </w:rPr>
      </w:pPr>
      <w:r w:rsidRPr="00054778">
        <w:rPr>
          <w:rFonts w:asciiTheme="majorHAnsi" w:hAnsiTheme="majorHAnsi"/>
          <w:color w:val="4F81BD" w:themeColor="accent1"/>
        </w:rPr>
        <w:t xml:space="preserve">Introduction : </w:t>
      </w:r>
    </w:p>
    <w:p w14:paraId="645324D1" w14:textId="77777777" w:rsidR="00771496" w:rsidRDefault="00771496" w:rsidP="00771496">
      <w:pPr>
        <w:jc w:val="both"/>
        <w:rPr>
          <w:rFonts w:asciiTheme="majorHAnsi" w:hAnsiTheme="majorHAnsi"/>
        </w:rPr>
      </w:pPr>
      <w:r w:rsidRPr="00054778">
        <w:rPr>
          <w:rFonts w:asciiTheme="majorHAnsi" w:hAnsiTheme="majorHAnsi"/>
        </w:rPr>
        <w:t xml:space="preserve">Tuberculose (TBK) multi-résistante (à RFP + INH) </w:t>
      </w:r>
      <w:r w:rsidRPr="00054778">
        <w:rPr>
          <w:rFonts w:asciiTheme="majorHAnsi" w:hAnsiTheme="majorHAnsi"/>
        </w:rPr>
        <w:sym w:font="Wingdings" w:char="F0E0"/>
      </w:r>
      <w:r w:rsidRPr="00054778">
        <w:rPr>
          <w:rFonts w:asciiTheme="majorHAnsi" w:hAnsiTheme="majorHAnsi"/>
        </w:rPr>
        <w:t xml:space="preserve"> soit TTT long 18-24 mois, soit TTT court 9-12 mois comprenant alors FQ, aminosides, </w:t>
      </w:r>
      <w:proofErr w:type="spellStart"/>
      <w:r w:rsidRPr="00054778">
        <w:rPr>
          <w:rFonts w:asciiTheme="majorHAnsi" w:hAnsiTheme="majorHAnsi"/>
        </w:rPr>
        <w:t>Capreomycine</w:t>
      </w:r>
      <w:proofErr w:type="spellEnd"/>
      <w:r w:rsidRPr="00054778">
        <w:rPr>
          <w:rFonts w:asciiTheme="majorHAnsi" w:hAnsiTheme="majorHAnsi"/>
        </w:rPr>
        <w:t xml:space="preserve">. Identification précoce des résistances nécessaire. Test de biologie moléculaire pour identifier TBK </w:t>
      </w:r>
      <w:proofErr w:type="spellStart"/>
      <w:r w:rsidRPr="00054778">
        <w:rPr>
          <w:rFonts w:asciiTheme="majorHAnsi" w:hAnsiTheme="majorHAnsi"/>
        </w:rPr>
        <w:t>rstt</w:t>
      </w:r>
      <w:proofErr w:type="spellEnd"/>
      <w:r w:rsidRPr="00054778">
        <w:rPr>
          <w:rFonts w:asciiTheme="majorHAnsi" w:hAnsiTheme="majorHAnsi"/>
        </w:rPr>
        <w:t xml:space="preserve"> à RFP existe </w:t>
      </w:r>
      <w:proofErr w:type="gramStart"/>
      <w:r w:rsidRPr="00054778">
        <w:rPr>
          <w:rFonts w:asciiTheme="majorHAnsi" w:hAnsiTheme="majorHAnsi"/>
        </w:rPr>
        <w:t>déjà  (</w:t>
      </w:r>
      <w:proofErr w:type="gramEnd"/>
      <w:r w:rsidRPr="00054778">
        <w:rPr>
          <w:rFonts w:asciiTheme="majorHAnsi" w:hAnsiTheme="majorHAnsi"/>
        </w:rPr>
        <w:t xml:space="preserve">=test </w:t>
      </w:r>
      <w:proofErr w:type="spellStart"/>
      <w:r w:rsidRPr="00054778">
        <w:rPr>
          <w:rFonts w:asciiTheme="majorHAnsi" w:hAnsiTheme="majorHAnsi"/>
        </w:rPr>
        <w:t>Xpert</w:t>
      </w:r>
      <w:proofErr w:type="spellEnd"/>
      <w:r w:rsidRPr="00054778">
        <w:rPr>
          <w:rFonts w:asciiTheme="majorHAnsi" w:hAnsiTheme="majorHAnsi"/>
        </w:rPr>
        <w:t xml:space="preserve"> MTB/RIF). Nouveau test de </w:t>
      </w:r>
      <w:proofErr w:type="spellStart"/>
      <w:r w:rsidRPr="00054778">
        <w:rPr>
          <w:rFonts w:asciiTheme="majorHAnsi" w:hAnsiTheme="majorHAnsi"/>
        </w:rPr>
        <w:t>biomol</w:t>
      </w:r>
      <w:proofErr w:type="spellEnd"/>
      <w:r w:rsidRPr="00054778">
        <w:rPr>
          <w:rFonts w:asciiTheme="majorHAnsi" w:hAnsiTheme="majorHAnsi"/>
        </w:rPr>
        <w:t xml:space="preserve"> pour </w:t>
      </w:r>
      <w:proofErr w:type="spellStart"/>
      <w:r w:rsidRPr="00054778">
        <w:rPr>
          <w:rFonts w:asciiTheme="majorHAnsi" w:hAnsiTheme="majorHAnsi"/>
        </w:rPr>
        <w:t>rstc</w:t>
      </w:r>
      <w:proofErr w:type="spellEnd"/>
      <w:r w:rsidRPr="00054778">
        <w:rPr>
          <w:rFonts w:asciiTheme="majorHAnsi" w:hAnsiTheme="majorHAnsi"/>
        </w:rPr>
        <w:t xml:space="preserve"> à INH, FQ, aminosides = test investigué. </w:t>
      </w:r>
    </w:p>
    <w:p w14:paraId="64B85318" w14:textId="77777777" w:rsidR="00771496" w:rsidRDefault="00771496" w:rsidP="00771496">
      <w:pPr>
        <w:jc w:val="both"/>
        <w:rPr>
          <w:rFonts w:asciiTheme="majorHAnsi" w:hAnsiTheme="majorHAnsi"/>
        </w:rPr>
      </w:pPr>
    </w:p>
    <w:p w14:paraId="0E58B283" w14:textId="77777777" w:rsidR="00771496" w:rsidRPr="00054778" w:rsidRDefault="00771496" w:rsidP="00771496">
      <w:pPr>
        <w:jc w:val="both"/>
        <w:rPr>
          <w:rFonts w:asciiTheme="majorHAnsi" w:hAnsiTheme="majorHAnsi"/>
          <w:color w:val="4F81BD" w:themeColor="accent1"/>
        </w:rPr>
      </w:pPr>
      <w:r w:rsidRPr="00054778">
        <w:rPr>
          <w:rFonts w:asciiTheme="majorHAnsi" w:hAnsiTheme="majorHAnsi"/>
          <w:color w:val="4F81BD" w:themeColor="accent1"/>
        </w:rPr>
        <w:t xml:space="preserve">Objectif : </w:t>
      </w:r>
    </w:p>
    <w:p w14:paraId="7BC5098D" w14:textId="77777777" w:rsidR="00771496" w:rsidRDefault="00771496" w:rsidP="00771496">
      <w:pPr>
        <w:jc w:val="both"/>
        <w:rPr>
          <w:rFonts w:asciiTheme="majorHAnsi" w:hAnsiTheme="majorHAnsi"/>
        </w:rPr>
      </w:pPr>
      <w:r>
        <w:rPr>
          <w:rFonts w:asciiTheme="majorHAnsi" w:hAnsiTheme="majorHAnsi"/>
        </w:rPr>
        <w:t>E</w:t>
      </w:r>
      <w:r w:rsidRPr="00054778">
        <w:rPr>
          <w:rFonts w:asciiTheme="majorHAnsi" w:hAnsiTheme="majorHAnsi"/>
        </w:rPr>
        <w:t xml:space="preserve">valuer les caractéristiques de ce test = </w:t>
      </w:r>
      <w:proofErr w:type="spellStart"/>
      <w:r w:rsidRPr="00054778">
        <w:rPr>
          <w:rFonts w:asciiTheme="majorHAnsi" w:hAnsiTheme="majorHAnsi"/>
        </w:rPr>
        <w:t>ssb</w:t>
      </w:r>
      <w:proofErr w:type="spellEnd"/>
      <w:r w:rsidRPr="00054778">
        <w:rPr>
          <w:rFonts w:asciiTheme="majorHAnsi" w:hAnsiTheme="majorHAnsi"/>
        </w:rPr>
        <w:t xml:space="preserve"> et </w:t>
      </w:r>
      <w:proofErr w:type="spellStart"/>
      <w:r w:rsidRPr="00054778">
        <w:rPr>
          <w:rFonts w:asciiTheme="majorHAnsi" w:hAnsiTheme="majorHAnsi"/>
        </w:rPr>
        <w:t>sp</w:t>
      </w:r>
      <w:proofErr w:type="spellEnd"/>
      <w:r w:rsidRPr="00054778">
        <w:rPr>
          <w:rFonts w:asciiTheme="majorHAnsi" w:hAnsiTheme="majorHAnsi"/>
        </w:rPr>
        <w:t xml:space="preserve"> pour les </w:t>
      </w:r>
      <w:proofErr w:type="spellStart"/>
      <w:r w:rsidRPr="00054778">
        <w:rPr>
          <w:rFonts w:asciiTheme="majorHAnsi" w:hAnsiTheme="majorHAnsi"/>
        </w:rPr>
        <w:t>rstc</w:t>
      </w:r>
      <w:proofErr w:type="spellEnd"/>
      <w:r w:rsidRPr="00054778">
        <w:rPr>
          <w:rFonts w:asciiTheme="majorHAnsi" w:hAnsiTheme="majorHAnsi"/>
        </w:rPr>
        <w:t xml:space="preserve"> à INH, </w:t>
      </w:r>
      <w:proofErr w:type="spellStart"/>
      <w:r w:rsidRPr="00054778">
        <w:rPr>
          <w:rFonts w:asciiTheme="majorHAnsi" w:hAnsiTheme="majorHAnsi"/>
        </w:rPr>
        <w:t>moxifloxacine</w:t>
      </w:r>
      <w:proofErr w:type="spellEnd"/>
      <w:r w:rsidRPr="00054778">
        <w:rPr>
          <w:rFonts w:asciiTheme="majorHAnsi" w:hAnsiTheme="majorHAnsi"/>
        </w:rPr>
        <w:t xml:space="preserve">, </w:t>
      </w:r>
      <w:proofErr w:type="spellStart"/>
      <w:r w:rsidRPr="00054778">
        <w:rPr>
          <w:rFonts w:asciiTheme="majorHAnsi" w:hAnsiTheme="majorHAnsi"/>
        </w:rPr>
        <w:t>ofloxacine</w:t>
      </w:r>
      <w:proofErr w:type="spellEnd"/>
      <w:r w:rsidRPr="00054778">
        <w:rPr>
          <w:rFonts w:asciiTheme="majorHAnsi" w:hAnsiTheme="majorHAnsi"/>
        </w:rPr>
        <w:t xml:space="preserve">, </w:t>
      </w:r>
      <w:proofErr w:type="spellStart"/>
      <w:r w:rsidRPr="00054778">
        <w:rPr>
          <w:rFonts w:asciiTheme="majorHAnsi" w:hAnsiTheme="majorHAnsi"/>
        </w:rPr>
        <w:t>amikacine</w:t>
      </w:r>
      <w:proofErr w:type="spellEnd"/>
      <w:r w:rsidRPr="00054778">
        <w:rPr>
          <w:rFonts w:asciiTheme="majorHAnsi" w:hAnsiTheme="majorHAnsi"/>
        </w:rPr>
        <w:t xml:space="preserve"> et </w:t>
      </w:r>
      <w:proofErr w:type="spellStart"/>
      <w:r w:rsidRPr="00054778">
        <w:rPr>
          <w:rFonts w:asciiTheme="majorHAnsi" w:hAnsiTheme="majorHAnsi"/>
        </w:rPr>
        <w:t>kanamycine</w:t>
      </w:r>
      <w:proofErr w:type="spellEnd"/>
      <w:r w:rsidRPr="00054778">
        <w:rPr>
          <w:rFonts w:asciiTheme="majorHAnsi" w:hAnsiTheme="majorHAnsi"/>
        </w:rPr>
        <w:t xml:space="preserve">. </w:t>
      </w:r>
    </w:p>
    <w:p w14:paraId="510C6EBE" w14:textId="77777777" w:rsidR="00771496" w:rsidRDefault="00771496" w:rsidP="00771496">
      <w:pPr>
        <w:jc w:val="both"/>
        <w:rPr>
          <w:rFonts w:asciiTheme="majorHAnsi" w:hAnsiTheme="majorHAnsi"/>
        </w:rPr>
      </w:pPr>
    </w:p>
    <w:p w14:paraId="65014710" w14:textId="77777777" w:rsidR="00771496" w:rsidRPr="00054778" w:rsidRDefault="00771496" w:rsidP="00771496">
      <w:pPr>
        <w:jc w:val="both"/>
        <w:rPr>
          <w:rFonts w:asciiTheme="majorHAnsi" w:hAnsiTheme="majorHAnsi"/>
          <w:color w:val="4F81BD" w:themeColor="accent1"/>
        </w:rPr>
      </w:pPr>
      <w:r w:rsidRPr="00054778">
        <w:rPr>
          <w:rFonts w:asciiTheme="majorHAnsi" w:hAnsiTheme="majorHAnsi"/>
          <w:color w:val="4F81BD" w:themeColor="accent1"/>
        </w:rPr>
        <w:lastRenderedPageBreak/>
        <w:t xml:space="preserve">Méthodes : </w:t>
      </w:r>
    </w:p>
    <w:p w14:paraId="7D101B0F" w14:textId="77777777" w:rsidR="00771496" w:rsidRDefault="00771496" w:rsidP="00771496">
      <w:pPr>
        <w:jc w:val="both"/>
        <w:rPr>
          <w:rFonts w:asciiTheme="majorHAnsi" w:hAnsiTheme="majorHAnsi"/>
        </w:rPr>
      </w:pPr>
      <w:r>
        <w:rPr>
          <w:rFonts w:asciiTheme="majorHAnsi" w:hAnsiTheme="majorHAnsi"/>
        </w:rPr>
        <w:t>E</w:t>
      </w:r>
      <w:r w:rsidRPr="00054778">
        <w:rPr>
          <w:rFonts w:asciiTheme="majorHAnsi" w:hAnsiTheme="majorHAnsi"/>
        </w:rPr>
        <w:t xml:space="preserve">tude prospective, double-aveugle, multicentrique. 2 gold-standards (GS) : </w:t>
      </w:r>
      <w:proofErr w:type="spellStart"/>
      <w:r w:rsidRPr="00054778">
        <w:rPr>
          <w:rFonts w:asciiTheme="majorHAnsi" w:hAnsiTheme="majorHAnsi"/>
        </w:rPr>
        <w:t>ATBgramme</w:t>
      </w:r>
      <w:proofErr w:type="spellEnd"/>
      <w:r w:rsidRPr="00054778">
        <w:rPr>
          <w:rFonts w:asciiTheme="majorHAnsi" w:hAnsiTheme="majorHAnsi"/>
        </w:rPr>
        <w:t xml:space="preserve"> sur culture / </w:t>
      </w:r>
      <w:proofErr w:type="spellStart"/>
      <w:r w:rsidRPr="00054778">
        <w:rPr>
          <w:rFonts w:asciiTheme="majorHAnsi" w:hAnsiTheme="majorHAnsi"/>
        </w:rPr>
        <w:t>séquencage</w:t>
      </w:r>
      <w:proofErr w:type="spellEnd"/>
      <w:r w:rsidRPr="00054778">
        <w:rPr>
          <w:rFonts w:asciiTheme="majorHAnsi" w:hAnsiTheme="majorHAnsi"/>
        </w:rPr>
        <w:t xml:space="preserve"> ADN. Inclusion : adultes à Séoul et </w:t>
      </w:r>
      <w:proofErr w:type="spellStart"/>
      <w:r w:rsidRPr="00054778">
        <w:rPr>
          <w:rFonts w:asciiTheme="majorHAnsi" w:hAnsiTheme="majorHAnsi"/>
        </w:rPr>
        <w:t>Zhengzou</w:t>
      </w:r>
      <w:proofErr w:type="spellEnd"/>
      <w:r w:rsidRPr="00054778">
        <w:rPr>
          <w:rFonts w:asciiTheme="majorHAnsi" w:hAnsiTheme="majorHAnsi"/>
        </w:rPr>
        <w:t xml:space="preserve"> de 06/2014 à 06/2015, avec symptômes </w:t>
      </w:r>
      <w:proofErr w:type="spellStart"/>
      <w:r w:rsidRPr="00054778">
        <w:rPr>
          <w:rFonts w:asciiTheme="majorHAnsi" w:hAnsiTheme="majorHAnsi"/>
        </w:rPr>
        <w:t>pulm</w:t>
      </w:r>
      <w:proofErr w:type="spellEnd"/>
      <w:r w:rsidRPr="00054778">
        <w:rPr>
          <w:rFonts w:asciiTheme="majorHAnsi" w:hAnsiTheme="majorHAnsi"/>
        </w:rPr>
        <w:t xml:space="preserve"> de TBK. 405 </w:t>
      </w:r>
      <w:proofErr w:type="spellStart"/>
      <w:r w:rsidRPr="00054778">
        <w:rPr>
          <w:rFonts w:asciiTheme="majorHAnsi" w:hAnsiTheme="majorHAnsi"/>
        </w:rPr>
        <w:t>screenés</w:t>
      </w:r>
      <w:proofErr w:type="spellEnd"/>
      <w:r w:rsidRPr="00054778">
        <w:rPr>
          <w:rFonts w:asciiTheme="majorHAnsi" w:hAnsiTheme="majorHAnsi"/>
        </w:rPr>
        <w:t xml:space="preserve"> </w:t>
      </w:r>
      <w:r w:rsidRPr="00054778">
        <w:rPr>
          <w:rFonts w:asciiTheme="majorHAnsi" w:hAnsiTheme="majorHAnsi"/>
        </w:rPr>
        <w:sym w:font="Wingdings" w:char="F0E0"/>
      </w:r>
      <w:r w:rsidRPr="00054778">
        <w:rPr>
          <w:rFonts w:asciiTheme="majorHAnsi" w:hAnsiTheme="majorHAnsi"/>
        </w:rPr>
        <w:t xml:space="preserve"> 401 éligibles </w:t>
      </w:r>
      <w:r w:rsidRPr="00054778">
        <w:rPr>
          <w:rFonts w:asciiTheme="majorHAnsi" w:hAnsiTheme="majorHAnsi"/>
        </w:rPr>
        <w:sym w:font="Wingdings" w:char="F0E0"/>
      </w:r>
      <w:r w:rsidRPr="00054778">
        <w:rPr>
          <w:rFonts w:asciiTheme="majorHAnsi" w:hAnsiTheme="majorHAnsi"/>
        </w:rPr>
        <w:t xml:space="preserve"> 308 inclus (93 exclus car gold-standards non réalisables : cultures </w:t>
      </w:r>
      <w:proofErr w:type="spellStart"/>
      <w:r w:rsidRPr="00054778">
        <w:rPr>
          <w:rFonts w:asciiTheme="majorHAnsi" w:hAnsiTheme="majorHAnsi"/>
        </w:rPr>
        <w:t>neg</w:t>
      </w:r>
      <w:proofErr w:type="spellEnd"/>
      <w:r w:rsidRPr="00054778">
        <w:rPr>
          <w:rFonts w:asciiTheme="majorHAnsi" w:hAnsiTheme="majorHAnsi"/>
        </w:rPr>
        <w:t xml:space="preserve">, ADN insuffisant..). Réalisation pour chacun : test investigué (+ </w:t>
      </w:r>
      <w:proofErr w:type="spellStart"/>
      <w:r w:rsidRPr="00054778">
        <w:rPr>
          <w:rFonts w:asciiTheme="majorHAnsi" w:hAnsiTheme="majorHAnsi"/>
        </w:rPr>
        <w:t>Xpert</w:t>
      </w:r>
      <w:proofErr w:type="spellEnd"/>
      <w:r w:rsidRPr="00054778">
        <w:rPr>
          <w:rFonts w:asciiTheme="majorHAnsi" w:hAnsiTheme="majorHAnsi"/>
        </w:rPr>
        <w:t xml:space="preserve"> MTB/RIF) et les 2 GS. </w:t>
      </w:r>
    </w:p>
    <w:p w14:paraId="6DEAFE04" w14:textId="77777777" w:rsidR="00771496" w:rsidRDefault="00771496" w:rsidP="00771496">
      <w:pPr>
        <w:jc w:val="both"/>
        <w:rPr>
          <w:rFonts w:asciiTheme="majorHAnsi" w:hAnsiTheme="majorHAnsi"/>
        </w:rPr>
      </w:pPr>
    </w:p>
    <w:p w14:paraId="6B1FCB1F" w14:textId="77777777" w:rsidR="00771496" w:rsidRPr="00054778" w:rsidRDefault="00771496" w:rsidP="00771496">
      <w:pPr>
        <w:jc w:val="both"/>
        <w:rPr>
          <w:rFonts w:asciiTheme="majorHAnsi" w:hAnsiTheme="majorHAnsi"/>
          <w:color w:val="4F81BD" w:themeColor="accent1"/>
        </w:rPr>
      </w:pPr>
      <w:r w:rsidRPr="00054778">
        <w:rPr>
          <w:rFonts w:asciiTheme="majorHAnsi" w:hAnsiTheme="majorHAnsi"/>
          <w:color w:val="4F81BD" w:themeColor="accent1"/>
        </w:rPr>
        <w:t xml:space="preserve">Résultats : </w:t>
      </w:r>
    </w:p>
    <w:p w14:paraId="3DC06537" w14:textId="77777777" w:rsidR="00771496" w:rsidRDefault="00771496" w:rsidP="00771496">
      <w:pPr>
        <w:jc w:val="both"/>
        <w:rPr>
          <w:rFonts w:asciiTheme="majorHAnsi" w:hAnsiTheme="majorHAnsi"/>
        </w:rPr>
      </w:pPr>
      <w:r w:rsidRPr="00054778">
        <w:rPr>
          <w:rFonts w:asciiTheme="majorHAnsi" w:hAnsiTheme="majorHAnsi"/>
        </w:rPr>
        <w:t xml:space="preserve">Test investigué : 4 échecs du test (sur 308), 18 résultats indéterminés (sur 1824 gènes testés). Détection des résistances avec </w:t>
      </w:r>
      <w:proofErr w:type="spellStart"/>
      <w:r w:rsidRPr="00054778">
        <w:rPr>
          <w:rFonts w:asciiTheme="majorHAnsi" w:hAnsiTheme="majorHAnsi"/>
        </w:rPr>
        <w:t>ATBgramme</w:t>
      </w:r>
      <w:proofErr w:type="spellEnd"/>
      <w:r w:rsidRPr="00054778">
        <w:rPr>
          <w:rFonts w:asciiTheme="majorHAnsi" w:hAnsiTheme="majorHAnsi"/>
        </w:rPr>
        <w:t xml:space="preserve"> comme GS : </w:t>
      </w:r>
      <w:proofErr w:type="spellStart"/>
      <w:r w:rsidRPr="00054778">
        <w:rPr>
          <w:rFonts w:asciiTheme="majorHAnsi" w:hAnsiTheme="majorHAnsi"/>
        </w:rPr>
        <w:t>ssb</w:t>
      </w:r>
      <w:proofErr w:type="spellEnd"/>
      <w:r w:rsidRPr="00054778">
        <w:rPr>
          <w:rFonts w:asciiTheme="majorHAnsi" w:hAnsiTheme="majorHAnsi"/>
        </w:rPr>
        <w:t xml:space="preserve"> 83.3% pour INH, 88.4% pour </w:t>
      </w:r>
      <w:proofErr w:type="spellStart"/>
      <w:r w:rsidRPr="00054778">
        <w:rPr>
          <w:rFonts w:asciiTheme="majorHAnsi" w:hAnsiTheme="majorHAnsi"/>
        </w:rPr>
        <w:t>Ofloxacine</w:t>
      </w:r>
      <w:proofErr w:type="spellEnd"/>
      <w:r w:rsidRPr="00054778">
        <w:rPr>
          <w:rFonts w:asciiTheme="majorHAnsi" w:hAnsiTheme="majorHAnsi"/>
        </w:rPr>
        <w:t xml:space="preserve">, 87.6% pour </w:t>
      </w:r>
      <w:proofErr w:type="spellStart"/>
      <w:r w:rsidRPr="00054778">
        <w:rPr>
          <w:rFonts w:asciiTheme="majorHAnsi" w:hAnsiTheme="majorHAnsi"/>
        </w:rPr>
        <w:t>Moxifloxacine</w:t>
      </w:r>
      <w:proofErr w:type="spellEnd"/>
      <w:r w:rsidRPr="00054778">
        <w:rPr>
          <w:rFonts w:asciiTheme="majorHAnsi" w:hAnsiTheme="majorHAnsi"/>
        </w:rPr>
        <w:t xml:space="preserve">, 71.4% pour </w:t>
      </w:r>
      <w:proofErr w:type="spellStart"/>
      <w:r w:rsidRPr="00054778">
        <w:rPr>
          <w:rFonts w:asciiTheme="majorHAnsi" w:hAnsiTheme="majorHAnsi"/>
        </w:rPr>
        <w:t>Kanamycine</w:t>
      </w:r>
      <w:proofErr w:type="spellEnd"/>
      <w:r w:rsidRPr="00054778">
        <w:rPr>
          <w:rFonts w:asciiTheme="majorHAnsi" w:hAnsiTheme="majorHAnsi"/>
        </w:rPr>
        <w:t xml:space="preserve">, 70.4% pour </w:t>
      </w:r>
      <w:proofErr w:type="spellStart"/>
      <w:r w:rsidRPr="00054778">
        <w:rPr>
          <w:rFonts w:asciiTheme="majorHAnsi" w:hAnsiTheme="majorHAnsi"/>
        </w:rPr>
        <w:t>Amikacine</w:t>
      </w:r>
      <w:proofErr w:type="spellEnd"/>
      <w:r w:rsidRPr="00054778">
        <w:rPr>
          <w:rFonts w:asciiTheme="majorHAnsi" w:hAnsiTheme="majorHAnsi"/>
        </w:rPr>
        <w:t xml:space="preserve">, et </w:t>
      </w:r>
      <w:proofErr w:type="spellStart"/>
      <w:r w:rsidRPr="00054778">
        <w:rPr>
          <w:rFonts w:asciiTheme="majorHAnsi" w:hAnsiTheme="majorHAnsi"/>
        </w:rPr>
        <w:t>Sp</w:t>
      </w:r>
      <w:proofErr w:type="spellEnd"/>
      <w:r w:rsidRPr="00054778">
        <w:rPr>
          <w:rFonts w:asciiTheme="majorHAnsi" w:hAnsiTheme="majorHAnsi"/>
        </w:rPr>
        <w:t xml:space="preserve"> 94.3% ou plus. Avec </w:t>
      </w:r>
      <w:proofErr w:type="spellStart"/>
      <w:r w:rsidRPr="00054778">
        <w:rPr>
          <w:rFonts w:asciiTheme="majorHAnsi" w:hAnsiTheme="majorHAnsi"/>
        </w:rPr>
        <w:t>séquencage</w:t>
      </w:r>
      <w:proofErr w:type="spellEnd"/>
      <w:r w:rsidRPr="00054778">
        <w:rPr>
          <w:rFonts w:asciiTheme="majorHAnsi" w:hAnsiTheme="majorHAnsi"/>
        </w:rPr>
        <w:t xml:space="preserve"> ADN comme GS : </w:t>
      </w:r>
      <w:proofErr w:type="spellStart"/>
      <w:r w:rsidRPr="00054778">
        <w:rPr>
          <w:rFonts w:asciiTheme="majorHAnsi" w:hAnsiTheme="majorHAnsi"/>
        </w:rPr>
        <w:t>ssb</w:t>
      </w:r>
      <w:proofErr w:type="spellEnd"/>
      <w:r w:rsidRPr="00054778">
        <w:rPr>
          <w:rFonts w:asciiTheme="majorHAnsi" w:hAnsiTheme="majorHAnsi"/>
        </w:rPr>
        <w:t xml:space="preserve"> 98.1% pour INH, 95.8% pour FQ, 92.7% pour </w:t>
      </w:r>
      <w:proofErr w:type="spellStart"/>
      <w:r w:rsidRPr="00054778">
        <w:rPr>
          <w:rFonts w:asciiTheme="majorHAnsi" w:hAnsiTheme="majorHAnsi"/>
        </w:rPr>
        <w:t>Kanamycine</w:t>
      </w:r>
      <w:proofErr w:type="spellEnd"/>
      <w:r w:rsidRPr="00054778">
        <w:rPr>
          <w:rFonts w:asciiTheme="majorHAnsi" w:hAnsiTheme="majorHAnsi"/>
        </w:rPr>
        <w:t xml:space="preserve">, 96.8% pour </w:t>
      </w:r>
      <w:proofErr w:type="spellStart"/>
      <w:r w:rsidRPr="00054778">
        <w:rPr>
          <w:rFonts w:asciiTheme="majorHAnsi" w:hAnsiTheme="majorHAnsi"/>
        </w:rPr>
        <w:t>Amikacine</w:t>
      </w:r>
      <w:proofErr w:type="spellEnd"/>
      <w:r w:rsidRPr="00054778">
        <w:rPr>
          <w:rFonts w:asciiTheme="majorHAnsi" w:hAnsiTheme="majorHAnsi"/>
        </w:rPr>
        <w:t xml:space="preserve">, et </w:t>
      </w:r>
      <w:proofErr w:type="spellStart"/>
      <w:r w:rsidRPr="00054778">
        <w:rPr>
          <w:rFonts w:asciiTheme="majorHAnsi" w:hAnsiTheme="majorHAnsi"/>
        </w:rPr>
        <w:t>Sp</w:t>
      </w:r>
      <w:proofErr w:type="spellEnd"/>
      <w:r w:rsidRPr="00054778">
        <w:rPr>
          <w:rFonts w:asciiTheme="majorHAnsi" w:hAnsiTheme="majorHAnsi"/>
        </w:rPr>
        <w:t xml:space="preserve"> 99.6% ou plus. Conséquence pratique sur le TTT : étude de la résistance aux FQ et aux aminosides parmi les TBK multi-</w:t>
      </w:r>
      <w:proofErr w:type="spellStart"/>
      <w:r w:rsidRPr="00054778">
        <w:rPr>
          <w:rFonts w:asciiTheme="majorHAnsi" w:hAnsiTheme="majorHAnsi"/>
        </w:rPr>
        <w:t>rstt</w:t>
      </w:r>
      <w:proofErr w:type="spellEnd"/>
      <w:r w:rsidRPr="00054778">
        <w:rPr>
          <w:rFonts w:asciiTheme="majorHAnsi" w:hAnsiTheme="majorHAnsi"/>
        </w:rPr>
        <w:t xml:space="preserve"> : VPP (= résistance </w:t>
      </w:r>
      <w:r w:rsidRPr="00054778">
        <w:rPr>
          <w:rFonts w:asciiTheme="majorHAnsi" w:hAnsiTheme="majorHAnsi"/>
        </w:rPr>
        <w:sym w:font="Wingdings" w:char="F0E0"/>
      </w:r>
      <w:r w:rsidRPr="00054778">
        <w:rPr>
          <w:rFonts w:asciiTheme="majorHAnsi" w:hAnsiTheme="majorHAnsi"/>
        </w:rPr>
        <w:t>patients non éligibles au TTT court) = 94.2% [CI95 87.0-98.1], VPN (= sensibilité</w:t>
      </w:r>
      <w:r w:rsidRPr="00054778">
        <w:rPr>
          <w:rFonts w:asciiTheme="majorHAnsi" w:hAnsiTheme="majorHAnsi"/>
        </w:rPr>
        <w:sym w:font="Wingdings" w:char="F0E0"/>
      </w:r>
      <w:r w:rsidRPr="00054778">
        <w:rPr>
          <w:rFonts w:asciiTheme="majorHAnsi" w:hAnsiTheme="majorHAnsi"/>
        </w:rPr>
        <w:t xml:space="preserve">patients éligibles au TTT court) = 81.4% [CI95 69.1-90.3]. </w:t>
      </w:r>
    </w:p>
    <w:p w14:paraId="18F7B9B0" w14:textId="77777777" w:rsidR="00771496" w:rsidRDefault="00771496" w:rsidP="00771496">
      <w:pPr>
        <w:jc w:val="both"/>
        <w:rPr>
          <w:rFonts w:asciiTheme="majorHAnsi" w:hAnsiTheme="majorHAnsi"/>
        </w:rPr>
      </w:pPr>
    </w:p>
    <w:p w14:paraId="729B4C15" w14:textId="77777777" w:rsidR="00771496" w:rsidRPr="00054778" w:rsidRDefault="00771496" w:rsidP="00771496">
      <w:pPr>
        <w:jc w:val="both"/>
        <w:rPr>
          <w:rFonts w:asciiTheme="majorHAnsi" w:hAnsiTheme="majorHAnsi"/>
          <w:color w:val="4F81BD" w:themeColor="accent1"/>
        </w:rPr>
      </w:pPr>
      <w:r w:rsidRPr="00054778">
        <w:rPr>
          <w:rFonts w:asciiTheme="majorHAnsi" w:hAnsiTheme="majorHAnsi"/>
          <w:color w:val="4F81BD" w:themeColor="accent1"/>
        </w:rPr>
        <w:t xml:space="preserve">Discussion : </w:t>
      </w:r>
    </w:p>
    <w:p w14:paraId="4AC2B5D8" w14:textId="77777777" w:rsidR="00771496" w:rsidRDefault="00771496" w:rsidP="00771496">
      <w:pPr>
        <w:jc w:val="both"/>
        <w:rPr>
          <w:rFonts w:asciiTheme="majorHAnsi" w:hAnsiTheme="majorHAnsi"/>
        </w:rPr>
      </w:pPr>
      <w:r w:rsidRPr="00054778">
        <w:rPr>
          <w:rFonts w:asciiTheme="majorHAnsi" w:hAnsiTheme="majorHAnsi"/>
        </w:rPr>
        <w:t xml:space="preserve">Objectifs de l’OMS pour les tests de </w:t>
      </w:r>
      <w:proofErr w:type="spellStart"/>
      <w:r w:rsidRPr="00054778">
        <w:rPr>
          <w:rFonts w:asciiTheme="majorHAnsi" w:hAnsiTheme="majorHAnsi"/>
        </w:rPr>
        <w:t>biomol</w:t>
      </w:r>
      <w:proofErr w:type="spellEnd"/>
      <w:r w:rsidRPr="00054778">
        <w:rPr>
          <w:rFonts w:asciiTheme="majorHAnsi" w:hAnsiTheme="majorHAnsi"/>
        </w:rPr>
        <w:t xml:space="preserve"> (avec </w:t>
      </w:r>
      <w:proofErr w:type="spellStart"/>
      <w:r w:rsidRPr="00054778">
        <w:rPr>
          <w:rFonts w:asciiTheme="majorHAnsi" w:hAnsiTheme="majorHAnsi"/>
        </w:rPr>
        <w:t>séquencage</w:t>
      </w:r>
      <w:proofErr w:type="spellEnd"/>
      <w:r w:rsidRPr="00054778">
        <w:rPr>
          <w:rFonts w:asciiTheme="majorHAnsi" w:hAnsiTheme="majorHAnsi"/>
        </w:rPr>
        <w:t xml:space="preserve"> ADN comme GS) : </w:t>
      </w:r>
      <w:proofErr w:type="spellStart"/>
      <w:r w:rsidRPr="00054778">
        <w:rPr>
          <w:rFonts w:asciiTheme="majorHAnsi" w:hAnsiTheme="majorHAnsi"/>
        </w:rPr>
        <w:t>ssb</w:t>
      </w:r>
      <w:proofErr w:type="spellEnd"/>
      <w:r w:rsidRPr="00054778">
        <w:rPr>
          <w:rFonts w:asciiTheme="majorHAnsi" w:hAnsiTheme="majorHAnsi"/>
        </w:rPr>
        <w:t xml:space="preserve"> 95% et </w:t>
      </w:r>
      <w:proofErr w:type="spellStart"/>
      <w:r w:rsidRPr="00054778">
        <w:rPr>
          <w:rFonts w:asciiTheme="majorHAnsi" w:hAnsiTheme="majorHAnsi"/>
        </w:rPr>
        <w:t>sp</w:t>
      </w:r>
      <w:proofErr w:type="spellEnd"/>
      <w:r w:rsidRPr="00054778">
        <w:rPr>
          <w:rFonts w:asciiTheme="majorHAnsi" w:hAnsiTheme="majorHAnsi"/>
        </w:rPr>
        <w:t xml:space="preserve"> 98%. Donc objectifs de </w:t>
      </w:r>
      <w:proofErr w:type="spellStart"/>
      <w:r w:rsidRPr="00054778">
        <w:rPr>
          <w:rFonts w:asciiTheme="majorHAnsi" w:hAnsiTheme="majorHAnsi"/>
        </w:rPr>
        <w:t>ssb</w:t>
      </w:r>
      <w:proofErr w:type="spellEnd"/>
      <w:r w:rsidRPr="00054778">
        <w:rPr>
          <w:rFonts w:asciiTheme="majorHAnsi" w:hAnsiTheme="majorHAnsi"/>
        </w:rPr>
        <w:t xml:space="preserve"> ici obtenus pour INH, FQ et </w:t>
      </w:r>
      <w:proofErr w:type="spellStart"/>
      <w:r w:rsidRPr="00054778">
        <w:rPr>
          <w:rFonts w:asciiTheme="majorHAnsi" w:hAnsiTheme="majorHAnsi"/>
        </w:rPr>
        <w:t>amikacine</w:t>
      </w:r>
      <w:proofErr w:type="spellEnd"/>
      <w:r w:rsidRPr="00054778">
        <w:rPr>
          <w:rFonts w:asciiTheme="majorHAnsi" w:hAnsiTheme="majorHAnsi"/>
        </w:rPr>
        <w:t xml:space="preserve"> (raté pour </w:t>
      </w:r>
      <w:proofErr w:type="spellStart"/>
      <w:r w:rsidRPr="00054778">
        <w:rPr>
          <w:rFonts w:asciiTheme="majorHAnsi" w:hAnsiTheme="majorHAnsi"/>
        </w:rPr>
        <w:t>Kanamycine</w:t>
      </w:r>
      <w:proofErr w:type="spellEnd"/>
      <w:r w:rsidRPr="00054778">
        <w:rPr>
          <w:rFonts w:asciiTheme="majorHAnsi" w:hAnsiTheme="majorHAnsi"/>
        </w:rPr>
        <w:t xml:space="preserve">), et </w:t>
      </w:r>
      <w:proofErr w:type="spellStart"/>
      <w:r w:rsidRPr="00054778">
        <w:rPr>
          <w:rFonts w:asciiTheme="majorHAnsi" w:hAnsiTheme="majorHAnsi"/>
        </w:rPr>
        <w:t>sp</w:t>
      </w:r>
      <w:proofErr w:type="spellEnd"/>
      <w:r w:rsidRPr="00054778">
        <w:rPr>
          <w:rFonts w:asciiTheme="majorHAnsi" w:hAnsiTheme="majorHAnsi"/>
        </w:rPr>
        <w:t xml:space="preserve"> pour tous. Ce test de </w:t>
      </w:r>
      <w:proofErr w:type="spellStart"/>
      <w:r w:rsidRPr="00054778">
        <w:rPr>
          <w:rFonts w:asciiTheme="majorHAnsi" w:hAnsiTheme="majorHAnsi"/>
        </w:rPr>
        <w:t>biomol</w:t>
      </w:r>
      <w:proofErr w:type="spellEnd"/>
      <w:r w:rsidRPr="00054778">
        <w:rPr>
          <w:rFonts w:asciiTheme="majorHAnsi" w:hAnsiTheme="majorHAnsi"/>
        </w:rPr>
        <w:t xml:space="preserve"> ne prend que 2h. Test déjà existant = </w:t>
      </w:r>
      <w:proofErr w:type="spellStart"/>
      <w:r w:rsidRPr="00054778">
        <w:rPr>
          <w:rFonts w:asciiTheme="majorHAnsi" w:hAnsiTheme="majorHAnsi"/>
        </w:rPr>
        <w:t>Genotype</w:t>
      </w:r>
      <w:proofErr w:type="spellEnd"/>
      <w:r w:rsidRPr="00054778">
        <w:rPr>
          <w:rFonts w:asciiTheme="majorHAnsi" w:hAnsiTheme="majorHAnsi"/>
        </w:rPr>
        <w:t xml:space="preserve"> MTBDR, recommandé par l’OMS pour élire à un TTT court </w:t>
      </w:r>
      <w:r w:rsidRPr="00054778">
        <w:rPr>
          <w:rFonts w:asciiTheme="majorHAnsi" w:hAnsiTheme="majorHAnsi"/>
        </w:rPr>
        <w:sym w:font="Wingdings" w:char="F0E0"/>
      </w:r>
      <w:r w:rsidRPr="00054778">
        <w:rPr>
          <w:rFonts w:asciiTheme="majorHAnsi" w:hAnsiTheme="majorHAnsi"/>
        </w:rPr>
        <w:t xml:space="preserve"> + long et - </w:t>
      </w:r>
      <w:proofErr w:type="spellStart"/>
      <w:r w:rsidRPr="00054778">
        <w:rPr>
          <w:rFonts w:asciiTheme="majorHAnsi" w:hAnsiTheme="majorHAnsi"/>
        </w:rPr>
        <w:t>ssb</w:t>
      </w:r>
      <w:proofErr w:type="spellEnd"/>
      <w:r w:rsidRPr="00054778">
        <w:rPr>
          <w:rFonts w:asciiTheme="majorHAnsi" w:hAnsiTheme="majorHAnsi"/>
        </w:rPr>
        <w:t xml:space="preserve">. Limites : participants très </w:t>
      </w:r>
      <w:proofErr w:type="spellStart"/>
      <w:r w:rsidRPr="00054778">
        <w:rPr>
          <w:rFonts w:asciiTheme="majorHAnsi" w:hAnsiTheme="majorHAnsi"/>
        </w:rPr>
        <w:t>bacillifères</w:t>
      </w:r>
      <w:proofErr w:type="spellEnd"/>
      <w:r w:rsidRPr="00054778">
        <w:rPr>
          <w:rFonts w:asciiTheme="majorHAnsi" w:hAnsiTheme="majorHAnsi"/>
        </w:rPr>
        <w:t xml:space="preserve"> / origine géographique étroite / </w:t>
      </w:r>
      <w:proofErr w:type="spellStart"/>
      <w:r w:rsidRPr="00054778">
        <w:rPr>
          <w:rFonts w:asciiTheme="majorHAnsi" w:hAnsiTheme="majorHAnsi"/>
        </w:rPr>
        <w:t>capréomycine</w:t>
      </w:r>
      <w:proofErr w:type="spellEnd"/>
      <w:r w:rsidRPr="00054778">
        <w:rPr>
          <w:rFonts w:asciiTheme="majorHAnsi" w:hAnsiTheme="majorHAnsi"/>
        </w:rPr>
        <w:t xml:space="preserve"> non testée / </w:t>
      </w:r>
      <w:proofErr w:type="spellStart"/>
      <w:r w:rsidRPr="00054778">
        <w:rPr>
          <w:rFonts w:asciiTheme="majorHAnsi" w:hAnsiTheme="majorHAnsi"/>
        </w:rPr>
        <w:t>ATBgrammes</w:t>
      </w:r>
      <w:proofErr w:type="spellEnd"/>
      <w:r w:rsidRPr="00054778">
        <w:rPr>
          <w:rFonts w:asciiTheme="majorHAnsi" w:hAnsiTheme="majorHAnsi"/>
        </w:rPr>
        <w:t xml:space="preserve"> testés à hautes [C]. </w:t>
      </w:r>
    </w:p>
    <w:p w14:paraId="2AC6EED2" w14:textId="77777777" w:rsidR="00771496" w:rsidRDefault="00771496" w:rsidP="00771496">
      <w:pPr>
        <w:jc w:val="both"/>
        <w:rPr>
          <w:rFonts w:asciiTheme="majorHAnsi" w:hAnsiTheme="majorHAnsi"/>
        </w:rPr>
      </w:pPr>
    </w:p>
    <w:p w14:paraId="2CC4AF7A" w14:textId="77777777" w:rsidR="00771496" w:rsidRDefault="00771496" w:rsidP="00771496">
      <w:pPr>
        <w:jc w:val="both"/>
        <w:rPr>
          <w:rFonts w:asciiTheme="majorHAnsi" w:hAnsiTheme="majorHAnsi"/>
        </w:rPr>
      </w:pPr>
      <w:r w:rsidRPr="00054778">
        <w:rPr>
          <w:rFonts w:asciiTheme="majorHAnsi" w:hAnsiTheme="majorHAnsi"/>
          <w:color w:val="4F81BD" w:themeColor="accent1"/>
        </w:rPr>
        <w:t>Conclusion </w:t>
      </w:r>
      <w:r w:rsidRPr="00054778">
        <w:rPr>
          <w:rFonts w:asciiTheme="majorHAnsi" w:hAnsiTheme="majorHAnsi"/>
        </w:rPr>
        <w:t xml:space="preserve">: après le test </w:t>
      </w:r>
      <w:proofErr w:type="spellStart"/>
      <w:r w:rsidRPr="00054778">
        <w:rPr>
          <w:rFonts w:asciiTheme="majorHAnsi" w:hAnsiTheme="majorHAnsi"/>
        </w:rPr>
        <w:t>Xpert</w:t>
      </w:r>
      <w:proofErr w:type="spellEnd"/>
      <w:r w:rsidRPr="00054778">
        <w:rPr>
          <w:rFonts w:asciiTheme="majorHAnsi" w:hAnsiTheme="majorHAnsi"/>
        </w:rPr>
        <w:t xml:space="preserve"> MTB/RIF pour détecter les TBK </w:t>
      </w:r>
      <w:proofErr w:type="spellStart"/>
      <w:r w:rsidRPr="00054778">
        <w:rPr>
          <w:rFonts w:asciiTheme="majorHAnsi" w:hAnsiTheme="majorHAnsi"/>
        </w:rPr>
        <w:t>rsst</w:t>
      </w:r>
      <w:proofErr w:type="spellEnd"/>
      <w:r w:rsidRPr="00054778">
        <w:rPr>
          <w:rFonts w:asciiTheme="majorHAnsi" w:hAnsiTheme="majorHAnsi"/>
        </w:rPr>
        <w:t xml:space="preserve"> à RFP, ce test de </w:t>
      </w:r>
      <w:proofErr w:type="spellStart"/>
      <w:r w:rsidRPr="00054778">
        <w:rPr>
          <w:rFonts w:asciiTheme="majorHAnsi" w:hAnsiTheme="majorHAnsi"/>
        </w:rPr>
        <w:t>biomol</w:t>
      </w:r>
      <w:proofErr w:type="spellEnd"/>
      <w:r w:rsidRPr="00054778">
        <w:rPr>
          <w:rFonts w:asciiTheme="majorHAnsi" w:hAnsiTheme="majorHAnsi"/>
        </w:rPr>
        <w:t xml:space="preserve"> rapide pourrait servir de guide pour la décision thérapeutique de TTT court ou long.</w:t>
      </w:r>
    </w:p>
    <w:p w14:paraId="108CB636" w14:textId="77777777" w:rsidR="00771496" w:rsidRDefault="00771496" w:rsidP="00771496">
      <w:pPr>
        <w:jc w:val="both"/>
        <w:rPr>
          <w:rFonts w:asciiTheme="majorHAnsi" w:hAnsiTheme="majorHAnsi"/>
        </w:rPr>
      </w:pPr>
    </w:p>
    <w:p w14:paraId="0136F5C3" w14:textId="77777777" w:rsidR="00771496" w:rsidRDefault="00771496" w:rsidP="00771496">
      <w:pPr>
        <w:jc w:val="both"/>
        <w:rPr>
          <w:rFonts w:asciiTheme="majorHAnsi" w:hAnsiTheme="majorHAnsi"/>
        </w:rPr>
      </w:pPr>
    </w:p>
    <w:p w14:paraId="347ED989" w14:textId="77777777" w:rsidR="00771496" w:rsidRDefault="00771496" w:rsidP="00771496">
      <w:pPr>
        <w:jc w:val="both"/>
        <w:rPr>
          <w:rFonts w:asciiTheme="majorHAnsi" w:hAnsiTheme="majorHAnsi"/>
        </w:rPr>
      </w:pPr>
    </w:p>
    <w:p w14:paraId="016C303F" w14:textId="77777777" w:rsidR="00771496" w:rsidRDefault="00771496" w:rsidP="00771496">
      <w:pPr>
        <w:jc w:val="both"/>
        <w:rPr>
          <w:rFonts w:asciiTheme="majorHAnsi" w:hAnsiTheme="majorHAnsi"/>
        </w:rPr>
      </w:pPr>
    </w:p>
    <w:p w14:paraId="66808638" w14:textId="77777777" w:rsidR="00771496" w:rsidRPr="0004617B" w:rsidRDefault="00771496" w:rsidP="000249CB">
      <w:pPr>
        <w:jc w:val="both"/>
        <w:rPr>
          <w:rFonts w:asciiTheme="majorHAnsi" w:hAnsiTheme="majorHAnsi"/>
        </w:rPr>
      </w:pPr>
    </w:p>
    <w:p w14:paraId="099023E5" w14:textId="77777777" w:rsidR="000249CB" w:rsidRPr="00A73B7B" w:rsidRDefault="000249CB" w:rsidP="000249CB">
      <w:pPr>
        <w:jc w:val="both"/>
        <w:rPr>
          <w:rFonts w:asciiTheme="majorHAnsi" w:hAnsiTheme="majorHAnsi"/>
          <w:b/>
          <w:color w:val="4F81BD" w:themeColor="accent1"/>
          <w:lang w:val="en-GB"/>
        </w:rPr>
      </w:pPr>
      <w:proofErr w:type="gramStart"/>
      <w:r w:rsidRPr="00A73B7B">
        <w:rPr>
          <w:rFonts w:asciiTheme="majorHAnsi" w:hAnsiTheme="majorHAnsi"/>
          <w:b/>
          <w:color w:val="4F81BD" w:themeColor="accent1"/>
          <w:lang w:val="en-GB"/>
        </w:rPr>
        <w:t>C-Reactive Protein</w:t>
      </w:r>
      <w:proofErr w:type="gramEnd"/>
      <w:r w:rsidRPr="00A73B7B">
        <w:rPr>
          <w:rFonts w:asciiTheme="majorHAnsi" w:hAnsiTheme="majorHAnsi"/>
          <w:b/>
          <w:color w:val="4F81BD" w:themeColor="accent1"/>
          <w:lang w:val="en-GB"/>
        </w:rPr>
        <w:t xml:space="preserve"> Predicts Early Readmission After Bacterial Infection in Patients with Cirrhosis</w:t>
      </w:r>
    </w:p>
    <w:p w14:paraId="79BDB42C" w14:textId="27E3242A" w:rsidR="000249CB" w:rsidRDefault="000249CB" w:rsidP="000249CB">
      <w:pPr>
        <w:jc w:val="both"/>
        <w:rPr>
          <w:rFonts w:asciiTheme="majorHAnsi" w:hAnsiTheme="majorHAnsi"/>
          <w:lang w:val="en-GB"/>
        </w:rPr>
      </w:pPr>
      <w:r w:rsidRPr="000249CB">
        <w:rPr>
          <w:rFonts w:asciiTheme="majorHAnsi" w:hAnsiTheme="majorHAnsi"/>
          <w:lang w:val="en-GB"/>
        </w:rPr>
        <w:t xml:space="preserve">Piano S et al. Am J </w:t>
      </w:r>
      <w:proofErr w:type="spellStart"/>
      <w:r w:rsidRPr="000249CB">
        <w:rPr>
          <w:rFonts w:asciiTheme="majorHAnsi" w:hAnsiTheme="majorHAnsi"/>
          <w:lang w:val="en-GB"/>
        </w:rPr>
        <w:t>Gastroenterol</w:t>
      </w:r>
      <w:proofErr w:type="spellEnd"/>
      <w:r w:rsidRPr="000249CB">
        <w:rPr>
          <w:rFonts w:asciiTheme="majorHAnsi" w:hAnsiTheme="majorHAnsi"/>
          <w:lang w:val="en-GB"/>
        </w:rPr>
        <w:t xml:space="preserve"> 2017 Aug 29.</w:t>
      </w:r>
    </w:p>
    <w:p w14:paraId="5465FA3B" w14:textId="673D7ACE" w:rsidR="00130C8E" w:rsidRPr="00130C8E" w:rsidRDefault="00130C8E" w:rsidP="000249CB">
      <w:pPr>
        <w:jc w:val="both"/>
        <w:rPr>
          <w:rFonts w:asciiTheme="majorHAnsi" w:hAnsiTheme="majorHAnsi" w:cstheme="majorHAnsi"/>
          <w:lang w:val="en-GB"/>
        </w:rPr>
      </w:pPr>
    </w:p>
    <w:p w14:paraId="6366F0E0" w14:textId="77777777" w:rsidR="00895A4A" w:rsidRDefault="00130C8E" w:rsidP="00895A4A">
      <w:pPr>
        <w:shd w:val="clear" w:color="auto" w:fill="FFFFFF"/>
        <w:textAlignment w:val="baseline"/>
        <w:rPr>
          <w:rFonts w:asciiTheme="majorHAnsi" w:eastAsia="Times New Roman" w:hAnsiTheme="majorHAnsi" w:cstheme="majorHAnsi"/>
          <w:color w:val="4F81BD" w:themeColor="accent1"/>
        </w:rPr>
      </w:pPr>
      <w:r w:rsidRPr="0004617B">
        <w:rPr>
          <w:rFonts w:asciiTheme="majorHAnsi" w:eastAsia="Times New Roman" w:hAnsiTheme="majorHAnsi" w:cstheme="majorHAnsi"/>
          <w:color w:val="4F81BD" w:themeColor="accent1"/>
        </w:rPr>
        <w:t xml:space="preserve">Introduction </w:t>
      </w:r>
    </w:p>
    <w:p w14:paraId="73EE0A78" w14:textId="0ED38376" w:rsidR="00E21D9D" w:rsidRDefault="00130C8E" w:rsidP="00895A4A">
      <w:pPr>
        <w:shd w:val="clear" w:color="auto" w:fill="FFFFFF"/>
        <w:textAlignment w:val="baseline"/>
        <w:rPr>
          <w:rFonts w:asciiTheme="majorHAnsi" w:eastAsia="Times New Roman" w:hAnsiTheme="majorHAnsi" w:cstheme="majorHAnsi"/>
          <w:color w:val="000000"/>
        </w:rPr>
      </w:pPr>
      <w:r w:rsidRPr="00E21D9D">
        <w:rPr>
          <w:rFonts w:asciiTheme="majorHAnsi" w:eastAsia="Times New Roman" w:hAnsiTheme="majorHAnsi" w:cstheme="majorHAnsi"/>
          <w:color w:val="000000"/>
        </w:rPr>
        <w:t xml:space="preserve">Les patients présentant une cirrhose, </w:t>
      </w:r>
      <w:r w:rsidR="00E21D9D" w:rsidRPr="00E21D9D">
        <w:rPr>
          <w:rFonts w:asciiTheme="majorHAnsi" w:eastAsia="Times New Roman" w:hAnsiTheme="majorHAnsi" w:cstheme="majorHAnsi"/>
          <w:color w:val="000000"/>
        </w:rPr>
        <w:t xml:space="preserve">spécifiquement ceux présentant une décompensation hépatique, présentent un </w:t>
      </w:r>
      <w:proofErr w:type="spellStart"/>
      <w:r w:rsidR="00E21D9D" w:rsidRPr="00E21D9D">
        <w:rPr>
          <w:rFonts w:asciiTheme="majorHAnsi" w:eastAsia="Times New Roman" w:hAnsiTheme="majorHAnsi" w:cstheme="majorHAnsi"/>
          <w:color w:val="000000"/>
        </w:rPr>
        <w:t>risqué</w:t>
      </w:r>
      <w:proofErr w:type="spellEnd"/>
      <w:r w:rsidR="00E21D9D" w:rsidRPr="00E21D9D">
        <w:rPr>
          <w:rFonts w:asciiTheme="majorHAnsi" w:eastAsia="Times New Roman" w:hAnsiTheme="majorHAnsi" w:cstheme="majorHAnsi"/>
          <w:color w:val="000000"/>
        </w:rPr>
        <w:t xml:space="preserve"> élevé d’hospitalisation. </w:t>
      </w:r>
      <w:r w:rsidR="00E21D9D">
        <w:rPr>
          <w:rFonts w:asciiTheme="majorHAnsi" w:eastAsia="Times New Roman" w:hAnsiTheme="majorHAnsi" w:cstheme="majorHAnsi"/>
          <w:color w:val="000000"/>
        </w:rPr>
        <w:t>Les infections bactériennes se révèlent être u</w:t>
      </w:r>
      <w:r w:rsidR="00E21D9D" w:rsidRPr="00E21D9D">
        <w:rPr>
          <w:rFonts w:asciiTheme="majorHAnsi" w:eastAsia="Times New Roman" w:hAnsiTheme="majorHAnsi" w:cstheme="majorHAnsi"/>
          <w:color w:val="000000"/>
        </w:rPr>
        <w:t>ne cause courante de mortalité hospitalière</w:t>
      </w:r>
      <w:r w:rsidR="00E21D9D">
        <w:rPr>
          <w:rFonts w:asciiTheme="majorHAnsi" w:eastAsia="Times New Roman" w:hAnsiTheme="majorHAnsi" w:cstheme="majorHAnsi"/>
          <w:color w:val="000000"/>
        </w:rPr>
        <w:t xml:space="preserve"> mais aussi d’hospitalisation itérative.  </w:t>
      </w:r>
    </w:p>
    <w:p w14:paraId="0F243601" w14:textId="77777777" w:rsidR="00E21D9D" w:rsidRPr="000152EE" w:rsidRDefault="00E21D9D" w:rsidP="00895A4A">
      <w:pPr>
        <w:shd w:val="clear" w:color="auto" w:fill="FFFFFF"/>
        <w:textAlignment w:val="baseline"/>
        <w:rPr>
          <w:rFonts w:asciiTheme="majorHAnsi" w:eastAsia="Times New Roman" w:hAnsiTheme="majorHAnsi" w:cstheme="majorHAnsi"/>
          <w:color w:val="4F81BD" w:themeColor="accent1"/>
        </w:rPr>
      </w:pPr>
      <w:r w:rsidRPr="000152EE">
        <w:rPr>
          <w:rFonts w:asciiTheme="majorHAnsi" w:eastAsia="Times New Roman" w:hAnsiTheme="majorHAnsi" w:cstheme="majorHAnsi"/>
          <w:color w:val="4F81BD" w:themeColor="accent1"/>
        </w:rPr>
        <w:t xml:space="preserve">Objectif </w:t>
      </w:r>
    </w:p>
    <w:p w14:paraId="4B5460FE" w14:textId="422C11A3" w:rsidR="00E21D9D" w:rsidRDefault="00E21D9D" w:rsidP="00895A4A">
      <w:pPr>
        <w:shd w:val="clear" w:color="auto" w:fill="FFFFFF"/>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L’objectif de l’étude est de </w:t>
      </w:r>
      <w:r w:rsidR="00E155EC">
        <w:rPr>
          <w:rFonts w:asciiTheme="majorHAnsi" w:eastAsia="Times New Roman" w:hAnsiTheme="majorHAnsi" w:cstheme="majorHAnsi"/>
          <w:color w:val="000000"/>
        </w:rPr>
        <w:t>trouver des prédicteurs à un taux de réadmission à 30 jours et de mortalité à 6 mois ch</w:t>
      </w:r>
      <w:r>
        <w:rPr>
          <w:rFonts w:asciiTheme="majorHAnsi" w:eastAsia="Times New Roman" w:hAnsiTheme="majorHAnsi" w:cstheme="majorHAnsi"/>
          <w:color w:val="000000"/>
        </w:rPr>
        <w:t xml:space="preserve">ez les patients cirrhotiques hospitalisés pour une infection bactérienne. </w:t>
      </w:r>
    </w:p>
    <w:p w14:paraId="20289C22" w14:textId="50FA7B80" w:rsidR="00E21D9D" w:rsidRDefault="00E21D9D" w:rsidP="00895A4A">
      <w:pPr>
        <w:shd w:val="clear" w:color="auto" w:fill="FFFFFF"/>
        <w:textAlignment w:val="baseline"/>
        <w:rPr>
          <w:rFonts w:asciiTheme="majorHAnsi" w:eastAsia="Times New Roman" w:hAnsiTheme="majorHAnsi" w:cstheme="majorHAnsi"/>
          <w:color w:val="000000"/>
        </w:rPr>
      </w:pPr>
    </w:p>
    <w:p w14:paraId="6451ADA2" w14:textId="3460AB5A" w:rsidR="00E21D9D" w:rsidRPr="000152EE" w:rsidRDefault="00E21D9D" w:rsidP="00895A4A">
      <w:pPr>
        <w:shd w:val="clear" w:color="auto" w:fill="FFFFFF"/>
        <w:textAlignment w:val="baseline"/>
        <w:rPr>
          <w:rFonts w:asciiTheme="majorHAnsi" w:eastAsia="Times New Roman" w:hAnsiTheme="majorHAnsi" w:cstheme="majorHAnsi"/>
          <w:color w:val="4F81BD" w:themeColor="accent1"/>
        </w:rPr>
      </w:pPr>
      <w:r w:rsidRPr="000152EE">
        <w:rPr>
          <w:rFonts w:asciiTheme="majorHAnsi" w:eastAsia="Times New Roman" w:hAnsiTheme="majorHAnsi" w:cstheme="majorHAnsi"/>
          <w:color w:val="4F81BD" w:themeColor="accent1"/>
        </w:rPr>
        <w:t>Méthodes</w:t>
      </w:r>
    </w:p>
    <w:p w14:paraId="514396AE" w14:textId="77777777" w:rsidR="00E155EC" w:rsidRDefault="00E155EC" w:rsidP="00895A4A">
      <w:pPr>
        <w:shd w:val="clear" w:color="auto" w:fill="FFFFFF"/>
        <w:textAlignment w:val="baseline"/>
      </w:pPr>
      <w:r>
        <w:rPr>
          <w:rFonts w:asciiTheme="majorHAnsi" w:eastAsia="Times New Roman" w:hAnsiTheme="majorHAnsi" w:cstheme="majorHAnsi"/>
          <w:color w:val="000000"/>
        </w:rPr>
        <w:lastRenderedPageBreak/>
        <w:t xml:space="preserve">Il s’agit d’une étude prospective effectuée à Padoue, en Italie, de 2010 à 2016. </w:t>
      </w:r>
      <w:r w:rsidRPr="00E155EC">
        <w:rPr>
          <w:rFonts w:asciiTheme="majorHAnsi" w:eastAsia="Times New Roman" w:hAnsiTheme="majorHAnsi" w:cstheme="majorHAnsi"/>
          <w:color w:val="000000"/>
        </w:rPr>
        <w:t>Les critères d’inclusion étaient :</w:t>
      </w:r>
      <w:r w:rsidRPr="00E155EC">
        <w:t xml:space="preserve"> (i) diagnostic de cirrhose confirmée par biopsie hépatique ou marqueurs </w:t>
      </w:r>
      <w:proofErr w:type="spellStart"/>
      <w:r w:rsidRPr="00E155EC">
        <w:t>clinicoradiobiologiques</w:t>
      </w:r>
      <w:proofErr w:type="spellEnd"/>
      <w:r w:rsidRPr="00E155EC">
        <w:t xml:space="preserve">, (ii) </w:t>
      </w:r>
      <w:proofErr w:type="spellStart"/>
      <w:r w:rsidRPr="00E155EC">
        <w:t>age</w:t>
      </w:r>
      <w:proofErr w:type="spellEnd"/>
      <w:r w:rsidRPr="00E155EC">
        <w:t xml:space="preserve"> &gt;18</w:t>
      </w:r>
      <w:r>
        <w:t xml:space="preserve"> ans</w:t>
      </w:r>
      <w:r w:rsidRPr="00E155EC">
        <w:t xml:space="preserve">; </w:t>
      </w:r>
      <w:r>
        <w:t xml:space="preserve">et (iii) diagnostic d’infection bactérienne et/ou fongique </w:t>
      </w:r>
      <w:proofErr w:type="gramStart"/>
      <w:r>
        <w:t>à la premier hospitalisation</w:t>
      </w:r>
      <w:proofErr w:type="gramEnd"/>
      <w:r>
        <w:t xml:space="preserve">. Les critères d’exclusion étaient </w:t>
      </w:r>
      <w:r w:rsidRPr="00E155EC">
        <w:t xml:space="preserve">: (i) une insuffisance hépato cellulaire sans cirrhose </w:t>
      </w:r>
      <w:proofErr w:type="spellStart"/>
      <w:r w:rsidRPr="00E155EC">
        <w:t>sous jacente</w:t>
      </w:r>
      <w:proofErr w:type="spellEnd"/>
      <w:r w:rsidRPr="00E155EC">
        <w:t>; (ii)</w:t>
      </w:r>
      <w:r>
        <w:t xml:space="preserve">la présence d’un cancer </w:t>
      </w:r>
      <w:proofErr w:type="spellStart"/>
      <w:r>
        <w:t>sous jacent</w:t>
      </w:r>
      <w:proofErr w:type="spellEnd"/>
      <w:r>
        <w:t xml:space="preserve"> </w:t>
      </w:r>
      <w:proofErr w:type="gramStart"/>
      <w:r>
        <w:t>( sauf</w:t>
      </w:r>
      <w:proofErr w:type="gramEnd"/>
      <w:r>
        <w:t xml:space="preserve"> hépato </w:t>
      </w:r>
      <w:proofErr w:type="spellStart"/>
      <w:r>
        <w:t>cacinome</w:t>
      </w:r>
      <w:proofErr w:type="spellEnd"/>
      <w:r>
        <w:t xml:space="preserve">). </w:t>
      </w:r>
    </w:p>
    <w:p w14:paraId="3932E941" w14:textId="77777777" w:rsidR="00E155EC" w:rsidRPr="0004617B" w:rsidRDefault="00E155EC" w:rsidP="00895A4A">
      <w:pPr>
        <w:shd w:val="clear" w:color="auto" w:fill="FFFFFF"/>
        <w:textAlignment w:val="baseline"/>
        <w:rPr>
          <w:color w:val="4F81BD" w:themeColor="accent1"/>
        </w:rPr>
      </w:pPr>
      <w:r w:rsidRPr="0004617B">
        <w:rPr>
          <w:color w:val="4F81BD" w:themeColor="accent1"/>
        </w:rPr>
        <w:t>Résultats</w:t>
      </w:r>
    </w:p>
    <w:p w14:paraId="6C23B9F1" w14:textId="40388295" w:rsidR="00673C6A" w:rsidRDefault="00E155EC" w:rsidP="00895A4A">
      <w:pPr>
        <w:shd w:val="clear" w:color="auto" w:fill="FFFFFF"/>
        <w:textAlignment w:val="baseline"/>
      </w:pPr>
      <w:r w:rsidRPr="00E155EC">
        <w:t>Un total</w:t>
      </w:r>
      <w:r w:rsidR="00673C6A">
        <w:t xml:space="preserve"> </w:t>
      </w:r>
      <w:r w:rsidRPr="00E155EC">
        <w:t>de 199 patients avec une cirrhose furent inclus. Pendant le suivi, 69 patients (35%) ont été réadmis à 30 jours.</w:t>
      </w:r>
      <w:r>
        <w:t xml:space="preserve"> La valeur de la CRP à la sortie d’hospitalisation (OR : 1, 99, p = 0.022), le diagnostic d’insuffisance hépatique aigue sur </w:t>
      </w:r>
      <w:r w:rsidR="00673C6A">
        <w:t>chronique pendant</w:t>
      </w:r>
      <w:r>
        <w:t xml:space="preserve"> l’hospitalisation (OR = 2.48, p &lt; 0.01) et l’hospitalisation dans les 30 derniers jours </w:t>
      </w:r>
      <w:proofErr w:type="spellStart"/>
      <w:r>
        <w:rPr>
          <w:rFonts w:asciiTheme="majorHAnsi" w:eastAsia="Times New Roman" w:hAnsiTheme="majorHAnsi" w:cstheme="majorHAnsi"/>
          <w:color w:val="000000"/>
        </w:rPr>
        <w:t>précédan</w:t>
      </w:r>
      <w:r w:rsidR="00673C6A">
        <w:rPr>
          <w:rFonts w:asciiTheme="majorHAnsi" w:eastAsia="Times New Roman" w:hAnsiTheme="majorHAnsi" w:cstheme="majorHAnsi"/>
          <w:color w:val="000000"/>
        </w:rPr>
        <w:t>s</w:t>
      </w:r>
      <w:r>
        <w:rPr>
          <w:rFonts w:asciiTheme="majorHAnsi" w:eastAsia="Times New Roman" w:hAnsiTheme="majorHAnsi" w:cstheme="majorHAnsi"/>
          <w:color w:val="000000"/>
        </w:rPr>
        <w:t>t</w:t>
      </w:r>
      <w:proofErr w:type="spellEnd"/>
      <w:r>
        <w:rPr>
          <w:rFonts w:asciiTheme="majorHAnsi" w:eastAsia="Times New Roman" w:hAnsiTheme="majorHAnsi" w:cstheme="majorHAnsi"/>
          <w:color w:val="000000"/>
        </w:rPr>
        <w:t xml:space="preserve"> l’inclusion du patient</w:t>
      </w:r>
      <w:r w:rsidR="00E21D9D" w:rsidRPr="00E155EC">
        <w:t xml:space="preserve"> (OR=1.50; P=0.042) </w:t>
      </w:r>
      <w:r>
        <w:t xml:space="preserve">étaient retrouvés comme prédicteurs indépendants de la réadmission. </w:t>
      </w:r>
      <w:r w:rsidRPr="00673C6A">
        <w:t xml:space="preserve">Pendant la période de suivi de 6 mois, </w:t>
      </w:r>
      <w:r w:rsidR="00673C6A">
        <w:t>47 patients (</w:t>
      </w:r>
      <w:r w:rsidR="00673C6A" w:rsidRPr="00673C6A">
        <w:t>23%) sont morts. Les patients â</w:t>
      </w:r>
      <w:r w:rsidR="00673C6A">
        <w:t>gé</w:t>
      </w:r>
      <w:r w:rsidR="00673C6A" w:rsidRPr="00673C6A">
        <w:t>s</w:t>
      </w:r>
      <w:r w:rsidRPr="00673C6A">
        <w:t xml:space="preserve"> </w:t>
      </w:r>
      <w:r w:rsidR="00E21D9D" w:rsidRPr="00673C6A">
        <w:t>(</w:t>
      </w:r>
      <w:proofErr w:type="spellStart"/>
      <w:r w:rsidR="00E21D9D" w:rsidRPr="00673C6A">
        <w:t>hazard</w:t>
      </w:r>
      <w:proofErr w:type="spellEnd"/>
      <w:r w:rsidR="00E21D9D" w:rsidRPr="00673C6A">
        <w:t xml:space="preserve"> ratio (HR)=1.05; P=0.001), </w:t>
      </w:r>
      <w:r w:rsidR="00673C6A" w:rsidRPr="00673C6A">
        <w:t>et avec un</w:t>
      </w:r>
      <w:r w:rsidRPr="00673C6A">
        <w:t xml:space="preserve"> score </w:t>
      </w:r>
      <w:r w:rsidR="00E21D9D" w:rsidRPr="00673C6A">
        <w:t>MELD</w:t>
      </w:r>
      <w:r w:rsidRPr="00673C6A">
        <w:t xml:space="preserve"> </w:t>
      </w:r>
      <w:r w:rsidR="00E21D9D" w:rsidRPr="00673C6A">
        <w:t>(HR=1.13;</w:t>
      </w:r>
      <w:r w:rsidR="00673C6A">
        <w:t xml:space="preserve"> P&lt;0.001), avec une CRP&gt; 10 mg/L, </w:t>
      </w:r>
      <w:r w:rsidR="00673C6A" w:rsidRPr="00673C6A">
        <w:t xml:space="preserve">(HR=1.85; P=0.001), un ascite réfractaire (HR=2.22; P=0.007), </w:t>
      </w:r>
      <w:r w:rsidR="00673C6A">
        <w:t>et un diabète</w:t>
      </w:r>
      <w:r w:rsidR="00673C6A" w:rsidRPr="00673C6A">
        <w:t xml:space="preserve"> (HR=2.41; P=0.010)</w:t>
      </w:r>
      <w:r w:rsidR="00673C6A">
        <w:t xml:space="preserve"> étaient plus à risque de décéder à 6 mois. Les patients présentant une CRP &gt;10 mg à la sortie avaient une probabilité plus importante d’être ré hospitalisés dans les 30 jours </w:t>
      </w:r>
      <w:r w:rsidR="00673C6A" w:rsidRPr="00673C6A">
        <w:t>(44% vs. 24%;</w:t>
      </w:r>
      <w:r w:rsidR="00673C6A">
        <w:t xml:space="preserve"> </w:t>
      </w:r>
      <w:r w:rsidR="00673C6A" w:rsidRPr="00673C6A">
        <w:t>P=0.007)</w:t>
      </w:r>
      <w:r w:rsidR="00673C6A">
        <w:t xml:space="preserve"> et un taux de survie plus faible à 6 mois</w:t>
      </w:r>
      <w:r w:rsidR="00673C6A" w:rsidRPr="00673C6A">
        <w:t xml:space="preserve"> (</w:t>
      </w:r>
      <w:r w:rsidR="00673C6A">
        <w:t xml:space="preserve">62% vs. 88%; P&lt;0.001). </w:t>
      </w:r>
    </w:p>
    <w:p w14:paraId="4692E6BE" w14:textId="60A9126E" w:rsidR="00673C6A" w:rsidRPr="00673C6A" w:rsidRDefault="00673C6A" w:rsidP="00895A4A">
      <w:pPr>
        <w:shd w:val="clear" w:color="auto" w:fill="FFFFFF"/>
        <w:textAlignment w:val="baseline"/>
      </w:pPr>
      <w:r w:rsidRPr="000152EE">
        <w:rPr>
          <w:color w:val="4F81BD" w:themeColor="accent1"/>
        </w:rPr>
        <w:t>Conclusion</w:t>
      </w:r>
      <w:r w:rsidRPr="00673C6A">
        <w:t xml:space="preserve"> </w:t>
      </w:r>
    </w:p>
    <w:p w14:paraId="5134F108" w14:textId="4D54E778" w:rsidR="00673C6A" w:rsidRPr="00673C6A" w:rsidRDefault="00673C6A" w:rsidP="00895A4A">
      <w:pPr>
        <w:shd w:val="clear" w:color="auto" w:fill="FFFFFF"/>
        <w:textAlignment w:val="baseline"/>
      </w:pPr>
      <w:r w:rsidRPr="00673C6A">
        <w:t xml:space="preserve">La CRP &gt; 10mg/l </w:t>
      </w:r>
      <w:r>
        <w:t xml:space="preserve">(à la sortie d’hospitalisation) </w:t>
      </w:r>
      <w:r w:rsidRPr="00673C6A">
        <w:t xml:space="preserve">serait un bon marqueur chez les patients cirrhotiques, hospitalisés pour une infection aigue bactérienne ou fongique pour évaluer le </w:t>
      </w:r>
      <w:proofErr w:type="gramStart"/>
      <w:r w:rsidRPr="00673C6A">
        <w:t>risqué</w:t>
      </w:r>
      <w:proofErr w:type="gramEnd"/>
      <w:r w:rsidRPr="00673C6A">
        <w:t xml:space="preserve"> de ré hospitalisation précoce et le risqué de mortalité à 6 mois. </w:t>
      </w:r>
    </w:p>
    <w:p w14:paraId="0DFB2DF8" w14:textId="77777777" w:rsidR="000249CB" w:rsidRPr="000152EE" w:rsidRDefault="000249CB" w:rsidP="00895A4A">
      <w:pPr>
        <w:jc w:val="both"/>
        <w:rPr>
          <w:rFonts w:asciiTheme="majorHAnsi" w:hAnsiTheme="majorHAnsi"/>
        </w:rPr>
      </w:pPr>
      <w:r w:rsidRPr="000152EE">
        <w:rPr>
          <w:rFonts w:asciiTheme="majorHAnsi" w:hAnsiTheme="majorHAnsi"/>
        </w:rPr>
        <w:t xml:space="preserve">   </w:t>
      </w:r>
    </w:p>
    <w:p w14:paraId="781F3B83" w14:textId="77777777" w:rsidR="000249CB" w:rsidRPr="000152EE" w:rsidRDefault="000249CB" w:rsidP="00895A4A">
      <w:pPr>
        <w:jc w:val="both"/>
        <w:rPr>
          <w:rFonts w:asciiTheme="majorHAnsi" w:hAnsiTheme="majorHAnsi"/>
        </w:rPr>
      </w:pPr>
    </w:p>
    <w:p w14:paraId="613B082C" w14:textId="5F6B5FE0" w:rsidR="000249CB" w:rsidRPr="0004617B" w:rsidRDefault="00A73B7B" w:rsidP="000249CB">
      <w:pPr>
        <w:jc w:val="both"/>
        <w:rPr>
          <w:rFonts w:asciiTheme="majorHAnsi" w:hAnsiTheme="majorHAnsi"/>
          <w:b/>
          <w:color w:val="244061" w:themeColor="accent1" w:themeShade="80"/>
          <w:sz w:val="28"/>
          <w:szCs w:val="28"/>
          <w:lang w:val="en-GB"/>
        </w:rPr>
      </w:pPr>
      <w:r>
        <w:rPr>
          <w:rFonts w:asciiTheme="majorHAnsi" w:hAnsiTheme="majorHAnsi"/>
          <w:b/>
          <w:color w:val="244061" w:themeColor="accent1" w:themeShade="80"/>
          <w:sz w:val="28"/>
          <w:szCs w:val="28"/>
          <w:lang w:val="en-GB"/>
        </w:rPr>
        <w:t>ONCOLOGIE</w:t>
      </w:r>
    </w:p>
    <w:p w14:paraId="30B57C4B" w14:textId="742EEBCA" w:rsidR="000249CB" w:rsidRPr="000249CB" w:rsidRDefault="000249CB" w:rsidP="000249CB">
      <w:pPr>
        <w:jc w:val="both"/>
        <w:rPr>
          <w:rFonts w:asciiTheme="majorHAnsi" w:hAnsiTheme="majorHAnsi"/>
          <w:lang w:val="en-GB"/>
        </w:rPr>
      </w:pPr>
    </w:p>
    <w:p w14:paraId="3D6E09D6" w14:textId="77777777" w:rsidR="000249CB" w:rsidRPr="0004617B" w:rsidRDefault="000249CB" w:rsidP="000249CB">
      <w:pPr>
        <w:jc w:val="both"/>
        <w:rPr>
          <w:rFonts w:asciiTheme="majorHAnsi" w:hAnsiTheme="majorHAnsi"/>
          <w:b/>
          <w:color w:val="4F81BD" w:themeColor="accent1"/>
          <w:lang w:val="en-GB"/>
        </w:rPr>
      </w:pPr>
      <w:proofErr w:type="spellStart"/>
      <w:r w:rsidRPr="0004617B">
        <w:rPr>
          <w:rFonts w:asciiTheme="majorHAnsi" w:hAnsiTheme="majorHAnsi"/>
          <w:b/>
          <w:color w:val="4F81BD" w:themeColor="accent1"/>
          <w:lang w:val="en-GB"/>
        </w:rPr>
        <w:t>Durvalumab</w:t>
      </w:r>
      <w:proofErr w:type="spellEnd"/>
      <w:r w:rsidRPr="0004617B">
        <w:rPr>
          <w:rFonts w:asciiTheme="majorHAnsi" w:hAnsiTheme="majorHAnsi"/>
          <w:b/>
          <w:color w:val="4F81BD" w:themeColor="accent1"/>
          <w:lang w:val="en-GB"/>
        </w:rPr>
        <w:t xml:space="preserve"> after </w:t>
      </w:r>
      <w:proofErr w:type="spellStart"/>
      <w:r w:rsidRPr="0004617B">
        <w:rPr>
          <w:rFonts w:asciiTheme="majorHAnsi" w:hAnsiTheme="majorHAnsi"/>
          <w:b/>
          <w:color w:val="4F81BD" w:themeColor="accent1"/>
          <w:lang w:val="en-GB"/>
        </w:rPr>
        <w:t>Chemoradiotherapy</w:t>
      </w:r>
      <w:proofErr w:type="spellEnd"/>
      <w:r w:rsidRPr="0004617B">
        <w:rPr>
          <w:rFonts w:asciiTheme="majorHAnsi" w:hAnsiTheme="majorHAnsi"/>
          <w:b/>
          <w:color w:val="4F81BD" w:themeColor="accent1"/>
          <w:lang w:val="en-GB"/>
        </w:rPr>
        <w:t xml:space="preserve"> in Stage III Non–Small-Cell Lung Cancer   </w:t>
      </w:r>
    </w:p>
    <w:p w14:paraId="417C203F" w14:textId="43DAE8A0" w:rsidR="000249CB" w:rsidRPr="00D44D03" w:rsidRDefault="0004617B" w:rsidP="000249CB">
      <w:pPr>
        <w:jc w:val="both"/>
        <w:rPr>
          <w:rFonts w:asciiTheme="majorHAnsi" w:hAnsiTheme="majorHAnsi"/>
        </w:rPr>
      </w:pPr>
      <w:r w:rsidRPr="00D44D03">
        <w:rPr>
          <w:rFonts w:asciiTheme="majorHAnsi" w:hAnsiTheme="majorHAnsi"/>
        </w:rPr>
        <w:t>S.J. Antonia, NEJM</w:t>
      </w:r>
    </w:p>
    <w:p w14:paraId="26C1D0A3" w14:textId="77777777" w:rsidR="00A73B7B" w:rsidRPr="00D44D03" w:rsidRDefault="00A73B7B" w:rsidP="00A73B7B">
      <w:pPr>
        <w:jc w:val="both"/>
        <w:rPr>
          <w:rFonts w:asciiTheme="majorHAnsi" w:hAnsiTheme="majorHAnsi"/>
        </w:rPr>
      </w:pPr>
      <w:hyperlink r:id="rId22" w:history="1">
        <w:r w:rsidRPr="00153C5D">
          <w:rPr>
            <w:rStyle w:val="Lienhypertexte"/>
            <w:rFonts w:asciiTheme="majorHAnsi" w:hAnsiTheme="majorHAnsi"/>
          </w:rPr>
          <w:t>https://www.ncbi.nlm.nih.gov/pubmed/?term=DURVALUMAB+AFTER+CHEMORADIOTHERAPY+IN+STAGE+III+NON</w:t>
        </w:r>
        <w:r w:rsidRPr="00153C5D">
          <w:rPr>
            <w:rStyle w:val="Lienhypertexte"/>
            <w:rFonts w:ascii="Helvetica" w:eastAsia="Helvetica" w:hAnsi="Helvetica" w:cs="Helvetica"/>
          </w:rPr>
          <w:t>–SMALL-CELL+LUNG+CANCER</w:t>
        </w:r>
      </w:hyperlink>
      <w:r>
        <w:rPr>
          <w:rFonts w:ascii="Helvetica" w:eastAsia="Helvetica" w:hAnsi="Helvetica" w:cs="Helvetica"/>
        </w:rPr>
        <w:t xml:space="preserve"> </w:t>
      </w:r>
    </w:p>
    <w:p w14:paraId="401B264E" w14:textId="6C99528E" w:rsidR="0004617B" w:rsidRPr="00D44D03" w:rsidRDefault="0004617B" w:rsidP="000249CB">
      <w:pPr>
        <w:jc w:val="both"/>
        <w:rPr>
          <w:rFonts w:asciiTheme="majorHAnsi" w:hAnsiTheme="majorHAnsi"/>
        </w:rPr>
      </w:pPr>
    </w:p>
    <w:p w14:paraId="66B288B4" w14:textId="5F7CC2EA" w:rsidR="0004617B" w:rsidRPr="00D44D03" w:rsidRDefault="0004617B" w:rsidP="000249CB">
      <w:pPr>
        <w:jc w:val="both"/>
        <w:rPr>
          <w:rFonts w:asciiTheme="majorHAnsi" w:hAnsiTheme="majorHAnsi"/>
        </w:rPr>
      </w:pPr>
      <w:r w:rsidRPr="00D44D03">
        <w:rPr>
          <w:rFonts w:asciiTheme="majorHAnsi" w:hAnsiTheme="majorHAnsi"/>
          <w:color w:val="4F81BD" w:themeColor="accent1"/>
        </w:rPr>
        <w:t>Introduction</w:t>
      </w:r>
    </w:p>
    <w:p w14:paraId="4C87E02E" w14:textId="6005B3A2" w:rsidR="0004617B" w:rsidRDefault="0004617B" w:rsidP="000249CB">
      <w:pPr>
        <w:jc w:val="both"/>
        <w:rPr>
          <w:rFonts w:asciiTheme="majorHAnsi" w:hAnsiTheme="majorHAnsi"/>
        </w:rPr>
      </w:pPr>
      <w:r w:rsidRPr="0004617B">
        <w:rPr>
          <w:rFonts w:asciiTheme="majorHAnsi" w:hAnsiTheme="majorHAnsi"/>
        </w:rPr>
        <w:t>Les cancer</w:t>
      </w:r>
      <w:r>
        <w:rPr>
          <w:rFonts w:asciiTheme="majorHAnsi" w:hAnsiTheme="majorHAnsi"/>
        </w:rPr>
        <w:t>s</w:t>
      </w:r>
      <w:r w:rsidRPr="0004617B">
        <w:rPr>
          <w:rFonts w:asciiTheme="majorHAnsi" w:hAnsiTheme="majorHAnsi"/>
        </w:rPr>
        <w:t xml:space="preserve"> non à petites cellules, </w:t>
      </w:r>
      <w:r w:rsidR="00895A4A">
        <w:rPr>
          <w:rFonts w:asciiTheme="majorHAnsi" w:hAnsiTheme="majorHAnsi"/>
        </w:rPr>
        <w:t>localisés</w:t>
      </w:r>
      <w:r w:rsidRPr="0004617B">
        <w:rPr>
          <w:rFonts w:asciiTheme="majorHAnsi" w:hAnsiTheme="majorHAnsi"/>
        </w:rPr>
        <w:t xml:space="preserve">, non </w:t>
      </w:r>
      <w:proofErr w:type="spellStart"/>
      <w:r w:rsidRPr="0004617B">
        <w:rPr>
          <w:rFonts w:asciiTheme="majorHAnsi" w:hAnsiTheme="majorHAnsi"/>
        </w:rPr>
        <w:t>réséquables</w:t>
      </w:r>
      <w:proofErr w:type="spellEnd"/>
      <w:r w:rsidRPr="0004617B">
        <w:rPr>
          <w:rFonts w:asciiTheme="majorHAnsi" w:hAnsiTheme="majorHAnsi"/>
        </w:rPr>
        <w:t xml:space="preserve"> </w:t>
      </w:r>
      <w:proofErr w:type="gramStart"/>
      <w:r>
        <w:rPr>
          <w:rFonts w:asciiTheme="majorHAnsi" w:hAnsiTheme="majorHAnsi"/>
        </w:rPr>
        <w:t>( NSCLC</w:t>
      </w:r>
      <w:proofErr w:type="gramEnd"/>
      <w:r>
        <w:rPr>
          <w:rFonts w:asciiTheme="majorHAnsi" w:hAnsiTheme="majorHAnsi"/>
        </w:rPr>
        <w:t xml:space="preserve">) </w:t>
      </w:r>
      <w:r w:rsidRPr="0004617B">
        <w:rPr>
          <w:rFonts w:asciiTheme="majorHAnsi" w:hAnsiTheme="majorHAnsi"/>
        </w:rPr>
        <w:t xml:space="preserve">ont un pronostic sombre malgré la mise sous </w:t>
      </w:r>
      <w:proofErr w:type="spellStart"/>
      <w:r w:rsidRPr="0004617B">
        <w:rPr>
          <w:rFonts w:asciiTheme="majorHAnsi" w:hAnsiTheme="majorHAnsi"/>
        </w:rPr>
        <w:t>radiochimiothérapie</w:t>
      </w:r>
      <w:proofErr w:type="spellEnd"/>
      <w:r w:rsidRPr="0004617B">
        <w:rPr>
          <w:rFonts w:asciiTheme="majorHAnsi" w:hAnsiTheme="majorHAnsi"/>
        </w:rPr>
        <w:t xml:space="preserve">. </w:t>
      </w:r>
      <w:r>
        <w:rPr>
          <w:rFonts w:asciiTheme="majorHAnsi" w:hAnsiTheme="majorHAnsi"/>
        </w:rPr>
        <w:t>Cet article se propose d’étudier l’efficacité d’un anti PDL1</w:t>
      </w:r>
      <w:r w:rsidR="00895A4A">
        <w:rPr>
          <w:rFonts w:asciiTheme="majorHAnsi" w:hAnsiTheme="majorHAnsi"/>
        </w:rPr>
        <w:t>,</w:t>
      </w:r>
      <w:r>
        <w:rPr>
          <w:rFonts w:asciiTheme="majorHAnsi" w:hAnsiTheme="majorHAnsi"/>
        </w:rPr>
        <w:t xml:space="preserve"> le </w:t>
      </w:r>
      <w:proofErr w:type="spellStart"/>
      <w:r>
        <w:rPr>
          <w:rFonts w:asciiTheme="majorHAnsi" w:hAnsiTheme="majorHAnsi"/>
        </w:rPr>
        <w:t>Durvalumab</w:t>
      </w:r>
      <w:proofErr w:type="spellEnd"/>
      <w:r w:rsidR="00895A4A">
        <w:rPr>
          <w:rFonts w:asciiTheme="majorHAnsi" w:hAnsiTheme="majorHAnsi"/>
        </w:rPr>
        <w:t>,</w:t>
      </w:r>
      <w:r>
        <w:rPr>
          <w:rFonts w:asciiTheme="majorHAnsi" w:hAnsiTheme="majorHAnsi"/>
        </w:rPr>
        <w:t xml:space="preserve"> comme traitement de consolidation avec un NSCLC stade III après traitement par </w:t>
      </w:r>
      <w:proofErr w:type="spellStart"/>
      <w:r>
        <w:rPr>
          <w:rFonts w:asciiTheme="majorHAnsi" w:hAnsiTheme="majorHAnsi"/>
        </w:rPr>
        <w:t>radiochimiothérapie</w:t>
      </w:r>
      <w:proofErr w:type="spellEnd"/>
      <w:r>
        <w:rPr>
          <w:rFonts w:asciiTheme="majorHAnsi" w:hAnsiTheme="majorHAnsi"/>
        </w:rPr>
        <w:t xml:space="preserve"> (</w:t>
      </w:r>
      <w:proofErr w:type="spellStart"/>
      <w:proofErr w:type="gramStart"/>
      <w:r>
        <w:rPr>
          <w:rFonts w:asciiTheme="majorHAnsi" w:hAnsiTheme="majorHAnsi"/>
        </w:rPr>
        <w:t>Cisplatine</w:t>
      </w:r>
      <w:proofErr w:type="spellEnd"/>
      <w:r>
        <w:rPr>
          <w:rFonts w:asciiTheme="majorHAnsi" w:hAnsiTheme="majorHAnsi"/>
        </w:rPr>
        <w:t xml:space="preserve"> )</w:t>
      </w:r>
      <w:proofErr w:type="gramEnd"/>
      <w:r>
        <w:rPr>
          <w:rFonts w:asciiTheme="majorHAnsi" w:hAnsiTheme="majorHAnsi"/>
        </w:rPr>
        <w:t>.</w:t>
      </w:r>
    </w:p>
    <w:p w14:paraId="0F8BD2BA" w14:textId="021FEF55" w:rsidR="0004617B" w:rsidRDefault="0004617B" w:rsidP="000249CB">
      <w:pPr>
        <w:jc w:val="both"/>
        <w:rPr>
          <w:rFonts w:asciiTheme="majorHAnsi" w:hAnsiTheme="majorHAnsi"/>
        </w:rPr>
      </w:pPr>
    </w:p>
    <w:p w14:paraId="5273BA0E" w14:textId="504E7A47" w:rsidR="0004617B" w:rsidRDefault="0004617B" w:rsidP="000249CB">
      <w:pPr>
        <w:jc w:val="both"/>
        <w:rPr>
          <w:rFonts w:asciiTheme="majorHAnsi" w:hAnsiTheme="majorHAnsi"/>
        </w:rPr>
      </w:pPr>
      <w:r w:rsidRPr="00895A4A">
        <w:rPr>
          <w:rFonts w:asciiTheme="majorHAnsi" w:hAnsiTheme="majorHAnsi"/>
          <w:color w:val="4F81BD" w:themeColor="accent1"/>
        </w:rPr>
        <w:t>Méthode</w:t>
      </w:r>
    </w:p>
    <w:p w14:paraId="74AC121C" w14:textId="0210A55A" w:rsidR="000F1C7A" w:rsidRPr="000F1C7A" w:rsidRDefault="0004617B" w:rsidP="000F1C7A">
      <w:pPr>
        <w:jc w:val="both"/>
        <w:rPr>
          <w:rFonts w:asciiTheme="majorHAnsi" w:hAnsiTheme="majorHAnsi"/>
        </w:rPr>
      </w:pPr>
      <w:r>
        <w:rPr>
          <w:rFonts w:asciiTheme="majorHAnsi" w:hAnsiTheme="majorHAnsi"/>
        </w:rPr>
        <w:t>Etude internationale de phase 3, randomisée, contrôlée, effectuée chez des patients avec cancer du poumon NSCLC stade 3</w:t>
      </w:r>
      <w:r w:rsidR="00895A4A">
        <w:rPr>
          <w:rFonts w:asciiTheme="majorHAnsi" w:hAnsiTheme="majorHAnsi"/>
        </w:rPr>
        <w:t xml:space="preserve">, non </w:t>
      </w:r>
      <w:proofErr w:type="spellStart"/>
      <w:r w:rsidR="00895A4A">
        <w:rPr>
          <w:rFonts w:asciiTheme="majorHAnsi" w:hAnsiTheme="majorHAnsi"/>
        </w:rPr>
        <w:t>réséquables</w:t>
      </w:r>
      <w:proofErr w:type="spellEnd"/>
      <w:r>
        <w:rPr>
          <w:rFonts w:asciiTheme="majorHAnsi" w:hAnsiTheme="majorHAnsi"/>
        </w:rPr>
        <w:t xml:space="preserve">. </w:t>
      </w:r>
      <w:r w:rsidRPr="0004617B">
        <w:rPr>
          <w:rFonts w:asciiTheme="majorHAnsi" w:hAnsiTheme="majorHAnsi"/>
        </w:rPr>
        <w:t>Critères inclusion : patients recevant au moi</w:t>
      </w:r>
      <w:r w:rsidR="000F1C7A">
        <w:rPr>
          <w:rFonts w:asciiTheme="majorHAnsi" w:hAnsiTheme="majorHAnsi"/>
        </w:rPr>
        <w:t>n</w:t>
      </w:r>
      <w:r w:rsidRPr="0004617B">
        <w:rPr>
          <w:rFonts w:asciiTheme="majorHAnsi" w:hAnsiTheme="majorHAnsi"/>
        </w:rPr>
        <w:t>s deux cycles de chimiothérapie par sels de platine (</w:t>
      </w:r>
      <w:proofErr w:type="spellStart"/>
      <w:r w:rsidRPr="0004617B">
        <w:rPr>
          <w:rFonts w:asciiTheme="majorHAnsi" w:hAnsiTheme="majorHAnsi"/>
        </w:rPr>
        <w:t>etoposide</w:t>
      </w:r>
      <w:proofErr w:type="spellEnd"/>
      <w:r w:rsidRPr="0004617B">
        <w:rPr>
          <w:rFonts w:asciiTheme="majorHAnsi" w:hAnsiTheme="majorHAnsi"/>
        </w:rPr>
        <w:t xml:space="preserve">, vinblastine, </w:t>
      </w:r>
      <w:proofErr w:type="spellStart"/>
      <w:r w:rsidRPr="0004617B">
        <w:rPr>
          <w:rFonts w:asciiTheme="majorHAnsi" w:hAnsiTheme="majorHAnsi"/>
        </w:rPr>
        <w:t>vinorelbine</w:t>
      </w:r>
      <w:proofErr w:type="spellEnd"/>
      <w:r w:rsidRPr="0004617B">
        <w:rPr>
          <w:rFonts w:asciiTheme="majorHAnsi" w:hAnsiTheme="majorHAnsi"/>
        </w:rPr>
        <w:t xml:space="preserve">, </w:t>
      </w:r>
      <w:proofErr w:type="spellStart"/>
      <w:r w:rsidR="000F1C7A">
        <w:rPr>
          <w:rFonts w:asciiTheme="majorHAnsi" w:hAnsiTheme="majorHAnsi"/>
        </w:rPr>
        <w:t>paclitaxel</w:t>
      </w:r>
      <w:proofErr w:type="spellEnd"/>
      <w:r w:rsidR="000F1C7A">
        <w:rPr>
          <w:rFonts w:asciiTheme="majorHAnsi" w:hAnsiTheme="majorHAnsi"/>
        </w:rPr>
        <w:t xml:space="preserve">, </w:t>
      </w:r>
      <w:proofErr w:type="spellStart"/>
      <w:r w:rsidR="000F1C7A">
        <w:rPr>
          <w:rFonts w:asciiTheme="majorHAnsi" w:hAnsiTheme="majorHAnsi"/>
        </w:rPr>
        <w:t>docetaxel</w:t>
      </w:r>
      <w:proofErr w:type="spellEnd"/>
      <w:r w:rsidR="000F1C7A">
        <w:rPr>
          <w:rFonts w:asciiTheme="majorHAnsi" w:hAnsiTheme="majorHAnsi"/>
        </w:rPr>
        <w:t xml:space="preserve">, </w:t>
      </w:r>
      <w:proofErr w:type="spellStart"/>
      <w:r w:rsidR="000F1C7A">
        <w:rPr>
          <w:rFonts w:asciiTheme="majorHAnsi" w:hAnsiTheme="majorHAnsi"/>
        </w:rPr>
        <w:t>pemetrexed</w:t>
      </w:r>
      <w:proofErr w:type="spellEnd"/>
      <w:r w:rsidR="000F1C7A">
        <w:rPr>
          <w:rFonts w:asciiTheme="majorHAnsi" w:hAnsiTheme="majorHAnsi"/>
        </w:rPr>
        <w:t>) associé à une radiothérapie concomitante</w:t>
      </w:r>
      <w:r w:rsidR="00895A4A">
        <w:rPr>
          <w:rFonts w:asciiTheme="majorHAnsi" w:hAnsiTheme="majorHAnsi"/>
        </w:rPr>
        <w:t xml:space="preserve"> (5</w:t>
      </w:r>
      <w:r w:rsidR="000F1C7A">
        <w:rPr>
          <w:rFonts w:asciiTheme="majorHAnsi" w:hAnsiTheme="majorHAnsi"/>
        </w:rPr>
        <w:t>4 à 66 Gy) avec dose inférieure au poumon à 20 Gy. Mais aussi : absence de progression de la maladie aprè</w:t>
      </w:r>
      <w:r w:rsidR="00895A4A">
        <w:rPr>
          <w:rFonts w:asciiTheme="majorHAnsi" w:hAnsiTheme="majorHAnsi"/>
        </w:rPr>
        <w:t xml:space="preserve">s traitement induction, score Performance </w:t>
      </w:r>
      <w:proofErr w:type="spellStart"/>
      <w:r w:rsidR="00895A4A">
        <w:rPr>
          <w:rFonts w:asciiTheme="majorHAnsi" w:hAnsiTheme="majorHAnsi"/>
        </w:rPr>
        <w:t>status</w:t>
      </w:r>
      <w:proofErr w:type="spellEnd"/>
      <w:r w:rsidR="00895A4A">
        <w:rPr>
          <w:rFonts w:asciiTheme="majorHAnsi" w:hAnsiTheme="majorHAnsi"/>
        </w:rPr>
        <w:t xml:space="preserve"> OMS entre 0 et 1,</w:t>
      </w:r>
      <w:r w:rsidR="000F1C7A">
        <w:rPr>
          <w:rFonts w:asciiTheme="majorHAnsi" w:hAnsiTheme="majorHAnsi"/>
        </w:rPr>
        <w:t xml:space="preserve"> espérance de vie attendue de plus de 12 semaines. Les critères d’exclusions : Exposition antérieure à un anti PD1 ou PDL1, exposition antérieure à une immunothérapie ou un traitement en cours d’investigation les 4 </w:t>
      </w:r>
      <w:r w:rsidR="00895A4A">
        <w:rPr>
          <w:rFonts w:asciiTheme="majorHAnsi" w:hAnsiTheme="majorHAnsi"/>
        </w:rPr>
        <w:t>(voire 6 si immunothérapie) semaines précédant</w:t>
      </w:r>
      <w:r w:rsidR="000F1C7A">
        <w:rPr>
          <w:rFonts w:asciiTheme="majorHAnsi" w:hAnsiTheme="majorHAnsi"/>
        </w:rPr>
        <w:t xml:space="preserve"> l’inclusion, présence </w:t>
      </w:r>
      <w:r w:rsidR="000F1C7A">
        <w:rPr>
          <w:rFonts w:asciiTheme="majorHAnsi" w:hAnsiTheme="majorHAnsi"/>
        </w:rPr>
        <w:lastRenderedPageBreak/>
        <w:t xml:space="preserve">d’une maladie auto immune, d’une déficience immunitaire, d’une infection incontrôlée, d’effets indésirables graves toxiques sous </w:t>
      </w:r>
      <w:proofErr w:type="spellStart"/>
      <w:r w:rsidR="000F1C7A">
        <w:rPr>
          <w:rFonts w:asciiTheme="majorHAnsi" w:hAnsiTheme="majorHAnsi"/>
        </w:rPr>
        <w:t>chimioradiothérapie</w:t>
      </w:r>
      <w:proofErr w:type="spellEnd"/>
      <w:r w:rsidR="000F1C7A">
        <w:rPr>
          <w:rFonts w:asciiTheme="majorHAnsi" w:hAnsiTheme="majorHAnsi"/>
        </w:rPr>
        <w:t xml:space="preserve">. </w:t>
      </w:r>
    </w:p>
    <w:p w14:paraId="57E91FD7" w14:textId="77777777" w:rsidR="000F1C7A" w:rsidRDefault="000F1C7A" w:rsidP="0004617B">
      <w:pPr>
        <w:jc w:val="both"/>
        <w:rPr>
          <w:rFonts w:asciiTheme="majorHAnsi" w:hAnsiTheme="majorHAnsi"/>
        </w:rPr>
      </w:pPr>
      <w:r w:rsidRPr="000F1C7A">
        <w:rPr>
          <w:rFonts w:asciiTheme="majorHAnsi" w:hAnsiTheme="majorHAnsi"/>
        </w:rPr>
        <w:t xml:space="preserve">Les patients étaient randomisés selon un ratio 2:1. </w:t>
      </w:r>
      <w:r>
        <w:rPr>
          <w:rFonts w:asciiTheme="majorHAnsi" w:hAnsiTheme="majorHAnsi"/>
        </w:rPr>
        <w:t xml:space="preserve">Ils recevaient soit </w:t>
      </w:r>
      <w:proofErr w:type="spellStart"/>
      <w:r>
        <w:rPr>
          <w:rFonts w:asciiTheme="majorHAnsi" w:hAnsiTheme="majorHAnsi"/>
        </w:rPr>
        <w:t>Durvalumab</w:t>
      </w:r>
      <w:proofErr w:type="spellEnd"/>
      <w:r>
        <w:rPr>
          <w:rFonts w:asciiTheme="majorHAnsi" w:hAnsiTheme="majorHAnsi"/>
        </w:rPr>
        <w:t xml:space="preserve"> </w:t>
      </w:r>
      <w:proofErr w:type="gramStart"/>
      <w:r>
        <w:rPr>
          <w:rFonts w:asciiTheme="majorHAnsi" w:hAnsiTheme="majorHAnsi"/>
        </w:rPr>
        <w:t>( 10</w:t>
      </w:r>
      <w:proofErr w:type="gramEnd"/>
      <w:r>
        <w:rPr>
          <w:rFonts w:asciiTheme="majorHAnsi" w:hAnsiTheme="majorHAnsi"/>
        </w:rPr>
        <w:t xml:space="preserve">mg/kg IV) soit placebo toutes les deux semaines pendant 12 mois. </w:t>
      </w:r>
      <w:r w:rsidRPr="000F1C7A">
        <w:rPr>
          <w:rFonts w:asciiTheme="majorHAnsi" w:hAnsiTheme="majorHAnsi"/>
        </w:rPr>
        <w:t>Le traitement était débuté dans les 42 jours suivant la radiothérapie.</w:t>
      </w:r>
      <w:r>
        <w:rPr>
          <w:rFonts w:asciiTheme="majorHAnsi" w:hAnsiTheme="majorHAnsi"/>
        </w:rPr>
        <w:t xml:space="preserve"> </w:t>
      </w:r>
    </w:p>
    <w:p w14:paraId="7E9E9CFB" w14:textId="77777777" w:rsidR="00004C82" w:rsidRDefault="000F1C7A" w:rsidP="000F1C7A">
      <w:pPr>
        <w:jc w:val="both"/>
        <w:rPr>
          <w:rFonts w:asciiTheme="majorHAnsi" w:hAnsiTheme="majorHAnsi"/>
        </w:rPr>
      </w:pPr>
      <w:r w:rsidRPr="000F1C7A">
        <w:rPr>
          <w:rFonts w:asciiTheme="majorHAnsi" w:hAnsiTheme="majorHAnsi"/>
        </w:rPr>
        <w:t>Le</w:t>
      </w:r>
      <w:r>
        <w:rPr>
          <w:rFonts w:asciiTheme="majorHAnsi" w:hAnsiTheme="majorHAnsi"/>
        </w:rPr>
        <w:t>s 2</w:t>
      </w:r>
      <w:r w:rsidRPr="000F1C7A">
        <w:rPr>
          <w:rFonts w:asciiTheme="majorHAnsi" w:hAnsiTheme="majorHAnsi"/>
        </w:rPr>
        <w:t xml:space="preserve"> critère</w:t>
      </w:r>
      <w:r>
        <w:rPr>
          <w:rFonts w:asciiTheme="majorHAnsi" w:hAnsiTheme="majorHAnsi"/>
        </w:rPr>
        <w:t>s</w:t>
      </w:r>
      <w:r w:rsidRPr="000F1C7A">
        <w:rPr>
          <w:rFonts w:asciiTheme="majorHAnsi" w:hAnsiTheme="majorHAnsi"/>
        </w:rPr>
        <w:t xml:space="preserve"> de jugement </w:t>
      </w:r>
      <w:r>
        <w:rPr>
          <w:rFonts w:asciiTheme="majorHAnsi" w:hAnsiTheme="majorHAnsi"/>
        </w:rPr>
        <w:t>principaux</w:t>
      </w:r>
      <w:r w:rsidRPr="000F1C7A">
        <w:rPr>
          <w:rFonts w:asciiTheme="majorHAnsi" w:hAnsiTheme="majorHAnsi"/>
        </w:rPr>
        <w:t xml:space="preserve"> était la survie sans récidive et la survie globale.</w:t>
      </w:r>
      <w:r>
        <w:rPr>
          <w:rFonts w:asciiTheme="majorHAnsi" w:hAnsiTheme="majorHAnsi"/>
        </w:rPr>
        <w:t xml:space="preserve"> </w:t>
      </w:r>
      <w:r w:rsidRPr="000F1C7A">
        <w:rPr>
          <w:rFonts w:asciiTheme="majorHAnsi" w:hAnsiTheme="majorHAnsi"/>
        </w:rPr>
        <w:t xml:space="preserve"> Les Critères secondaires de jugement étaient la survie à 12 mois et 18 mois </w:t>
      </w:r>
      <w:r>
        <w:rPr>
          <w:rFonts w:asciiTheme="majorHAnsi" w:hAnsiTheme="majorHAnsi"/>
        </w:rPr>
        <w:t>sans récidive</w:t>
      </w:r>
      <w:r w:rsidR="00004C82">
        <w:rPr>
          <w:rFonts w:asciiTheme="majorHAnsi" w:hAnsiTheme="majorHAnsi"/>
        </w:rPr>
        <w:t>, le taux de réponse, la durée de la réponse et la durée avant décès ou apparition d’une métastase.</w:t>
      </w:r>
    </w:p>
    <w:p w14:paraId="023B6E57" w14:textId="77777777" w:rsidR="00895A4A" w:rsidRDefault="00895A4A" w:rsidP="000F1C7A">
      <w:pPr>
        <w:jc w:val="both"/>
        <w:rPr>
          <w:rFonts w:asciiTheme="majorHAnsi" w:hAnsiTheme="majorHAnsi"/>
          <w:color w:val="4F81BD" w:themeColor="accent1"/>
        </w:rPr>
      </w:pPr>
    </w:p>
    <w:p w14:paraId="71971DF8" w14:textId="209B55E8" w:rsidR="00004C82" w:rsidRPr="00895A4A" w:rsidRDefault="00004C82" w:rsidP="000F1C7A">
      <w:pPr>
        <w:jc w:val="both"/>
        <w:rPr>
          <w:rFonts w:asciiTheme="majorHAnsi" w:hAnsiTheme="majorHAnsi"/>
          <w:color w:val="4F81BD" w:themeColor="accent1"/>
        </w:rPr>
      </w:pPr>
      <w:r w:rsidRPr="00895A4A">
        <w:rPr>
          <w:rFonts w:asciiTheme="majorHAnsi" w:hAnsiTheme="majorHAnsi"/>
          <w:color w:val="4F81BD" w:themeColor="accent1"/>
        </w:rPr>
        <w:t xml:space="preserve">Résultats </w:t>
      </w:r>
    </w:p>
    <w:p w14:paraId="34829776" w14:textId="53A42AD6" w:rsidR="00004C82" w:rsidRDefault="00004C82" w:rsidP="000F1C7A">
      <w:pPr>
        <w:jc w:val="both"/>
        <w:rPr>
          <w:rFonts w:asciiTheme="majorHAnsi" w:hAnsiTheme="majorHAnsi"/>
        </w:rPr>
      </w:pPr>
      <w:r>
        <w:rPr>
          <w:rFonts w:asciiTheme="majorHAnsi" w:hAnsiTheme="majorHAnsi"/>
        </w:rPr>
        <w:t xml:space="preserve">Sur 713 patients randomisés, 709 ont reçu une thérapie de consolidation (413 </w:t>
      </w:r>
      <w:proofErr w:type="spellStart"/>
      <w:r>
        <w:rPr>
          <w:rFonts w:asciiTheme="majorHAnsi" w:hAnsiTheme="majorHAnsi"/>
        </w:rPr>
        <w:t>Durvalumab</w:t>
      </w:r>
      <w:proofErr w:type="spellEnd"/>
      <w:r>
        <w:rPr>
          <w:rFonts w:asciiTheme="majorHAnsi" w:hAnsiTheme="majorHAnsi"/>
        </w:rPr>
        <w:t xml:space="preserve"> et 236 placebo). </w:t>
      </w:r>
    </w:p>
    <w:p w14:paraId="4B6744B9" w14:textId="64B78D42" w:rsidR="00374EE6" w:rsidRDefault="00004C82" w:rsidP="0004617B">
      <w:pPr>
        <w:jc w:val="both"/>
        <w:rPr>
          <w:rFonts w:asciiTheme="majorHAnsi" w:hAnsiTheme="majorHAnsi"/>
        </w:rPr>
      </w:pPr>
      <w:r>
        <w:rPr>
          <w:rFonts w:asciiTheme="majorHAnsi" w:hAnsiTheme="majorHAnsi"/>
        </w:rPr>
        <w:t xml:space="preserve">La survie médiane sans récidive était de 16.8 mois avec </w:t>
      </w:r>
      <w:proofErr w:type="spellStart"/>
      <w:r>
        <w:rPr>
          <w:rFonts w:asciiTheme="majorHAnsi" w:hAnsiTheme="majorHAnsi"/>
        </w:rPr>
        <w:t>Durvalumab</w:t>
      </w:r>
      <w:proofErr w:type="spellEnd"/>
      <w:r>
        <w:rPr>
          <w:rFonts w:asciiTheme="majorHAnsi" w:hAnsiTheme="majorHAnsi"/>
        </w:rPr>
        <w:t xml:space="preserve"> vs 5.6 avec placebo (HR 0.52, P&lt; 0.001). A 12 mois, la survie moyenne sans récidive était de 55.9% chez les patients traités versus 35% chez les contrôles et à 18 mois de 44 vs 22% (p&lt; 0.001). Le taux de réponse était meilleur avec </w:t>
      </w:r>
      <w:proofErr w:type="spellStart"/>
      <w:r>
        <w:rPr>
          <w:rFonts w:asciiTheme="majorHAnsi" w:hAnsiTheme="majorHAnsi"/>
        </w:rPr>
        <w:t>Durvalumab</w:t>
      </w:r>
      <w:proofErr w:type="spellEnd"/>
      <w:r>
        <w:rPr>
          <w:rFonts w:asciiTheme="majorHAnsi" w:hAnsiTheme="majorHAnsi"/>
        </w:rPr>
        <w:t xml:space="preserve"> (</w:t>
      </w:r>
      <w:r w:rsidR="0004617B" w:rsidRPr="00004C82">
        <w:rPr>
          <w:rFonts w:asciiTheme="majorHAnsi" w:hAnsiTheme="majorHAnsi"/>
        </w:rPr>
        <w:t>28.4% vs. 16.0%; P&lt;0.001),</w:t>
      </w:r>
      <w:r>
        <w:rPr>
          <w:rFonts w:asciiTheme="majorHAnsi" w:hAnsiTheme="majorHAnsi"/>
        </w:rPr>
        <w:t xml:space="preserve"> la durée médiane de réponse</w:t>
      </w:r>
      <w:r w:rsidR="00895A4A">
        <w:rPr>
          <w:rFonts w:asciiTheme="majorHAnsi" w:hAnsiTheme="majorHAnsi"/>
        </w:rPr>
        <w:t xml:space="preserve"> plus longue (72.8% vs. 46.8%)</w:t>
      </w:r>
      <w:r>
        <w:rPr>
          <w:rFonts w:asciiTheme="majorHAnsi" w:hAnsiTheme="majorHAnsi"/>
        </w:rPr>
        <w:t>. Le temps médian</w:t>
      </w:r>
      <w:r w:rsidR="00895A4A">
        <w:rPr>
          <w:rFonts w:asciiTheme="majorHAnsi" w:hAnsiTheme="majorHAnsi"/>
        </w:rPr>
        <w:t xml:space="preserve"> avant</w:t>
      </w:r>
      <w:r>
        <w:rPr>
          <w:rFonts w:asciiTheme="majorHAnsi" w:hAnsiTheme="majorHAnsi"/>
        </w:rPr>
        <w:t xml:space="preserve"> décès ou apparition d’une métastase était plus important chez les patients sous thérapie ciblée que sous placebo (</w:t>
      </w:r>
      <w:r w:rsidR="0004617B" w:rsidRPr="00004C82">
        <w:rPr>
          <w:rFonts w:asciiTheme="majorHAnsi" w:hAnsiTheme="majorHAnsi"/>
        </w:rPr>
        <w:t xml:space="preserve">23.2 </w:t>
      </w:r>
      <w:r>
        <w:rPr>
          <w:rFonts w:asciiTheme="majorHAnsi" w:hAnsiTheme="majorHAnsi"/>
        </w:rPr>
        <w:t>mois</w:t>
      </w:r>
      <w:r w:rsidR="0004617B" w:rsidRPr="00004C82">
        <w:rPr>
          <w:rFonts w:asciiTheme="majorHAnsi" w:hAnsiTheme="majorHAnsi"/>
        </w:rPr>
        <w:t xml:space="preserve"> vs. 14.6 m</w:t>
      </w:r>
      <w:r>
        <w:rPr>
          <w:rFonts w:asciiTheme="majorHAnsi" w:hAnsiTheme="majorHAnsi"/>
        </w:rPr>
        <w:t>ois</w:t>
      </w:r>
      <w:r w:rsidR="0004617B" w:rsidRPr="00004C82">
        <w:rPr>
          <w:rFonts w:asciiTheme="majorHAnsi" w:hAnsiTheme="majorHAnsi"/>
        </w:rPr>
        <w:t xml:space="preserve">; P&lt;0.001). </w:t>
      </w:r>
      <w:r>
        <w:rPr>
          <w:rFonts w:asciiTheme="majorHAnsi" w:hAnsiTheme="majorHAnsi"/>
        </w:rPr>
        <w:t>Il n’y avait pas de différence significative quant au nombre d</w:t>
      </w:r>
      <w:r w:rsidR="00895A4A">
        <w:rPr>
          <w:rFonts w:asciiTheme="majorHAnsi" w:hAnsiTheme="majorHAnsi"/>
        </w:rPr>
        <w:t>’effet indésirable (</w:t>
      </w:r>
      <w:r w:rsidR="0004617B" w:rsidRPr="00004C82">
        <w:rPr>
          <w:rFonts w:asciiTheme="majorHAnsi" w:hAnsiTheme="majorHAnsi"/>
        </w:rPr>
        <w:t xml:space="preserve">29.9% </w:t>
      </w:r>
      <w:r>
        <w:rPr>
          <w:rFonts w:asciiTheme="majorHAnsi" w:hAnsiTheme="majorHAnsi"/>
        </w:rPr>
        <w:t>de grade 3 et 4 chez traités vs 26.1% chez contrôles</w:t>
      </w:r>
      <w:r w:rsidR="00374EE6">
        <w:rPr>
          <w:rFonts w:asciiTheme="majorHAnsi" w:hAnsiTheme="majorHAnsi"/>
        </w:rPr>
        <w:t>,</w:t>
      </w:r>
      <w:r w:rsidR="00895A4A">
        <w:rPr>
          <w:rFonts w:asciiTheme="majorHAnsi" w:hAnsiTheme="majorHAnsi"/>
        </w:rPr>
        <w:t xml:space="preserve"> </w:t>
      </w:r>
      <w:r w:rsidR="00374EE6">
        <w:rPr>
          <w:rFonts w:asciiTheme="majorHAnsi" w:hAnsiTheme="majorHAnsi"/>
        </w:rPr>
        <w:t>l’effet le plus fréquent étant la pneumonie</w:t>
      </w:r>
      <w:r>
        <w:rPr>
          <w:rFonts w:asciiTheme="majorHAnsi" w:hAnsiTheme="majorHAnsi"/>
        </w:rPr>
        <w:t xml:space="preserve">). </w:t>
      </w:r>
      <w:r w:rsidR="00374EE6">
        <w:rPr>
          <w:rFonts w:asciiTheme="majorHAnsi" w:hAnsiTheme="majorHAnsi"/>
        </w:rPr>
        <w:t xml:space="preserve">Le pourcentage d’arrêt du </w:t>
      </w:r>
      <w:proofErr w:type="spellStart"/>
      <w:r w:rsidR="00374EE6">
        <w:rPr>
          <w:rFonts w:asciiTheme="majorHAnsi" w:hAnsiTheme="majorHAnsi"/>
        </w:rPr>
        <w:t>Durvalumab</w:t>
      </w:r>
      <w:proofErr w:type="spellEnd"/>
      <w:r w:rsidR="00374EE6">
        <w:rPr>
          <w:rFonts w:asciiTheme="majorHAnsi" w:hAnsiTheme="majorHAnsi"/>
        </w:rPr>
        <w:t xml:space="preserve"> durant l’</w:t>
      </w:r>
      <w:proofErr w:type="spellStart"/>
      <w:r w:rsidR="00374EE6">
        <w:rPr>
          <w:rFonts w:asciiTheme="majorHAnsi" w:hAnsiTheme="majorHAnsi"/>
        </w:rPr>
        <w:t>étaude</w:t>
      </w:r>
      <w:proofErr w:type="spellEnd"/>
      <w:r w:rsidR="00374EE6">
        <w:rPr>
          <w:rFonts w:asciiTheme="majorHAnsi" w:hAnsiTheme="majorHAnsi"/>
        </w:rPr>
        <w:t xml:space="preserve"> était de 15.4% versus 9.8 % pour le placebo.</w:t>
      </w:r>
    </w:p>
    <w:p w14:paraId="71673CFB" w14:textId="77777777" w:rsidR="00895A4A" w:rsidRDefault="00895A4A" w:rsidP="0004617B">
      <w:pPr>
        <w:jc w:val="both"/>
        <w:rPr>
          <w:rFonts w:asciiTheme="majorHAnsi" w:hAnsiTheme="majorHAnsi"/>
        </w:rPr>
      </w:pPr>
    </w:p>
    <w:p w14:paraId="2B1A9499" w14:textId="77777777" w:rsidR="00374EE6" w:rsidRPr="00D44D03" w:rsidRDefault="00374EE6" w:rsidP="0004617B">
      <w:pPr>
        <w:jc w:val="both"/>
        <w:rPr>
          <w:rFonts w:asciiTheme="majorHAnsi" w:hAnsiTheme="majorHAnsi"/>
        </w:rPr>
      </w:pPr>
      <w:r w:rsidRPr="00D44D03">
        <w:rPr>
          <w:rFonts w:asciiTheme="majorHAnsi" w:hAnsiTheme="majorHAnsi"/>
          <w:color w:val="4F81BD" w:themeColor="accent1"/>
        </w:rPr>
        <w:t xml:space="preserve">Conclusion </w:t>
      </w:r>
    </w:p>
    <w:p w14:paraId="51EDF1FE" w14:textId="1EBEAA10" w:rsidR="000249CB" w:rsidRDefault="00374EE6" w:rsidP="00374EE6">
      <w:pPr>
        <w:jc w:val="both"/>
        <w:rPr>
          <w:rFonts w:asciiTheme="majorHAnsi" w:hAnsiTheme="majorHAnsi"/>
        </w:rPr>
      </w:pPr>
      <w:r w:rsidRPr="00374EE6">
        <w:rPr>
          <w:rFonts w:asciiTheme="majorHAnsi" w:hAnsiTheme="majorHAnsi"/>
        </w:rPr>
        <w:t xml:space="preserve">Le </w:t>
      </w:r>
      <w:proofErr w:type="spellStart"/>
      <w:r w:rsidRPr="00374EE6">
        <w:rPr>
          <w:rFonts w:asciiTheme="majorHAnsi" w:hAnsiTheme="majorHAnsi"/>
        </w:rPr>
        <w:t>durvalumab</w:t>
      </w:r>
      <w:proofErr w:type="spellEnd"/>
      <w:r w:rsidRPr="00374EE6">
        <w:rPr>
          <w:rFonts w:asciiTheme="majorHAnsi" w:hAnsiTheme="majorHAnsi"/>
        </w:rPr>
        <w:t xml:space="preserve"> en traitement de consolidation chez les patients présentant un cancer du poumon non à petite cellules stade 3 non </w:t>
      </w:r>
      <w:proofErr w:type="spellStart"/>
      <w:r w:rsidRPr="00374EE6">
        <w:rPr>
          <w:rFonts w:asciiTheme="majorHAnsi" w:hAnsiTheme="majorHAnsi"/>
        </w:rPr>
        <w:t>réséquable</w:t>
      </w:r>
      <w:proofErr w:type="spellEnd"/>
      <w:r w:rsidRPr="00374EE6">
        <w:rPr>
          <w:rFonts w:asciiTheme="majorHAnsi" w:hAnsiTheme="majorHAnsi"/>
        </w:rPr>
        <w:t xml:space="preserve">, </w:t>
      </w:r>
      <w:r w:rsidR="00895A4A" w:rsidRPr="00374EE6">
        <w:rPr>
          <w:rFonts w:asciiTheme="majorHAnsi" w:hAnsiTheme="majorHAnsi"/>
        </w:rPr>
        <w:t>après</w:t>
      </w:r>
      <w:r w:rsidRPr="00374EE6">
        <w:rPr>
          <w:rFonts w:asciiTheme="majorHAnsi" w:hAnsiTheme="majorHAnsi"/>
        </w:rPr>
        <w:t xml:space="preserve"> </w:t>
      </w:r>
      <w:proofErr w:type="spellStart"/>
      <w:r w:rsidRPr="00374EE6">
        <w:rPr>
          <w:rFonts w:asciiTheme="majorHAnsi" w:hAnsiTheme="majorHAnsi"/>
        </w:rPr>
        <w:t>radiochimiothérapie</w:t>
      </w:r>
      <w:proofErr w:type="spellEnd"/>
      <w:r w:rsidRPr="00374EE6">
        <w:rPr>
          <w:rFonts w:asciiTheme="majorHAnsi" w:hAnsiTheme="majorHAnsi"/>
        </w:rPr>
        <w:t>, permet d’am</w:t>
      </w:r>
      <w:r>
        <w:rPr>
          <w:rFonts w:asciiTheme="majorHAnsi" w:hAnsiTheme="majorHAnsi"/>
        </w:rPr>
        <w:t xml:space="preserve">éliorer la survie des patients (avec un profil de tolérance bon). </w:t>
      </w:r>
    </w:p>
    <w:p w14:paraId="5685B8C2" w14:textId="630DCE47" w:rsidR="00374EE6" w:rsidRDefault="00374EE6" w:rsidP="00374EE6">
      <w:pPr>
        <w:jc w:val="both"/>
        <w:rPr>
          <w:rFonts w:asciiTheme="majorHAnsi" w:hAnsiTheme="majorHAnsi"/>
        </w:rPr>
      </w:pPr>
    </w:p>
    <w:p w14:paraId="23AF77E6" w14:textId="77777777" w:rsidR="00374EE6" w:rsidRPr="00374EE6" w:rsidRDefault="00374EE6" w:rsidP="00374EE6">
      <w:pPr>
        <w:jc w:val="both"/>
        <w:rPr>
          <w:rFonts w:asciiTheme="majorHAnsi" w:hAnsiTheme="majorHAnsi"/>
        </w:rPr>
      </w:pPr>
    </w:p>
    <w:p w14:paraId="5B614A4E" w14:textId="77777777" w:rsidR="000249CB" w:rsidRPr="00D44D03" w:rsidRDefault="000249CB" w:rsidP="000249CB">
      <w:pPr>
        <w:jc w:val="both"/>
        <w:rPr>
          <w:rFonts w:asciiTheme="majorHAnsi" w:hAnsiTheme="majorHAnsi"/>
        </w:rPr>
      </w:pPr>
    </w:p>
    <w:p w14:paraId="3E6C84E7" w14:textId="77777777" w:rsidR="000249CB" w:rsidRPr="00895A4A" w:rsidRDefault="000249CB" w:rsidP="000249CB">
      <w:pPr>
        <w:jc w:val="both"/>
        <w:rPr>
          <w:rFonts w:asciiTheme="majorHAnsi" w:hAnsiTheme="majorHAnsi"/>
          <w:b/>
          <w:color w:val="4F81BD" w:themeColor="accent1"/>
          <w:lang w:val="en-GB"/>
        </w:rPr>
      </w:pPr>
      <w:r w:rsidRPr="00895A4A">
        <w:rPr>
          <w:rFonts w:asciiTheme="majorHAnsi" w:hAnsiTheme="majorHAnsi"/>
          <w:b/>
          <w:color w:val="4F81BD" w:themeColor="accent1"/>
          <w:lang w:val="en-GB"/>
        </w:rPr>
        <w:t xml:space="preserve">Adjuvant </w:t>
      </w:r>
      <w:proofErr w:type="spellStart"/>
      <w:r w:rsidRPr="00895A4A">
        <w:rPr>
          <w:rFonts w:asciiTheme="majorHAnsi" w:hAnsiTheme="majorHAnsi"/>
          <w:b/>
          <w:color w:val="4F81BD" w:themeColor="accent1"/>
          <w:lang w:val="en-GB"/>
        </w:rPr>
        <w:t>Nivolumab</w:t>
      </w:r>
      <w:proofErr w:type="spellEnd"/>
      <w:r w:rsidRPr="00895A4A">
        <w:rPr>
          <w:rFonts w:asciiTheme="majorHAnsi" w:hAnsiTheme="majorHAnsi"/>
          <w:b/>
          <w:color w:val="4F81BD" w:themeColor="accent1"/>
          <w:lang w:val="en-GB"/>
        </w:rPr>
        <w:t xml:space="preserve"> versus Ipilimumab in Resected Stage III or IV Melanoma   </w:t>
      </w:r>
    </w:p>
    <w:p w14:paraId="64336157" w14:textId="704D2543" w:rsidR="000249CB" w:rsidRDefault="00895A4A" w:rsidP="000249CB">
      <w:pPr>
        <w:jc w:val="both"/>
        <w:rPr>
          <w:rFonts w:asciiTheme="majorHAnsi" w:hAnsiTheme="majorHAnsi"/>
        </w:rPr>
      </w:pPr>
      <w:r w:rsidRPr="00D44D03">
        <w:rPr>
          <w:rFonts w:asciiTheme="majorHAnsi" w:hAnsiTheme="majorHAnsi"/>
        </w:rPr>
        <w:t xml:space="preserve">J. Weber, NEJM </w:t>
      </w:r>
      <w:r w:rsidR="000249CB" w:rsidRPr="00D44D03">
        <w:rPr>
          <w:rFonts w:asciiTheme="majorHAnsi" w:hAnsiTheme="majorHAnsi"/>
        </w:rPr>
        <w:t>DOI: 10.1056/NEJMoa1709030</w:t>
      </w:r>
    </w:p>
    <w:p w14:paraId="17F3CB49" w14:textId="77777777" w:rsidR="00A73B7B" w:rsidRPr="00A73B7B" w:rsidRDefault="00A73B7B" w:rsidP="00A73B7B">
      <w:pPr>
        <w:jc w:val="both"/>
        <w:rPr>
          <w:rFonts w:asciiTheme="majorHAnsi" w:hAnsiTheme="majorHAnsi"/>
        </w:rPr>
      </w:pPr>
      <w:hyperlink r:id="rId23" w:history="1">
        <w:r w:rsidRPr="00A73B7B">
          <w:rPr>
            <w:rStyle w:val="Lienhypertexte"/>
            <w:rFonts w:asciiTheme="majorHAnsi" w:hAnsiTheme="majorHAnsi"/>
          </w:rPr>
          <w:t>https://www.ncbi.nlm.nih.gov/pubmed/28891423</w:t>
        </w:r>
      </w:hyperlink>
      <w:r w:rsidRPr="00A73B7B">
        <w:rPr>
          <w:rFonts w:asciiTheme="majorHAnsi" w:hAnsiTheme="majorHAnsi"/>
        </w:rPr>
        <w:t xml:space="preserve"> </w:t>
      </w:r>
    </w:p>
    <w:p w14:paraId="5A9B6EBA" w14:textId="77777777" w:rsidR="00A73B7B" w:rsidRPr="00D44D03" w:rsidRDefault="00A73B7B" w:rsidP="000249CB">
      <w:pPr>
        <w:jc w:val="both"/>
        <w:rPr>
          <w:rFonts w:asciiTheme="majorHAnsi" w:hAnsiTheme="majorHAnsi"/>
        </w:rPr>
      </w:pPr>
    </w:p>
    <w:p w14:paraId="1CEC14A9" w14:textId="77777777" w:rsidR="00895A4A" w:rsidRPr="004966BF" w:rsidRDefault="00895A4A" w:rsidP="00895A4A">
      <w:pPr>
        <w:jc w:val="both"/>
        <w:rPr>
          <w:rFonts w:asciiTheme="majorHAnsi" w:hAnsiTheme="majorHAnsi"/>
          <w:color w:val="4F81BD" w:themeColor="accent1"/>
        </w:rPr>
      </w:pPr>
      <w:r w:rsidRPr="004966BF">
        <w:rPr>
          <w:rFonts w:asciiTheme="majorHAnsi" w:hAnsiTheme="majorHAnsi"/>
          <w:color w:val="4F81BD" w:themeColor="accent1"/>
        </w:rPr>
        <w:t>Introduction</w:t>
      </w:r>
    </w:p>
    <w:p w14:paraId="5436B853" w14:textId="73937B7D" w:rsidR="00EF683A" w:rsidRDefault="00895A4A" w:rsidP="00895A4A">
      <w:pPr>
        <w:jc w:val="both"/>
        <w:rPr>
          <w:rFonts w:asciiTheme="majorHAnsi" w:hAnsiTheme="majorHAnsi"/>
        </w:rPr>
      </w:pPr>
      <w:r w:rsidRPr="00895A4A">
        <w:rPr>
          <w:rFonts w:asciiTheme="majorHAnsi" w:hAnsiTheme="majorHAnsi"/>
        </w:rPr>
        <w:t xml:space="preserve">Le </w:t>
      </w:r>
      <w:proofErr w:type="spellStart"/>
      <w:r w:rsidRPr="00895A4A">
        <w:rPr>
          <w:rFonts w:asciiTheme="majorHAnsi" w:hAnsiTheme="majorHAnsi"/>
        </w:rPr>
        <w:t>Nivolumab</w:t>
      </w:r>
      <w:proofErr w:type="spellEnd"/>
      <w:r w:rsidRPr="00895A4A">
        <w:rPr>
          <w:rFonts w:asciiTheme="majorHAnsi" w:hAnsiTheme="majorHAnsi"/>
        </w:rPr>
        <w:t xml:space="preserve"> et l’</w:t>
      </w:r>
      <w:proofErr w:type="spellStart"/>
      <w:r w:rsidRPr="00895A4A">
        <w:rPr>
          <w:rFonts w:asciiTheme="majorHAnsi" w:hAnsiTheme="majorHAnsi"/>
        </w:rPr>
        <w:t>ipi</w:t>
      </w:r>
      <w:r w:rsidR="004966BF">
        <w:rPr>
          <w:rFonts w:asciiTheme="majorHAnsi" w:hAnsiTheme="majorHAnsi"/>
        </w:rPr>
        <w:t>li</w:t>
      </w:r>
      <w:r w:rsidRPr="00895A4A">
        <w:rPr>
          <w:rFonts w:asciiTheme="majorHAnsi" w:hAnsiTheme="majorHAnsi"/>
        </w:rPr>
        <w:t>mumab</w:t>
      </w:r>
      <w:proofErr w:type="spellEnd"/>
      <w:r w:rsidRPr="00895A4A">
        <w:rPr>
          <w:rFonts w:asciiTheme="majorHAnsi" w:hAnsiTheme="majorHAnsi"/>
        </w:rPr>
        <w:t xml:space="preserve"> sont </w:t>
      </w:r>
      <w:proofErr w:type="gramStart"/>
      <w:r w:rsidRPr="00895A4A">
        <w:rPr>
          <w:rFonts w:asciiTheme="majorHAnsi" w:hAnsiTheme="majorHAnsi"/>
        </w:rPr>
        <w:t>des checkpoint inhibiteurs</w:t>
      </w:r>
      <w:proofErr w:type="gramEnd"/>
      <w:r w:rsidRPr="00895A4A">
        <w:rPr>
          <w:rFonts w:asciiTheme="majorHAnsi" w:hAnsiTheme="majorHAnsi"/>
        </w:rPr>
        <w:t xml:space="preserve"> </w:t>
      </w:r>
      <w:r>
        <w:rPr>
          <w:rFonts w:asciiTheme="majorHAnsi" w:hAnsiTheme="majorHAnsi"/>
        </w:rPr>
        <w:t xml:space="preserve">qui sont approuvés comme traitement </w:t>
      </w:r>
      <w:r w:rsidR="00EF683A">
        <w:rPr>
          <w:rFonts w:asciiTheme="majorHAnsi" w:hAnsiTheme="majorHAnsi"/>
        </w:rPr>
        <w:t>du mélanome de stade avancé. Aux USA, l’</w:t>
      </w:r>
      <w:proofErr w:type="spellStart"/>
      <w:r w:rsidR="00EF683A">
        <w:rPr>
          <w:rFonts w:asciiTheme="majorHAnsi" w:hAnsiTheme="majorHAnsi"/>
        </w:rPr>
        <w:t>Ipilimumab</w:t>
      </w:r>
      <w:proofErr w:type="spellEnd"/>
      <w:r w:rsidR="00EF683A">
        <w:rPr>
          <w:rFonts w:asciiTheme="majorHAnsi" w:hAnsiTheme="majorHAnsi"/>
        </w:rPr>
        <w:t xml:space="preserve"> a aussi obtenu l’autorisation comme traitement adjuvant du mélanome </w:t>
      </w:r>
      <w:proofErr w:type="spellStart"/>
      <w:r w:rsidR="00EF683A">
        <w:rPr>
          <w:rFonts w:asciiTheme="majorHAnsi" w:hAnsiTheme="majorHAnsi"/>
        </w:rPr>
        <w:t>réséquable</w:t>
      </w:r>
      <w:proofErr w:type="spellEnd"/>
      <w:r w:rsidR="00EF683A">
        <w:rPr>
          <w:rFonts w:asciiTheme="majorHAnsi" w:hAnsiTheme="majorHAnsi"/>
        </w:rPr>
        <w:t xml:space="preserve"> stable avancé. L’article se propose de comparer l’efficacité du </w:t>
      </w:r>
      <w:proofErr w:type="spellStart"/>
      <w:r w:rsidR="00EF683A">
        <w:rPr>
          <w:rFonts w:asciiTheme="majorHAnsi" w:hAnsiTheme="majorHAnsi"/>
        </w:rPr>
        <w:t>nivolumab</w:t>
      </w:r>
      <w:proofErr w:type="spellEnd"/>
      <w:r w:rsidR="00EF683A">
        <w:rPr>
          <w:rFonts w:asciiTheme="majorHAnsi" w:hAnsiTheme="majorHAnsi"/>
        </w:rPr>
        <w:t xml:space="preserve"> et de l’</w:t>
      </w:r>
      <w:proofErr w:type="spellStart"/>
      <w:r w:rsidR="00EF683A">
        <w:rPr>
          <w:rFonts w:asciiTheme="majorHAnsi" w:hAnsiTheme="majorHAnsi"/>
        </w:rPr>
        <w:t>ipimumab</w:t>
      </w:r>
      <w:proofErr w:type="spellEnd"/>
      <w:r w:rsidR="004966BF">
        <w:rPr>
          <w:rFonts w:asciiTheme="majorHAnsi" w:hAnsiTheme="majorHAnsi"/>
        </w:rPr>
        <w:t xml:space="preserve"> chez ces derniers cas</w:t>
      </w:r>
      <w:r w:rsidR="00EF683A">
        <w:rPr>
          <w:rFonts w:asciiTheme="majorHAnsi" w:hAnsiTheme="majorHAnsi"/>
        </w:rPr>
        <w:t xml:space="preserve">. </w:t>
      </w:r>
    </w:p>
    <w:p w14:paraId="08E500C7" w14:textId="545B98A6" w:rsidR="00EF683A" w:rsidRDefault="00EF683A" w:rsidP="00895A4A">
      <w:pPr>
        <w:jc w:val="both"/>
        <w:rPr>
          <w:rFonts w:asciiTheme="majorHAnsi" w:hAnsiTheme="majorHAnsi"/>
        </w:rPr>
      </w:pPr>
    </w:p>
    <w:p w14:paraId="58FC07A6" w14:textId="10C89DA1" w:rsidR="00EF683A" w:rsidRDefault="00EF683A" w:rsidP="00895A4A">
      <w:pPr>
        <w:jc w:val="both"/>
        <w:rPr>
          <w:rFonts w:asciiTheme="majorHAnsi" w:hAnsiTheme="majorHAnsi"/>
        </w:rPr>
      </w:pPr>
      <w:r w:rsidRPr="004966BF">
        <w:rPr>
          <w:rFonts w:asciiTheme="majorHAnsi" w:hAnsiTheme="majorHAnsi"/>
          <w:color w:val="4F81BD" w:themeColor="accent1"/>
        </w:rPr>
        <w:t xml:space="preserve">Objectif : </w:t>
      </w:r>
      <w:r>
        <w:rPr>
          <w:rFonts w:asciiTheme="majorHAnsi" w:hAnsiTheme="majorHAnsi"/>
        </w:rPr>
        <w:t xml:space="preserve">Comparer </w:t>
      </w:r>
      <w:proofErr w:type="spellStart"/>
      <w:r>
        <w:rPr>
          <w:rFonts w:asciiTheme="majorHAnsi" w:hAnsiTheme="majorHAnsi"/>
        </w:rPr>
        <w:t>Ipilimumab</w:t>
      </w:r>
      <w:proofErr w:type="spellEnd"/>
      <w:r>
        <w:rPr>
          <w:rFonts w:asciiTheme="majorHAnsi" w:hAnsiTheme="majorHAnsi"/>
        </w:rPr>
        <w:t xml:space="preserve"> versus </w:t>
      </w:r>
      <w:proofErr w:type="spellStart"/>
      <w:r>
        <w:rPr>
          <w:rFonts w:asciiTheme="majorHAnsi" w:hAnsiTheme="majorHAnsi"/>
        </w:rPr>
        <w:t>Nivolumab</w:t>
      </w:r>
      <w:proofErr w:type="spellEnd"/>
      <w:r>
        <w:rPr>
          <w:rFonts w:asciiTheme="majorHAnsi" w:hAnsiTheme="majorHAnsi"/>
        </w:rPr>
        <w:t xml:space="preserve"> chez les </w:t>
      </w:r>
      <w:r w:rsidR="004966BF">
        <w:rPr>
          <w:rFonts w:asciiTheme="majorHAnsi" w:hAnsiTheme="majorHAnsi"/>
        </w:rPr>
        <w:t>patients</w:t>
      </w:r>
      <w:r>
        <w:rPr>
          <w:rFonts w:asciiTheme="majorHAnsi" w:hAnsiTheme="majorHAnsi"/>
        </w:rPr>
        <w:t xml:space="preserve"> présentant des mélanomes de stade avancés, </w:t>
      </w:r>
      <w:proofErr w:type="spellStart"/>
      <w:r>
        <w:rPr>
          <w:rFonts w:asciiTheme="majorHAnsi" w:hAnsiTheme="majorHAnsi"/>
        </w:rPr>
        <w:t>réséquables</w:t>
      </w:r>
      <w:proofErr w:type="spellEnd"/>
      <w:r>
        <w:rPr>
          <w:rFonts w:asciiTheme="majorHAnsi" w:hAnsiTheme="majorHAnsi"/>
        </w:rPr>
        <w:t>.</w:t>
      </w:r>
    </w:p>
    <w:p w14:paraId="1E3FFD68" w14:textId="17E945E4" w:rsidR="00EF683A" w:rsidRDefault="00EF683A" w:rsidP="00895A4A">
      <w:pPr>
        <w:jc w:val="both"/>
        <w:rPr>
          <w:rFonts w:asciiTheme="majorHAnsi" w:hAnsiTheme="majorHAnsi"/>
        </w:rPr>
      </w:pPr>
    </w:p>
    <w:p w14:paraId="6B2AFDC3" w14:textId="5BDEE87A" w:rsidR="00EF683A" w:rsidRPr="004966BF" w:rsidRDefault="00EF683A" w:rsidP="00895A4A">
      <w:pPr>
        <w:jc w:val="both"/>
        <w:rPr>
          <w:rFonts w:asciiTheme="majorHAnsi" w:hAnsiTheme="majorHAnsi"/>
          <w:color w:val="4F81BD" w:themeColor="accent1"/>
        </w:rPr>
      </w:pPr>
      <w:r w:rsidRPr="004966BF">
        <w:rPr>
          <w:rFonts w:asciiTheme="majorHAnsi" w:hAnsiTheme="majorHAnsi"/>
          <w:color w:val="4F81BD" w:themeColor="accent1"/>
        </w:rPr>
        <w:t xml:space="preserve">Méthodes </w:t>
      </w:r>
    </w:p>
    <w:p w14:paraId="34E3D04C" w14:textId="7EB45BFB" w:rsidR="00895A4A" w:rsidRDefault="00EF683A" w:rsidP="00895A4A">
      <w:pPr>
        <w:jc w:val="both"/>
        <w:rPr>
          <w:rFonts w:asciiTheme="majorHAnsi" w:hAnsiTheme="majorHAnsi"/>
        </w:rPr>
      </w:pPr>
      <w:r>
        <w:rPr>
          <w:rFonts w:asciiTheme="majorHAnsi" w:hAnsiTheme="majorHAnsi"/>
        </w:rPr>
        <w:t xml:space="preserve">Etude </w:t>
      </w:r>
      <w:r w:rsidR="004966BF">
        <w:rPr>
          <w:rFonts w:asciiTheme="majorHAnsi" w:hAnsiTheme="majorHAnsi"/>
        </w:rPr>
        <w:t>contrôlée</w:t>
      </w:r>
      <w:r>
        <w:rPr>
          <w:rFonts w:asciiTheme="majorHAnsi" w:hAnsiTheme="majorHAnsi"/>
        </w:rPr>
        <w:t>, randomisée, en double aveugl</w:t>
      </w:r>
      <w:r w:rsidR="004966BF">
        <w:rPr>
          <w:rFonts w:asciiTheme="majorHAnsi" w:hAnsiTheme="majorHAnsi"/>
        </w:rPr>
        <w:t>e, de phase 3, multicentrique (</w:t>
      </w:r>
      <w:r>
        <w:rPr>
          <w:rFonts w:asciiTheme="majorHAnsi" w:hAnsiTheme="majorHAnsi"/>
        </w:rPr>
        <w:t>25 pays) ayant lieu en 2015.</w:t>
      </w:r>
    </w:p>
    <w:p w14:paraId="7174F8F3" w14:textId="1835C248" w:rsidR="00EF683A" w:rsidRDefault="00EF683A" w:rsidP="00895A4A">
      <w:pPr>
        <w:jc w:val="both"/>
        <w:rPr>
          <w:rFonts w:asciiTheme="majorHAnsi" w:hAnsiTheme="majorHAnsi"/>
        </w:rPr>
      </w:pPr>
      <w:r w:rsidRPr="00EF683A">
        <w:rPr>
          <w:rFonts w:asciiTheme="majorHAnsi" w:hAnsiTheme="majorHAnsi"/>
        </w:rPr>
        <w:lastRenderedPageBreak/>
        <w:t>Critères inclusion: patient de plus de 15 ans, avec mélanome stade</w:t>
      </w:r>
      <w:r w:rsidR="004966BF">
        <w:rPr>
          <w:rFonts w:asciiTheme="majorHAnsi" w:hAnsiTheme="majorHAnsi"/>
        </w:rPr>
        <w:t xml:space="preserve"> IIIB, IIIC ou IV (</w:t>
      </w:r>
      <w:proofErr w:type="spellStart"/>
      <w:r w:rsidRPr="00EF683A">
        <w:rPr>
          <w:rFonts w:asciiTheme="majorHAnsi" w:hAnsiTheme="majorHAnsi"/>
        </w:rPr>
        <w:t>reco</w:t>
      </w:r>
      <w:proofErr w:type="spellEnd"/>
      <w:r w:rsidRPr="00EF683A">
        <w:rPr>
          <w:rFonts w:asciiTheme="majorHAnsi" w:hAnsiTheme="majorHAnsi"/>
        </w:rPr>
        <w:t xml:space="preserve"> AJCC 2009), avec métastase locale ou distante </w:t>
      </w:r>
      <w:proofErr w:type="spellStart"/>
      <w:r w:rsidRPr="00EF683A">
        <w:rPr>
          <w:rFonts w:asciiTheme="majorHAnsi" w:hAnsiTheme="majorHAnsi"/>
        </w:rPr>
        <w:t>réséquables</w:t>
      </w:r>
      <w:proofErr w:type="spellEnd"/>
      <w:r w:rsidRPr="00EF683A">
        <w:rPr>
          <w:rFonts w:asciiTheme="majorHAnsi" w:hAnsiTheme="majorHAnsi"/>
        </w:rPr>
        <w:t xml:space="preserve"> et réséquées. Une </w:t>
      </w:r>
      <w:proofErr w:type="spellStart"/>
      <w:r w:rsidRPr="00EF683A">
        <w:rPr>
          <w:rFonts w:asciiTheme="majorHAnsi" w:hAnsiTheme="majorHAnsi"/>
        </w:rPr>
        <w:t>lymphadénectomie</w:t>
      </w:r>
      <w:proofErr w:type="spellEnd"/>
      <w:r w:rsidRPr="00EF683A">
        <w:rPr>
          <w:rFonts w:asciiTheme="majorHAnsi" w:hAnsiTheme="majorHAnsi"/>
        </w:rPr>
        <w:t xml:space="preserve"> et une </w:t>
      </w:r>
      <w:r w:rsidR="004966BF" w:rsidRPr="00EF683A">
        <w:rPr>
          <w:rFonts w:asciiTheme="majorHAnsi" w:hAnsiTheme="majorHAnsi"/>
        </w:rPr>
        <w:t>résection</w:t>
      </w:r>
      <w:r w:rsidRPr="00EF683A">
        <w:rPr>
          <w:rFonts w:asciiTheme="majorHAnsi" w:hAnsiTheme="majorHAnsi"/>
        </w:rPr>
        <w:t xml:space="preserve"> des </w:t>
      </w:r>
      <w:r w:rsidR="004966BF" w:rsidRPr="00EF683A">
        <w:rPr>
          <w:rFonts w:asciiTheme="majorHAnsi" w:hAnsiTheme="majorHAnsi"/>
        </w:rPr>
        <w:t>métastases</w:t>
      </w:r>
      <w:r w:rsidRPr="00EF683A">
        <w:rPr>
          <w:rFonts w:asciiTheme="majorHAnsi" w:hAnsiTheme="majorHAnsi"/>
        </w:rPr>
        <w:t xml:space="preserve"> devait avoir lieu dans les 12 semaines précédant l’inclusion dans l’étude</w:t>
      </w:r>
      <w:r>
        <w:rPr>
          <w:rFonts w:asciiTheme="majorHAnsi" w:hAnsiTheme="majorHAnsi"/>
        </w:rPr>
        <w:t xml:space="preserve"> (</w:t>
      </w:r>
      <w:r w:rsidRPr="00EF683A">
        <w:rPr>
          <w:rFonts w:asciiTheme="majorHAnsi" w:hAnsiTheme="majorHAnsi"/>
        </w:rPr>
        <w:t xml:space="preserve">dont cérébrale). </w:t>
      </w:r>
      <w:r w:rsidRPr="00776496">
        <w:rPr>
          <w:rFonts w:asciiTheme="majorHAnsi" w:hAnsiTheme="majorHAnsi"/>
        </w:rPr>
        <w:t>Les critères d’exclusion étaient:</w:t>
      </w:r>
      <w:r w:rsidR="00776496">
        <w:rPr>
          <w:rFonts w:asciiTheme="majorHAnsi" w:hAnsiTheme="majorHAnsi"/>
        </w:rPr>
        <w:t xml:space="preserve"> un mélanome uvéale ou oculaire, </w:t>
      </w:r>
      <w:r w:rsidRPr="00776496">
        <w:rPr>
          <w:rFonts w:asciiTheme="majorHAnsi" w:hAnsiTheme="majorHAnsi"/>
        </w:rPr>
        <w:t xml:space="preserve">la </w:t>
      </w:r>
      <w:r w:rsidR="00776496" w:rsidRPr="00776496">
        <w:rPr>
          <w:rFonts w:asciiTheme="majorHAnsi" w:hAnsiTheme="majorHAnsi"/>
        </w:rPr>
        <w:t>présence</w:t>
      </w:r>
      <w:r w:rsidRPr="00776496">
        <w:rPr>
          <w:rFonts w:asciiTheme="majorHAnsi" w:hAnsiTheme="majorHAnsi"/>
        </w:rPr>
        <w:t xml:space="preserve"> d’un </w:t>
      </w:r>
      <w:r w:rsidR="00776496" w:rsidRPr="00776496">
        <w:rPr>
          <w:rFonts w:asciiTheme="majorHAnsi" w:hAnsiTheme="majorHAnsi"/>
        </w:rPr>
        <w:t xml:space="preserve">autre </w:t>
      </w:r>
      <w:r w:rsidRPr="00776496">
        <w:rPr>
          <w:rFonts w:asciiTheme="majorHAnsi" w:hAnsiTheme="majorHAnsi"/>
        </w:rPr>
        <w:t xml:space="preserve">cancer </w:t>
      </w:r>
      <w:r w:rsidR="004966BF">
        <w:rPr>
          <w:rFonts w:asciiTheme="majorHAnsi" w:hAnsiTheme="majorHAnsi"/>
        </w:rPr>
        <w:t>(</w:t>
      </w:r>
      <w:r w:rsidR="00776496" w:rsidRPr="00776496">
        <w:rPr>
          <w:rFonts w:asciiTheme="majorHAnsi" w:hAnsiTheme="majorHAnsi"/>
        </w:rPr>
        <w:t>non en rémission</w:t>
      </w:r>
      <w:r w:rsidR="004966BF">
        <w:rPr>
          <w:rFonts w:asciiTheme="majorHAnsi" w:hAnsiTheme="majorHAnsi"/>
        </w:rPr>
        <w:t>)</w:t>
      </w:r>
      <w:r w:rsidR="00776496" w:rsidRPr="00776496">
        <w:rPr>
          <w:rFonts w:asciiTheme="majorHAnsi" w:hAnsiTheme="majorHAnsi"/>
        </w:rPr>
        <w:t xml:space="preserve"> depuis moins de 3 ans</w:t>
      </w:r>
      <w:r w:rsidR="00776496">
        <w:rPr>
          <w:rFonts w:asciiTheme="majorHAnsi" w:hAnsiTheme="majorHAnsi"/>
        </w:rPr>
        <w:t xml:space="preserve">, une maladie auto immune concomitante, une utilisation de glucocorticoïde systémique, la prise d’un traitement systémique pour le mélanome. </w:t>
      </w:r>
    </w:p>
    <w:p w14:paraId="72E72AB6" w14:textId="5F09DAC4" w:rsidR="00895A4A" w:rsidRDefault="00776496" w:rsidP="00776496">
      <w:pPr>
        <w:jc w:val="both"/>
        <w:rPr>
          <w:rFonts w:asciiTheme="majorHAnsi" w:hAnsiTheme="majorHAnsi"/>
        </w:rPr>
      </w:pPr>
      <w:r>
        <w:rPr>
          <w:rFonts w:asciiTheme="majorHAnsi" w:hAnsiTheme="majorHAnsi"/>
        </w:rPr>
        <w:t xml:space="preserve">906 patients au total furent randomisés (après résection mélanome et métastase).  453 </w:t>
      </w:r>
      <w:r w:rsidR="004966BF">
        <w:rPr>
          <w:rFonts w:asciiTheme="majorHAnsi" w:hAnsiTheme="majorHAnsi"/>
        </w:rPr>
        <w:t>reçurent</w:t>
      </w:r>
      <w:r>
        <w:rPr>
          <w:rFonts w:asciiTheme="majorHAnsi" w:hAnsiTheme="majorHAnsi"/>
        </w:rPr>
        <w:t xml:space="preserve"> </w:t>
      </w:r>
      <w:proofErr w:type="spellStart"/>
      <w:r>
        <w:rPr>
          <w:rFonts w:asciiTheme="majorHAnsi" w:hAnsiTheme="majorHAnsi"/>
        </w:rPr>
        <w:t>Nivolumab</w:t>
      </w:r>
      <w:proofErr w:type="spellEnd"/>
      <w:r>
        <w:rPr>
          <w:rFonts w:asciiTheme="majorHAnsi" w:hAnsiTheme="majorHAnsi"/>
        </w:rPr>
        <w:t xml:space="preserve"> (3mg/kg/2 semaines) et 453 </w:t>
      </w:r>
      <w:proofErr w:type="spellStart"/>
      <w:r w:rsidR="004966BF">
        <w:rPr>
          <w:rFonts w:asciiTheme="majorHAnsi" w:hAnsiTheme="majorHAnsi"/>
        </w:rPr>
        <w:t>Ipilimumab</w:t>
      </w:r>
      <w:proofErr w:type="spellEnd"/>
      <w:r w:rsidR="004966BF">
        <w:rPr>
          <w:rFonts w:asciiTheme="majorHAnsi" w:hAnsiTheme="majorHAnsi"/>
        </w:rPr>
        <w:t xml:space="preserve"> (</w:t>
      </w:r>
      <w:r>
        <w:rPr>
          <w:rFonts w:asciiTheme="majorHAnsi" w:hAnsiTheme="majorHAnsi"/>
        </w:rPr>
        <w:t xml:space="preserve">10 mg/kg/3 semaines 4 cures puis 10 mg/kg/12 semaines). Les patients furent </w:t>
      </w:r>
      <w:r w:rsidR="004966BF">
        <w:rPr>
          <w:rFonts w:asciiTheme="majorHAnsi" w:hAnsiTheme="majorHAnsi"/>
        </w:rPr>
        <w:t>traités</w:t>
      </w:r>
      <w:r>
        <w:rPr>
          <w:rFonts w:asciiTheme="majorHAnsi" w:hAnsiTheme="majorHAnsi"/>
        </w:rPr>
        <w:t xml:space="preserve"> pour une durée d’un an ou jusqu’à récurrence du mélanome/ EI graves. </w:t>
      </w:r>
    </w:p>
    <w:p w14:paraId="2A6AE6DD" w14:textId="77777777" w:rsidR="00776496" w:rsidRDefault="00776496" w:rsidP="00776496">
      <w:pPr>
        <w:jc w:val="both"/>
        <w:rPr>
          <w:rFonts w:asciiTheme="majorHAnsi" w:hAnsiTheme="majorHAnsi"/>
        </w:rPr>
      </w:pPr>
      <w:r>
        <w:rPr>
          <w:rFonts w:asciiTheme="majorHAnsi" w:hAnsiTheme="majorHAnsi"/>
        </w:rPr>
        <w:t>Le critère de jugement principal était le taux de survie sans récidive (en analyse intention de traiter).</w:t>
      </w:r>
    </w:p>
    <w:p w14:paraId="414849F8" w14:textId="28AF56DD" w:rsidR="00895A4A" w:rsidRDefault="00776496" w:rsidP="00776496">
      <w:pPr>
        <w:jc w:val="both"/>
        <w:rPr>
          <w:rFonts w:asciiTheme="majorHAnsi" w:hAnsiTheme="majorHAnsi"/>
        </w:rPr>
      </w:pPr>
      <w:r>
        <w:rPr>
          <w:rFonts w:asciiTheme="majorHAnsi" w:hAnsiTheme="majorHAnsi"/>
        </w:rPr>
        <w:t xml:space="preserve"> </w:t>
      </w:r>
    </w:p>
    <w:p w14:paraId="69A4160D" w14:textId="50AA122F" w:rsidR="00776496" w:rsidRDefault="00776496" w:rsidP="00776496">
      <w:pPr>
        <w:jc w:val="both"/>
        <w:rPr>
          <w:rFonts w:asciiTheme="majorHAnsi" w:hAnsiTheme="majorHAnsi"/>
        </w:rPr>
      </w:pPr>
      <w:r w:rsidRPr="004966BF">
        <w:rPr>
          <w:rFonts w:asciiTheme="majorHAnsi" w:hAnsiTheme="majorHAnsi"/>
          <w:color w:val="4F81BD" w:themeColor="accent1"/>
        </w:rPr>
        <w:t>Résultats</w:t>
      </w:r>
      <w:r>
        <w:rPr>
          <w:rFonts w:asciiTheme="majorHAnsi" w:hAnsiTheme="majorHAnsi"/>
        </w:rPr>
        <w:t xml:space="preserve"> </w:t>
      </w:r>
    </w:p>
    <w:p w14:paraId="4313C24D" w14:textId="5440ECA1" w:rsidR="00755177" w:rsidRDefault="00776496" w:rsidP="00755177">
      <w:pPr>
        <w:jc w:val="both"/>
        <w:rPr>
          <w:rFonts w:asciiTheme="majorHAnsi" w:hAnsiTheme="majorHAnsi"/>
        </w:rPr>
      </w:pPr>
      <w:r>
        <w:rPr>
          <w:rFonts w:asciiTheme="majorHAnsi" w:hAnsiTheme="majorHAnsi"/>
        </w:rPr>
        <w:t xml:space="preserve">Le taux de survie sans récidive à 12 mois était de </w:t>
      </w:r>
      <w:r w:rsidR="00895A4A" w:rsidRPr="00776496">
        <w:rPr>
          <w:rFonts w:asciiTheme="majorHAnsi" w:hAnsiTheme="majorHAnsi"/>
        </w:rPr>
        <w:t xml:space="preserve">70.5% </w:t>
      </w:r>
      <w:r w:rsidRPr="00776496">
        <w:rPr>
          <w:rFonts w:asciiTheme="majorHAnsi" w:hAnsiTheme="majorHAnsi"/>
        </w:rPr>
        <w:t xml:space="preserve">avec </w:t>
      </w:r>
      <w:proofErr w:type="spellStart"/>
      <w:r w:rsidRPr="00776496">
        <w:rPr>
          <w:rFonts w:asciiTheme="majorHAnsi" w:hAnsiTheme="majorHAnsi"/>
        </w:rPr>
        <w:t>Nivolumab</w:t>
      </w:r>
      <w:proofErr w:type="spellEnd"/>
      <w:r w:rsidRPr="00776496">
        <w:rPr>
          <w:rFonts w:asciiTheme="majorHAnsi" w:hAnsiTheme="majorHAnsi"/>
        </w:rPr>
        <w:t xml:space="preserve"> versus </w:t>
      </w:r>
      <w:r w:rsidR="00895A4A" w:rsidRPr="00776496">
        <w:rPr>
          <w:rFonts w:asciiTheme="majorHAnsi" w:hAnsiTheme="majorHAnsi"/>
        </w:rPr>
        <w:t xml:space="preserve">60.8% </w:t>
      </w:r>
      <w:r>
        <w:rPr>
          <w:rFonts w:asciiTheme="majorHAnsi" w:hAnsiTheme="majorHAnsi"/>
        </w:rPr>
        <w:t xml:space="preserve">avec </w:t>
      </w:r>
      <w:proofErr w:type="gramStart"/>
      <w:r>
        <w:rPr>
          <w:rFonts w:asciiTheme="majorHAnsi" w:hAnsiTheme="majorHAnsi"/>
        </w:rPr>
        <w:t>l’</w:t>
      </w:r>
      <w:r w:rsidR="00895A4A" w:rsidRPr="00776496">
        <w:rPr>
          <w:rFonts w:asciiTheme="majorHAnsi" w:hAnsiTheme="majorHAnsi"/>
        </w:rPr>
        <w:t xml:space="preserve"> </w:t>
      </w:r>
      <w:proofErr w:type="spellStart"/>
      <w:r w:rsidR="00895A4A" w:rsidRPr="00776496">
        <w:rPr>
          <w:rFonts w:asciiTheme="majorHAnsi" w:hAnsiTheme="majorHAnsi"/>
        </w:rPr>
        <w:t>ipilimumab</w:t>
      </w:r>
      <w:proofErr w:type="spellEnd"/>
      <w:proofErr w:type="gramEnd"/>
      <w:r w:rsidR="00895A4A" w:rsidRPr="00776496">
        <w:rPr>
          <w:rFonts w:asciiTheme="majorHAnsi" w:hAnsiTheme="majorHAnsi"/>
        </w:rPr>
        <w:t xml:space="preserve"> </w:t>
      </w:r>
      <w:r>
        <w:rPr>
          <w:rFonts w:asciiTheme="majorHAnsi" w:hAnsiTheme="majorHAnsi"/>
        </w:rPr>
        <w:t>(</w:t>
      </w:r>
      <w:r w:rsidR="00895A4A" w:rsidRPr="00776496">
        <w:rPr>
          <w:rFonts w:asciiTheme="majorHAnsi" w:hAnsiTheme="majorHAnsi"/>
        </w:rPr>
        <w:t xml:space="preserve">P&lt;0.001). </w:t>
      </w:r>
      <w:r w:rsidRPr="00776496">
        <w:rPr>
          <w:rFonts w:asciiTheme="majorHAnsi" w:hAnsiTheme="majorHAnsi"/>
        </w:rPr>
        <w:t xml:space="preserve">Les Effets indésirables graves </w:t>
      </w:r>
      <w:proofErr w:type="gramStart"/>
      <w:r w:rsidRPr="00776496">
        <w:rPr>
          <w:rFonts w:asciiTheme="majorHAnsi" w:hAnsiTheme="majorHAnsi"/>
        </w:rPr>
        <w:t>( 3</w:t>
      </w:r>
      <w:proofErr w:type="gramEnd"/>
      <w:r w:rsidRPr="00776496">
        <w:rPr>
          <w:rFonts w:asciiTheme="majorHAnsi" w:hAnsiTheme="majorHAnsi"/>
        </w:rPr>
        <w:t xml:space="preserve"> et 4) étaient retrouvés chez 14.4% des patien</w:t>
      </w:r>
      <w:r w:rsidR="004966BF">
        <w:rPr>
          <w:rFonts w:asciiTheme="majorHAnsi" w:hAnsiTheme="majorHAnsi"/>
        </w:rPr>
        <w:t xml:space="preserve">ts traités par </w:t>
      </w:r>
      <w:proofErr w:type="spellStart"/>
      <w:r w:rsidR="004966BF">
        <w:rPr>
          <w:rFonts w:asciiTheme="majorHAnsi" w:hAnsiTheme="majorHAnsi"/>
        </w:rPr>
        <w:t>Nivolumab</w:t>
      </w:r>
      <w:proofErr w:type="spellEnd"/>
      <w:r w:rsidRPr="00776496">
        <w:rPr>
          <w:rFonts w:asciiTheme="majorHAnsi" w:hAnsiTheme="majorHAnsi"/>
        </w:rPr>
        <w:t xml:space="preserve"> versus 45.</w:t>
      </w:r>
      <w:r>
        <w:rPr>
          <w:rFonts w:asciiTheme="majorHAnsi" w:hAnsiTheme="majorHAnsi"/>
        </w:rPr>
        <w:t>9% des patients recevant de l’</w:t>
      </w:r>
      <w:proofErr w:type="spellStart"/>
      <w:r>
        <w:rPr>
          <w:rFonts w:asciiTheme="majorHAnsi" w:hAnsiTheme="majorHAnsi"/>
        </w:rPr>
        <w:t>ipilimumab</w:t>
      </w:r>
      <w:proofErr w:type="spellEnd"/>
      <w:r>
        <w:rPr>
          <w:rFonts w:asciiTheme="majorHAnsi" w:hAnsiTheme="majorHAnsi"/>
        </w:rPr>
        <w:t xml:space="preserve">. </w:t>
      </w:r>
      <w:r w:rsidRPr="00776496">
        <w:rPr>
          <w:rFonts w:asciiTheme="majorHAnsi" w:hAnsiTheme="majorHAnsi"/>
        </w:rPr>
        <w:t xml:space="preserve">Le traitement était </w:t>
      </w:r>
      <w:r w:rsidR="004966BF" w:rsidRPr="00776496">
        <w:rPr>
          <w:rFonts w:asciiTheme="majorHAnsi" w:hAnsiTheme="majorHAnsi"/>
        </w:rPr>
        <w:t>arrêté</w:t>
      </w:r>
      <w:r w:rsidRPr="00776496">
        <w:rPr>
          <w:rFonts w:asciiTheme="majorHAnsi" w:hAnsiTheme="majorHAnsi"/>
        </w:rPr>
        <w:t xml:space="preserve"> pour cause d’effet indésirable chez 9.7% dans le groupe </w:t>
      </w:r>
      <w:proofErr w:type="spellStart"/>
      <w:r w:rsidRPr="00776496">
        <w:rPr>
          <w:rFonts w:asciiTheme="majorHAnsi" w:hAnsiTheme="majorHAnsi"/>
        </w:rPr>
        <w:t>Nivolumab</w:t>
      </w:r>
      <w:proofErr w:type="spellEnd"/>
      <w:r w:rsidRPr="00776496">
        <w:rPr>
          <w:rFonts w:asciiTheme="majorHAnsi" w:hAnsiTheme="majorHAnsi"/>
        </w:rPr>
        <w:t xml:space="preserve"> versus 42.</w:t>
      </w:r>
      <w:r>
        <w:rPr>
          <w:rFonts w:asciiTheme="majorHAnsi" w:hAnsiTheme="majorHAnsi"/>
        </w:rPr>
        <w:t xml:space="preserve">6% chez le groupe </w:t>
      </w:r>
      <w:proofErr w:type="spellStart"/>
      <w:r>
        <w:rPr>
          <w:rFonts w:asciiTheme="majorHAnsi" w:hAnsiTheme="majorHAnsi"/>
        </w:rPr>
        <w:t>I</w:t>
      </w:r>
      <w:r w:rsidR="00755177">
        <w:rPr>
          <w:rFonts w:asciiTheme="majorHAnsi" w:hAnsiTheme="majorHAnsi"/>
        </w:rPr>
        <w:t>p</w:t>
      </w:r>
      <w:r>
        <w:rPr>
          <w:rFonts w:asciiTheme="majorHAnsi" w:hAnsiTheme="majorHAnsi"/>
        </w:rPr>
        <w:t>ilimumab</w:t>
      </w:r>
      <w:proofErr w:type="spellEnd"/>
      <w:r>
        <w:rPr>
          <w:rFonts w:asciiTheme="majorHAnsi" w:hAnsiTheme="majorHAnsi"/>
        </w:rPr>
        <w:t xml:space="preserve"> </w:t>
      </w:r>
      <w:proofErr w:type="gramStart"/>
      <w:r>
        <w:rPr>
          <w:rFonts w:asciiTheme="majorHAnsi" w:hAnsiTheme="majorHAnsi"/>
        </w:rPr>
        <w:t>( dont</w:t>
      </w:r>
      <w:proofErr w:type="gramEnd"/>
      <w:r>
        <w:rPr>
          <w:rFonts w:asciiTheme="majorHAnsi" w:hAnsiTheme="majorHAnsi"/>
        </w:rPr>
        <w:t xml:space="preserve"> 2 décès rapportés </w:t>
      </w:r>
      <w:r w:rsidR="00755177">
        <w:rPr>
          <w:rFonts w:asciiTheme="majorHAnsi" w:hAnsiTheme="majorHAnsi"/>
        </w:rPr>
        <w:t xml:space="preserve">dans ce groupe). </w:t>
      </w:r>
    </w:p>
    <w:p w14:paraId="125FF041" w14:textId="77777777" w:rsidR="00755177" w:rsidRDefault="00755177" w:rsidP="00755177">
      <w:pPr>
        <w:jc w:val="both"/>
        <w:rPr>
          <w:rFonts w:asciiTheme="majorHAnsi" w:hAnsiTheme="majorHAnsi"/>
        </w:rPr>
      </w:pPr>
    </w:p>
    <w:p w14:paraId="423B63E8" w14:textId="77777777" w:rsidR="00755177" w:rsidRPr="004966BF" w:rsidRDefault="00755177" w:rsidP="00755177">
      <w:pPr>
        <w:jc w:val="both"/>
        <w:rPr>
          <w:rFonts w:asciiTheme="majorHAnsi" w:hAnsiTheme="majorHAnsi"/>
          <w:color w:val="4F81BD" w:themeColor="accent1"/>
        </w:rPr>
      </w:pPr>
      <w:r w:rsidRPr="004966BF">
        <w:rPr>
          <w:rFonts w:asciiTheme="majorHAnsi" w:hAnsiTheme="majorHAnsi"/>
          <w:color w:val="4F81BD" w:themeColor="accent1"/>
        </w:rPr>
        <w:t>Conclusion</w:t>
      </w:r>
    </w:p>
    <w:p w14:paraId="412E8B7F" w14:textId="0ADEF952" w:rsidR="00895A4A" w:rsidRDefault="00755177" w:rsidP="00755177">
      <w:pPr>
        <w:jc w:val="both"/>
        <w:rPr>
          <w:rFonts w:asciiTheme="majorHAnsi" w:hAnsiTheme="majorHAnsi"/>
        </w:rPr>
      </w:pPr>
      <w:r>
        <w:rPr>
          <w:rFonts w:asciiTheme="majorHAnsi" w:hAnsiTheme="majorHAnsi"/>
        </w:rPr>
        <w:t xml:space="preserve">Le </w:t>
      </w:r>
      <w:proofErr w:type="spellStart"/>
      <w:r>
        <w:rPr>
          <w:rFonts w:asciiTheme="majorHAnsi" w:hAnsiTheme="majorHAnsi"/>
        </w:rPr>
        <w:t>Nivolumab</w:t>
      </w:r>
      <w:proofErr w:type="spellEnd"/>
      <w:r>
        <w:rPr>
          <w:rFonts w:asciiTheme="majorHAnsi" w:hAnsiTheme="majorHAnsi"/>
        </w:rPr>
        <w:t xml:space="preserve"> permet d’augmenter de </w:t>
      </w:r>
      <w:proofErr w:type="spellStart"/>
      <w:r>
        <w:rPr>
          <w:rFonts w:asciiTheme="majorHAnsi" w:hAnsiTheme="majorHAnsi"/>
        </w:rPr>
        <w:t>facon</w:t>
      </w:r>
      <w:proofErr w:type="spellEnd"/>
      <w:r>
        <w:rPr>
          <w:rFonts w:asciiTheme="majorHAnsi" w:hAnsiTheme="majorHAnsi"/>
        </w:rPr>
        <w:t xml:space="preserve"> significative la </w:t>
      </w:r>
      <w:proofErr w:type="spellStart"/>
      <w:r>
        <w:rPr>
          <w:rFonts w:asciiTheme="majorHAnsi" w:hAnsiTheme="majorHAnsi"/>
        </w:rPr>
        <w:t>duree</w:t>
      </w:r>
      <w:proofErr w:type="spellEnd"/>
      <w:r>
        <w:rPr>
          <w:rFonts w:asciiTheme="majorHAnsi" w:hAnsiTheme="majorHAnsi"/>
        </w:rPr>
        <w:t xml:space="preserve"> de vie sans récidive versus </w:t>
      </w:r>
      <w:proofErr w:type="spellStart"/>
      <w:r>
        <w:rPr>
          <w:rFonts w:asciiTheme="majorHAnsi" w:hAnsiTheme="majorHAnsi"/>
        </w:rPr>
        <w:t>Ipilimumab</w:t>
      </w:r>
      <w:proofErr w:type="spellEnd"/>
      <w:r>
        <w:rPr>
          <w:rFonts w:asciiTheme="majorHAnsi" w:hAnsiTheme="majorHAnsi"/>
        </w:rPr>
        <w:t xml:space="preserve"> chez les patients avec un mélanome stade IIIB, IIIC ou </w:t>
      </w:r>
      <w:proofErr w:type="gramStart"/>
      <w:r>
        <w:rPr>
          <w:rFonts w:asciiTheme="majorHAnsi" w:hAnsiTheme="majorHAnsi"/>
        </w:rPr>
        <w:t xml:space="preserve">IV </w:t>
      </w:r>
      <w:r w:rsidR="00776496" w:rsidRPr="00776496">
        <w:rPr>
          <w:rFonts w:asciiTheme="majorHAnsi" w:hAnsiTheme="majorHAnsi"/>
        </w:rPr>
        <w:t xml:space="preserve"> </w:t>
      </w:r>
      <w:proofErr w:type="spellStart"/>
      <w:r>
        <w:rPr>
          <w:rFonts w:asciiTheme="majorHAnsi" w:hAnsiTheme="majorHAnsi"/>
        </w:rPr>
        <w:t>résécable</w:t>
      </w:r>
      <w:proofErr w:type="spellEnd"/>
      <w:proofErr w:type="gramEnd"/>
      <w:r>
        <w:rPr>
          <w:rFonts w:asciiTheme="majorHAnsi" w:hAnsiTheme="majorHAnsi"/>
        </w:rPr>
        <w:t xml:space="preserve">. </w:t>
      </w:r>
    </w:p>
    <w:p w14:paraId="7D03DB02" w14:textId="77777777" w:rsidR="00755177" w:rsidRPr="00755177" w:rsidRDefault="00755177" w:rsidP="00755177">
      <w:pPr>
        <w:jc w:val="both"/>
        <w:rPr>
          <w:rFonts w:asciiTheme="majorHAnsi" w:hAnsiTheme="majorHAnsi"/>
        </w:rPr>
      </w:pPr>
    </w:p>
    <w:p w14:paraId="15353CAC" w14:textId="77777777" w:rsidR="00755177" w:rsidRPr="00D44D03" w:rsidRDefault="00755177" w:rsidP="000249CB">
      <w:pPr>
        <w:jc w:val="both"/>
        <w:rPr>
          <w:rFonts w:asciiTheme="majorHAnsi" w:hAnsiTheme="majorHAnsi"/>
        </w:rPr>
      </w:pPr>
    </w:p>
    <w:p w14:paraId="693C1D61" w14:textId="77777777" w:rsidR="00755177" w:rsidRPr="00D44D03" w:rsidRDefault="00755177" w:rsidP="000249CB">
      <w:pPr>
        <w:jc w:val="both"/>
        <w:rPr>
          <w:rFonts w:asciiTheme="majorHAnsi" w:hAnsiTheme="majorHAnsi"/>
        </w:rPr>
      </w:pPr>
    </w:p>
    <w:p w14:paraId="4844E364" w14:textId="36655A0B" w:rsidR="000249CB" w:rsidRPr="00D44D03" w:rsidRDefault="000249CB" w:rsidP="000249CB">
      <w:pPr>
        <w:jc w:val="both"/>
        <w:rPr>
          <w:rFonts w:asciiTheme="majorHAnsi" w:hAnsiTheme="majorHAnsi"/>
          <w:b/>
          <w:lang w:val="en-GB"/>
        </w:rPr>
      </w:pPr>
      <w:r w:rsidRPr="00D44D03">
        <w:rPr>
          <w:rFonts w:asciiTheme="majorHAnsi" w:hAnsiTheme="majorHAnsi"/>
          <w:b/>
          <w:color w:val="365F91" w:themeColor="accent1" w:themeShade="BF"/>
          <w:lang w:val="en-GB"/>
        </w:rPr>
        <w:t xml:space="preserve">Adjuvant </w:t>
      </w:r>
      <w:proofErr w:type="spellStart"/>
      <w:r w:rsidRPr="00D44D03">
        <w:rPr>
          <w:rFonts w:asciiTheme="majorHAnsi" w:hAnsiTheme="majorHAnsi"/>
          <w:b/>
          <w:color w:val="365F91" w:themeColor="accent1" w:themeShade="BF"/>
          <w:lang w:val="en-GB"/>
        </w:rPr>
        <w:t>Dabrafenib</w:t>
      </w:r>
      <w:proofErr w:type="spellEnd"/>
      <w:r w:rsidRPr="00D44D03">
        <w:rPr>
          <w:rFonts w:asciiTheme="majorHAnsi" w:hAnsiTheme="majorHAnsi"/>
          <w:b/>
          <w:color w:val="365F91" w:themeColor="accent1" w:themeShade="BF"/>
          <w:lang w:val="en-GB"/>
        </w:rPr>
        <w:t xml:space="preserve"> plus </w:t>
      </w:r>
      <w:proofErr w:type="spellStart"/>
      <w:r w:rsidRPr="00D44D03">
        <w:rPr>
          <w:rFonts w:asciiTheme="majorHAnsi" w:hAnsiTheme="majorHAnsi"/>
          <w:b/>
          <w:color w:val="365F91" w:themeColor="accent1" w:themeShade="BF"/>
          <w:lang w:val="en-GB"/>
        </w:rPr>
        <w:t>Trametinib</w:t>
      </w:r>
      <w:proofErr w:type="spellEnd"/>
      <w:r w:rsidRPr="00D44D03">
        <w:rPr>
          <w:rFonts w:asciiTheme="majorHAnsi" w:hAnsiTheme="majorHAnsi"/>
          <w:b/>
          <w:color w:val="365F91" w:themeColor="accent1" w:themeShade="BF"/>
          <w:lang w:val="en-GB"/>
        </w:rPr>
        <w:t xml:space="preserve"> in Stage III BRAF-Mutated Melanoma</w:t>
      </w:r>
      <w:r w:rsidRPr="00D44D03">
        <w:rPr>
          <w:rFonts w:asciiTheme="majorHAnsi" w:hAnsiTheme="majorHAnsi"/>
          <w:b/>
          <w:lang w:val="en-GB"/>
        </w:rPr>
        <w:t xml:space="preserve">   </w:t>
      </w:r>
    </w:p>
    <w:p w14:paraId="15D45A35" w14:textId="3752AAA5" w:rsidR="000249CB" w:rsidRDefault="000249CB" w:rsidP="000249CB">
      <w:pPr>
        <w:jc w:val="both"/>
        <w:rPr>
          <w:rFonts w:asciiTheme="majorHAnsi" w:hAnsiTheme="majorHAnsi"/>
        </w:rPr>
      </w:pPr>
      <w:r w:rsidRPr="004522FD">
        <w:rPr>
          <w:rFonts w:asciiTheme="majorHAnsi" w:hAnsiTheme="majorHAnsi"/>
        </w:rPr>
        <w:t>G.V. Lon</w:t>
      </w:r>
      <w:r w:rsidR="00D44D03" w:rsidRPr="004522FD">
        <w:rPr>
          <w:rFonts w:asciiTheme="majorHAnsi" w:hAnsiTheme="majorHAnsi"/>
        </w:rPr>
        <w:t>g, NEJM</w:t>
      </w:r>
    </w:p>
    <w:p w14:paraId="79693C27" w14:textId="5535978E" w:rsidR="00A73B7B" w:rsidRPr="004522FD" w:rsidRDefault="00A73B7B" w:rsidP="00A73B7B">
      <w:pPr>
        <w:jc w:val="both"/>
        <w:rPr>
          <w:rFonts w:asciiTheme="majorHAnsi" w:hAnsiTheme="majorHAnsi"/>
        </w:rPr>
      </w:pPr>
      <w:hyperlink r:id="rId24" w:history="1">
        <w:r w:rsidRPr="00A73B7B">
          <w:rPr>
            <w:rStyle w:val="Lienhypertexte"/>
            <w:rFonts w:asciiTheme="majorHAnsi" w:hAnsiTheme="majorHAnsi"/>
          </w:rPr>
          <w:t>https://www.ncbi.nlm.nih.gov/pubmed/?term=ADJUVANT+DABRAFENIB+PLUS+TRAMETINIB+IN+STAGE+III+BRAF-MUTATED+MELANOMA</w:t>
        </w:r>
      </w:hyperlink>
    </w:p>
    <w:p w14:paraId="638B40F6" w14:textId="7047FBA0" w:rsidR="00D44D03" w:rsidRPr="004522FD" w:rsidRDefault="00D44D03" w:rsidP="000249CB">
      <w:pPr>
        <w:jc w:val="both"/>
        <w:rPr>
          <w:rFonts w:asciiTheme="majorHAnsi" w:hAnsiTheme="majorHAnsi"/>
        </w:rPr>
      </w:pPr>
    </w:p>
    <w:p w14:paraId="148D164C" w14:textId="2252422A" w:rsidR="00D44D03" w:rsidRPr="004522FD" w:rsidRDefault="00D44D03" w:rsidP="000249CB">
      <w:pPr>
        <w:jc w:val="both"/>
        <w:rPr>
          <w:rFonts w:asciiTheme="majorHAnsi" w:hAnsiTheme="majorHAnsi"/>
          <w:color w:val="365F91" w:themeColor="accent1" w:themeShade="BF"/>
        </w:rPr>
      </w:pPr>
      <w:r w:rsidRPr="004522FD">
        <w:rPr>
          <w:rFonts w:asciiTheme="majorHAnsi" w:hAnsiTheme="majorHAnsi"/>
          <w:color w:val="365F91" w:themeColor="accent1" w:themeShade="BF"/>
        </w:rPr>
        <w:t>Introduction</w:t>
      </w:r>
    </w:p>
    <w:p w14:paraId="48C0FE81" w14:textId="27B82E40" w:rsidR="00D44D03" w:rsidRDefault="00D44D03" w:rsidP="000249CB">
      <w:pPr>
        <w:jc w:val="both"/>
        <w:rPr>
          <w:rFonts w:asciiTheme="majorHAnsi" w:hAnsiTheme="majorHAnsi"/>
        </w:rPr>
      </w:pPr>
      <w:proofErr w:type="gramStart"/>
      <w:r w:rsidRPr="00D44D03">
        <w:rPr>
          <w:rFonts w:asciiTheme="majorHAnsi" w:hAnsiTheme="majorHAnsi"/>
        </w:rPr>
        <w:t>Une thérapie combin</w:t>
      </w:r>
      <w:r w:rsidR="00981195">
        <w:rPr>
          <w:rFonts w:asciiTheme="majorHAnsi" w:hAnsiTheme="majorHAnsi"/>
        </w:rPr>
        <w:t>é</w:t>
      </w:r>
      <w:proofErr w:type="gramEnd"/>
      <w:r w:rsidR="00981195">
        <w:rPr>
          <w:rFonts w:asciiTheme="majorHAnsi" w:hAnsiTheme="majorHAnsi"/>
        </w:rPr>
        <w:t xml:space="preserve"> </w:t>
      </w:r>
      <w:r>
        <w:rPr>
          <w:rFonts w:asciiTheme="majorHAnsi" w:hAnsiTheme="majorHAnsi"/>
        </w:rPr>
        <w:t>associant</w:t>
      </w:r>
      <w:r w:rsidRPr="00D44D03">
        <w:rPr>
          <w:rFonts w:asciiTheme="majorHAnsi" w:hAnsiTheme="majorHAnsi"/>
        </w:rPr>
        <w:t xml:space="preserve"> un inhibiteur de BRAF, le </w:t>
      </w:r>
      <w:proofErr w:type="spellStart"/>
      <w:r w:rsidRPr="00D44D03">
        <w:rPr>
          <w:rFonts w:asciiTheme="majorHAnsi" w:hAnsiTheme="majorHAnsi"/>
        </w:rPr>
        <w:t>dabrafenib</w:t>
      </w:r>
      <w:proofErr w:type="spellEnd"/>
      <w:r w:rsidRPr="00D44D03">
        <w:rPr>
          <w:rFonts w:asciiTheme="majorHAnsi" w:hAnsiTheme="majorHAnsi"/>
        </w:rPr>
        <w:t>, à un inhibiteur d</w:t>
      </w:r>
      <w:r>
        <w:rPr>
          <w:rFonts w:asciiTheme="majorHAnsi" w:hAnsiTheme="majorHAnsi"/>
        </w:rPr>
        <w:t xml:space="preserve">e MEK, le </w:t>
      </w:r>
      <w:proofErr w:type="spellStart"/>
      <w:r>
        <w:rPr>
          <w:rFonts w:asciiTheme="majorHAnsi" w:hAnsiTheme="majorHAnsi"/>
        </w:rPr>
        <w:t>trametinib</w:t>
      </w:r>
      <w:proofErr w:type="spellEnd"/>
      <w:r>
        <w:rPr>
          <w:rFonts w:asciiTheme="majorHAnsi" w:hAnsiTheme="majorHAnsi"/>
        </w:rPr>
        <w:t xml:space="preserve">, est connue pour améliorer la survie des patients présentant un mélanome avancé avec mutation BRAF V600. L’objectif de cet article est de déterminer si ce traitement combiné, pourrait être utilisé chez les patients présentant un mélanome de stade III BRAF muté en association à une résection chirurgicale. </w:t>
      </w:r>
    </w:p>
    <w:p w14:paraId="614DA204" w14:textId="02B4E6C2" w:rsidR="00D44D03" w:rsidRDefault="00D44D03" w:rsidP="000249CB">
      <w:pPr>
        <w:jc w:val="both"/>
        <w:rPr>
          <w:rFonts w:asciiTheme="majorHAnsi" w:hAnsiTheme="majorHAnsi"/>
        </w:rPr>
      </w:pPr>
    </w:p>
    <w:p w14:paraId="710554D9" w14:textId="5ACFC351" w:rsidR="00D44D03" w:rsidRPr="004522FD" w:rsidRDefault="00D44D03" w:rsidP="000249CB">
      <w:pPr>
        <w:jc w:val="both"/>
        <w:rPr>
          <w:rFonts w:asciiTheme="majorHAnsi" w:hAnsiTheme="majorHAnsi"/>
          <w:color w:val="365F91" w:themeColor="accent1" w:themeShade="BF"/>
        </w:rPr>
      </w:pPr>
      <w:r w:rsidRPr="004522FD">
        <w:rPr>
          <w:rFonts w:asciiTheme="majorHAnsi" w:hAnsiTheme="majorHAnsi"/>
          <w:color w:val="365F91" w:themeColor="accent1" w:themeShade="BF"/>
        </w:rPr>
        <w:t>Méthodes</w:t>
      </w:r>
    </w:p>
    <w:p w14:paraId="231B49E9" w14:textId="244EFF97" w:rsidR="007E7A5F" w:rsidRDefault="00D44D03" w:rsidP="007E7A5F">
      <w:pPr>
        <w:jc w:val="both"/>
        <w:rPr>
          <w:rFonts w:asciiTheme="majorHAnsi" w:hAnsiTheme="majorHAnsi"/>
        </w:rPr>
      </w:pPr>
      <w:r w:rsidRPr="00D44D03">
        <w:rPr>
          <w:rFonts w:asciiTheme="majorHAnsi" w:hAnsiTheme="majorHAnsi"/>
        </w:rPr>
        <w:t>Etude multicentrique</w:t>
      </w:r>
      <w:r w:rsidR="007E7A5F">
        <w:rPr>
          <w:rFonts w:asciiTheme="majorHAnsi" w:hAnsiTheme="majorHAnsi"/>
        </w:rPr>
        <w:t xml:space="preserve"> (</w:t>
      </w:r>
      <w:r w:rsidRPr="00D44D03">
        <w:rPr>
          <w:rFonts w:asciiTheme="majorHAnsi" w:hAnsiTheme="majorHAnsi"/>
        </w:rPr>
        <w:t xml:space="preserve">26 pays), internationale, </w:t>
      </w:r>
      <w:r w:rsidR="007E7A5F">
        <w:rPr>
          <w:rFonts w:asciiTheme="majorHAnsi" w:hAnsiTheme="majorHAnsi"/>
        </w:rPr>
        <w:t xml:space="preserve">randomisée, </w:t>
      </w:r>
      <w:r w:rsidR="00981195">
        <w:rPr>
          <w:rFonts w:asciiTheme="majorHAnsi" w:hAnsiTheme="majorHAnsi"/>
        </w:rPr>
        <w:t>contrôlée</w:t>
      </w:r>
      <w:r w:rsidR="007E7A5F">
        <w:rPr>
          <w:rFonts w:asciiTheme="majorHAnsi" w:hAnsiTheme="majorHAnsi"/>
        </w:rPr>
        <w:t xml:space="preserve">, en double aveugle de phase 3, </w:t>
      </w:r>
      <w:r w:rsidRPr="00D44D03">
        <w:rPr>
          <w:rFonts w:asciiTheme="majorHAnsi" w:hAnsiTheme="majorHAnsi"/>
        </w:rPr>
        <w:t xml:space="preserve">effectuée de 2013 à 2014 </w:t>
      </w:r>
      <w:r w:rsidR="00981195" w:rsidRPr="00D44D03">
        <w:rPr>
          <w:rFonts w:asciiTheme="majorHAnsi" w:hAnsiTheme="majorHAnsi"/>
        </w:rPr>
        <w:t>enrôlant</w:t>
      </w:r>
      <w:r w:rsidRPr="00D44D03">
        <w:rPr>
          <w:rFonts w:asciiTheme="majorHAnsi" w:hAnsiTheme="majorHAnsi"/>
        </w:rPr>
        <w:t xml:space="preserve"> 169 sites.</w:t>
      </w:r>
      <w:r>
        <w:rPr>
          <w:rFonts w:asciiTheme="majorHAnsi" w:hAnsiTheme="majorHAnsi"/>
        </w:rPr>
        <w:t xml:space="preserve"> Critères d’inclusion : patient </w:t>
      </w:r>
      <w:r w:rsidR="00981195">
        <w:rPr>
          <w:rFonts w:asciiTheme="majorHAnsi" w:hAnsiTheme="majorHAnsi"/>
        </w:rPr>
        <w:t>âgé</w:t>
      </w:r>
      <w:r>
        <w:rPr>
          <w:rFonts w:asciiTheme="majorHAnsi" w:hAnsiTheme="majorHAnsi"/>
        </w:rPr>
        <w:t xml:space="preserve"> de plus de 18 ans présentant un mélanome BRAF V600 muté de stade IIIA, B ou C, avec résection chirurgicale possible et réalisée. Une résection et une </w:t>
      </w:r>
      <w:proofErr w:type="spellStart"/>
      <w:r>
        <w:rPr>
          <w:rFonts w:asciiTheme="majorHAnsi" w:hAnsiTheme="majorHAnsi"/>
        </w:rPr>
        <w:t>lymphade</w:t>
      </w:r>
      <w:r w:rsidR="00981195">
        <w:rPr>
          <w:rFonts w:asciiTheme="majorHAnsi" w:hAnsiTheme="majorHAnsi"/>
        </w:rPr>
        <w:t>ne</w:t>
      </w:r>
      <w:r>
        <w:rPr>
          <w:rFonts w:asciiTheme="majorHAnsi" w:hAnsiTheme="majorHAnsi"/>
        </w:rPr>
        <w:t>ctomie</w:t>
      </w:r>
      <w:proofErr w:type="spellEnd"/>
      <w:r>
        <w:rPr>
          <w:rFonts w:asciiTheme="majorHAnsi" w:hAnsiTheme="majorHAnsi"/>
        </w:rPr>
        <w:t xml:space="preserve"> devait avoir lieu dans les 12 semaines précédant l’inclusion. Aucun</w:t>
      </w:r>
      <w:r w:rsidR="007E7A5F">
        <w:rPr>
          <w:rFonts w:asciiTheme="majorHAnsi" w:hAnsiTheme="majorHAnsi"/>
        </w:rPr>
        <w:t>e</w:t>
      </w:r>
      <w:r>
        <w:rPr>
          <w:rFonts w:asciiTheme="majorHAnsi" w:hAnsiTheme="majorHAnsi"/>
        </w:rPr>
        <w:t xml:space="preserve"> </w:t>
      </w:r>
      <w:r w:rsidR="007E7A5F">
        <w:rPr>
          <w:rFonts w:asciiTheme="majorHAnsi" w:hAnsiTheme="majorHAnsi"/>
        </w:rPr>
        <w:t xml:space="preserve">fixation ne devait être présente suite au traitement chirurgicale sur imagerie scintigraphie. Les patients devaient un score Performance </w:t>
      </w:r>
      <w:r w:rsidR="007E7A5F">
        <w:rPr>
          <w:rFonts w:asciiTheme="majorHAnsi" w:hAnsiTheme="majorHAnsi"/>
        </w:rPr>
        <w:lastRenderedPageBreak/>
        <w:t xml:space="preserve">statue OMS à 0 ou 1. Les critères d’exclusions étaient : antécédent de prise d’un traitement anti cancer type chimiothérapie/immunothérapie/radiothérapie. </w:t>
      </w:r>
    </w:p>
    <w:p w14:paraId="7804E0E1" w14:textId="6A38B42F" w:rsidR="007E7A5F" w:rsidRDefault="007E7A5F" w:rsidP="007E7A5F">
      <w:pPr>
        <w:jc w:val="both"/>
        <w:rPr>
          <w:rFonts w:asciiTheme="majorHAnsi" w:hAnsiTheme="majorHAnsi"/>
        </w:rPr>
      </w:pPr>
      <w:r>
        <w:rPr>
          <w:rFonts w:asciiTheme="majorHAnsi" w:hAnsiTheme="majorHAnsi"/>
        </w:rPr>
        <w:t xml:space="preserve">870 patients furent inclus. 438 reçurent une association </w:t>
      </w:r>
      <w:proofErr w:type="spellStart"/>
      <w:r>
        <w:rPr>
          <w:rFonts w:asciiTheme="majorHAnsi" w:hAnsiTheme="majorHAnsi"/>
        </w:rPr>
        <w:t>Dabrafenib</w:t>
      </w:r>
      <w:proofErr w:type="spellEnd"/>
      <w:r>
        <w:rPr>
          <w:rFonts w:asciiTheme="majorHAnsi" w:hAnsiTheme="majorHAnsi"/>
        </w:rPr>
        <w:t xml:space="preserve"> (150 mg deux fois par jour) associé à </w:t>
      </w:r>
      <w:proofErr w:type="spellStart"/>
      <w:r>
        <w:rPr>
          <w:rFonts w:asciiTheme="majorHAnsi" w:hAnsiTheme="majorHAnsi"/>
        </w:rPr>
        <w:t>Trametinib</w:t>
      </w:r>
      <w:proofErr w:type="spellEnd"/>
      <w:r>
        <w:rPr>
          <w:rFonts w:asciiTheme="majorHAnsi" w:hAnsiTheme="majorHAnsi"/>
        </w:rPr>
        <w:t xml:space="preserve"> (2mg) une fois par jour et 432 un placebo. </w:t>
      </w:r>
    </w:p>
    <w:p w14:paraId="2983EB2F" w14:textId="4EE6390E" w:rsidR="007E7A5F" w:rsidRDefault="007E7A5F" w:rsidP="007E7A5F">
      <w:pPr>
        <w:jc w:val="both"/>
        <w:rPr>
          <w:rFonts w:asciiTheme="majorHAnsi" w:hAnsiTheme="majorHAnsi"/>
        </w:rPr>
      </w:pPr>
      <w:r>
        <w:rPr>
          <w:rFonts w:asciiTheme="majorHAnsi" w:hAnsiTheme="majorHAnsi"/>
        </w:rPr>
        <w:t>Le Critère de jugement principal était le taux de survie sans rechute</w:t>
      </w:r>
      <w:r w:rsidR="00981195">
        <w:rPr>
          <w:rFonts w:asciiTheme="majorHAnsi" w:hAnsiTheme="majorHAnsi"/>
        </w:rPr>
        <w:t>. Les critères de jugement</w:t>
      </w:r>
      <w:r>
        <w:rPr>
          <w:rFonts w:asciiTheme="majorHAnsi" w:hAnsiTheme="majorHAnsi"/>
        </w:rPr>
        <w:t xml:space="preserve"> secondaires étaient la survie globale, le temps médian avant apparition d’une métastase, le temps médian avant récidive cancéreuse. </w:t>
      </w:r>
    </w:p>
    <w:p w14:paraId="689ED4FB" w14:textId="305D7DDF" w:rsidR="007E7A5F" w:rsidRDefault="007E7A5F" w:rsidP="007E7A5F">
      <w:pPr>
        <w:jc w:val="both"/>
        <w:rPr>
          <w:rFonts w:asciiTheme="majorHAnsi" w:hAnsiTheme="majorHAnsi"/>
        </w:rPr>
      </w:pPr>
    </w:p>
    <w:p w14:paraId="0DB2A1F1" w14:textId="6D5DED55" w:rsidR="007E7A5F" w:rsidRPr="00981195" w:rsidRDefault="007E7A5F" w:rsidP="007E7A5F">
      <w:pPr>
        <w:jc w:val="both"/>
        <w:rPr>
          <w:rFonts w:asciiTheme="majorHAnsi" w:hAnsiTheme="majorHAnsi"/>
          <w:color w:val="365F91" w:themeColor="accent1" w:themeShade="BF"/>
        </w:rPr>
      </w:pPr>
      <w:r w:rsidRPr="00981195">
        <w:rPr>
          <w:rFonts w:asciiTheme="majorHAnsi" w:hAnsiTheme="majorHAnsi"/>
          <w:color w:val="365F91" w:themeColor="accent1" w:themeShade="BF"/>
        </w:rPr>
        <w:t xml:space="preserve">Résultats </w:t>
      </w:r>
    </w:p>
    <w:p w14:paraId="58276BE9" w14:textId="5D7550BE" w:rsidR="00084144" w:rsidRDefault="007E7A5F" w:rsidP="00084144">
      <w:pPr>
        <w:jc w:val="both"/>
        <w:rPr>
          <w:rFonts w:asciiTheme="majorHAnsi" w:hAnsiTheme="majorHAnsi"/>
        </w:rPr>
      </w:pPr>
      <w:r>
        <w:rPr>
          <w:rFonts w:asciiTheme="majorHAnsi" w:hAnsiTheme="majorHAnsi"/>
        </w:rPr>
        <w:t xml:space="preserve">Après une durée médiane de survie de 2.8 ans, le taux de survie sans rechute à 3 ans était estimé à 58 % lorsque le traitement combiné était donné (vs </w:t>
      </w:r>
      <w:r w:rsidR="00D44D03" w:rsidRPr="007E7A5F">
        <w:rPr>
          <w:rFonts w:asciiTheme="majorHAnsi" w:hAnsiTheme="majorHAnsi"/>
        </w:rPr>
        <w:t>39%</w:t>
      </w:r>
      <w:r>
        <w:rPr>
          <w:rFonts w:asciiTheme="majorHAnsi" w:hAnsiTheme="majorHAnsi"/>
        </w:rPr>
        <w:t xml:space="preserve">dans le groupe </w:t>
      </w:r>
      <w:r w:rsidR="00D44D03" w:rsidRPr="007E7A5F">
        <w:rPr>
          <w:rFonts w:asciiTheme="majorHAnsi" w:hAnsiTheme="majorHAnsi"/>
        </w:rPr>
        <w:t>placebo</w:t>
      </w:r>
      <w:r>
        <w:rPr>
          <w:rFonts w:asciiTheme="majorHAnsi" w:hAnsiTheme="majorHAnsi"/>
        </w:rPr>
        <w:t xml:space="preserve">, </w:t>
      </w:r>
      <w:r w:rsidR="00D44D03" w:rsidRPr="007E7A5F">
        <w:rPr>
          <w:rFonts w:asciiTheme="majorHAnsi" w:hAnsiTheme="majorHAnsi"/>
        </w:rPr>
        <w:t xml:space="preserve">P&lt;0.001). </w:t>
      </w:r>
      <w:r>
        <w:rPr>
          <w:rFonts w:asciiTheme="majorHAnsi" w:hAnsiTheme="majorHAnsi"/>
        </w:rPr>
        <w:t xml:space="preserve">Le taux de survie globale à 3 ans était de 86 % sous traitement combiné versus 77 % chez les </w:t>
      </w:r>
      <w:r w:rsidR="00084144">
        <w:rPr>
          <w:rFonts w:asciiTheme="majorHAnsi" w:hAnsiTheme="majorHAnsi"/>
        </w:rPr>
        <w:t>contrôles</w:t>
      </w:r>
      <w:r>
        <w:rPr>
          <w:rFonts w:asciiTheme="majorHAnsi" w:hAnsiTheme="majorHAnsi"/>
        </w:rPr>
        <w:t xml:space="preserve"> (HR</w:t>
      </w:r>
      <w:r w:rsidR="00D44D03" w:rsidRPr="007E7A5F">
        <w:rPr>
          <w:rFonts w:asciiTheme="majorHAnsi" w:hAnsiTheme="majorHAnsi"/>
        </w:rPr>
        <w:t xml:space="preserve"> 0.57; </w:t>
      </w:r>
      <w:r w:rsidR="00D44D03" w:rsidRPr="00B33DE0">
        <w:rPr>
          <w:rFonts w:asciiTheme="majorHAnsi" w:hAnsiTheme="majorHAnsi"/>
        </w:rPr>
        <w:t>P=0.0006)</w:t>
      </w:r>
      <w:r w:rsidR="00B33DE0">
        <w:rPr>
          <w:rFonts w:asciiTheme="majorHAnsi" w:hAnsiTheme="majorHAnsi"/>
        </w:rPr>
        <w:t xml:space="preserve">. Le taux de récidive était de 37 % dans </w:t>
      </w:r>
      <w:r w:rsidR="00084144">
        <w:rPr>
          <w:rFonts w:asciiTheme="majorHAnsi" w:hAnsiTheme="majorHAnsi"/>
        </w:rPr>
        <w:t>le groupe traitement combiné versus 57 % dans le groupe placebo (diminution du risque de récidive de 53%, HR 0.47, p&lt; 0.001). Le taux de survie globale était de 97% à &amp; an, 91% à 2 ans et 86% à 3 ans dans le groupe traitement combiné</w:t>
      </w:r>
      <w:r w:rsidR="00084144" w:rsidRPr="00084144">
        <w:t xml:space="preserve"> </w:t>
      </w:r>
      <w:r w:rsidR="00084144">
        <w:t xml:space="preserve">et de </w:t>
      </w:r>
      <w:r w:rsidR="00084144" w:rsidRPr="00084144">
        <w:t>94%, 83%, and 77%, respectivement dans le groupe placebo (HR : 0.</w:t>
      </w:r>
      <w:r w:rsidR="00084144">
        <w:t>57</w:t>
      </w:r>
      <w:proofErr w:type="gramStart"/>
      <w:r w:rsidR="00084144">
        <w:t xml:space="preserve">, </w:t>
      </w:r>
      <w:r w:rsidR="00084144" w:rsidRPr="00084144">
        <w:t xml:space="preserve"> P</w:t>
      </w:r>
      <w:proofErr w:type="gramEnd"/>
      <w:r w:rsidR="00084144" w:rsidRPr="00084144">
        <w:t xml:space="preserve">=0.0006). Le taux de survie dans récidive était 88% à 1 ans, 67% à 2 ans, and 58% à 3 ans dans le groupe thérapie combine versus </w:t>
      </w:r>
      <w:r w:rsidR="00084144">
        <w:t>56%, 44%, and 39%, respectivement</w:t>
      </w:r>
      <w:r w:rsidR="00084144" w:rsidRPr="00084144">
        <w:t xml:space="preserve">, </w:t>
      </w:r>
      <w:r w:rsidR="00084144">
        <w:t xml:space="preserve">dans le groupe placebo. Le taux de récidive métastatique était aussi statistiquement moins fréquent dans le groupe traité que dans le groupe contrôle. Il n’existait par ailleurs, pas plus d’effet indésirable dans le groupe traité (1 effet </w:t>
      </w:r>
      <w:r w:rsidR="00981195">
        <w:t>indésirable</w:t>
      </w:r>
      <w:r w:rsidR="00084144">
        <w:t xml:space="preserve"> grave : 1 pneumonie). </w:t>
      </w:r>
    </w:p>
    <w:p w14:paraId="3CF8CA60" w14:textId="77777777" w:rsidR="00084144" w:rsidRDefault="00084144" w:rsidP="00084144">
      <w:pPr>
        <w:jc w:val="both"/>
        <w:rPr>
          <w:rFonts w:asciiTheme="majorHAnsi" w:hAnsiTheme="majorHAnsi"/>
        </w:rPr>
      </w:pPr>
    </w:p>
    <w:p w14:paraId="57DBFEE3" w14:textId="77777777" w:rsidR="00084144" w:rsidRPr="004522FD" w:rsidRDefault="00084144" w:rsidP="00084144">
      <w:pPr>
        <w:jc w:val="both"/>
        <w:rPr>
          <w:rFonts w:asciiTheme="majorHAnsi" w:hAnsiTheme="majorHAnsi"/>
          <w:color w:val="365F91" w:themeColor="accent1" w:themeShade="BF"/>
        </w:rPr>
      </w:pPr>
      <w:r w:rsidRPr="004522FD">
        <w:rPr>
          <w:rFonts w:asciiTheme="majorHAnsi" w:hAnsiTheme="majorHAnsi"/>
          <w:color w:val="365F91" w:themeColor="accent1" w:themeShade="BF"/>
        </w:rPr>
        <w:t>Conclusion</w:t>
      </w:r>
    </w:p>
    <w:p w14:paraId="149DFE7F" w14:textId="473CDF1D" w:rsidR="00D44D03" w:rsidRPr="000F4CFA" w:rsidRDefault="00084144" w:rsidP="000F4CFA">
      <w:pPr>
        <w:jc w:val="both"/>
        <w:rPr>
          <w:rFonts w:asciiTheme="majorHAnsi" w:hAnsiTheme="majorHAnsi"/>
        </w:rPr>
      </w:pPr>
      <w:r w:rsidRPr="00084144">
        <w:rPr>
          <w:rFonts w:asciiTheme="majorHAnsi" w:hAnsiTheme="majorHAnsi"/>
        </w:rPr>
        <w:t xml:space="preserve">L’utilisation d’une bithérapie associant </w:t>
      </w:r>
      <w:proofErr w:type="spellStart"/>
      <w:r w:rsidR="00D44D03" w:rsidRPr="00084144">
        <w:rPr>
          <w:rFonts w:asciiTheme="majorHAnsi" w:hAnsiTheme="majorHAnsi"/>
        </w:rPr>
        <w:t>dabrafenib</w:t>
      </w:r>
      <w:proofErr w:type="spellEnd"/>
      <w:r w:rsidR="00D44D03" w:rsidRPr="00084144">
        <w:rPr>
          <w:rFonts w:asciiTheme="majorHAnsi" w:hAnsiTheme="majorHAnsi"/>
        </w:rPr>
        <w:t xml:space="preserve"> plus </w:t>
      </w:r>
      <w:proofErr w:type="spellStart"/>
      <w:r w:rsidR="00D44D03" w:rsidRPr="00084144">
        <w:rPr>
          <w:rFonts w:asciiTheme="majorHAnsi" w:hAnsiTheme="majorHAnsi"/>
        </w:rPr>
        <w:t>trametinib</w:t>
      </w:r>
      <w:proofErr w:type="spellEnd"/>
      <w:r w:rsidR="00D44D03" w:rsidRPr="00084144">
        <w:rPr>
          <w:rFonts w:asciiTheme="majorHAnsi" w:hAnsiTheme="majorHAnsi"/>
        </w:rPr>
        <w:t xml:space="preserve"> </w:t>
      </w:r>
      <w:r w:rsidRPr="00084144">
        <w:rPr>
          <w:rFonts w:asciiTheme="majorHAnsi" w:hAnsiTheme="majorHAnsi"/>
        </w:rPr>
        <w:t xml:space="preserve">chez les patients présentant un mélanome avec BRAF V600 </w:t>
      </w:r>
      <w:r w:rsidR="000F4CFA">
        <w:rPr>
          <w:rFonts w:asciiTheme="majorHAnsi" w:hAnsiTheme="majorHAnsi"/>
        </w:rPr>
        <w:t xml:space="preserve">muté </w:t>
      </w:r>
      <w:r w:rsidR="000F4CFA" w:rsidRPr="000F4CFA">
        <w:rPr>
          <w:rFonts w:asciiTheme="majorHAnsi" w:hAnsiTheme="majorHAnsi"/>
        </w:rPr>
        <w:t>stad</w:t>
      </w:r>
      <w:r w:rsidR="00D44D03" w:rsidRPr="000F4CFA">
        <w:rPr>
          <w:rFonts w:asciiTheme="majorHAnsi" w:hAnsiTheme="majorHAnsi"/>
        </w:rPr>
        <w:t xml:space="preserve">e III </w:t>
      </w:r>
      <w:r w:rsidR="000F4CFA">
        <w:rPr>
          <w:rFonts w:asciiTheme="majorHAnsi" w:hAnsiTheme="majorHAnsi"/>
        </w:rPr>
        <w:t>en adjuvant d’un traitement chirurgical.</w:t>
      </w:r>
    </w:p>
    <w:p w14:paraId="0E9565CB" w14:textId="77777777" w:rsidR="000249CB" w:rsidRPr="000F4CFA" w:rsidRDefault="000249CB" w:rsidP="000249CB">
      <w:pPr>
        <w:jc w:val="both"/>
        <w:rPr>
          <w:rFonts w:asciiTheme="majorHAnsi" w:hAnsiTheme="majorHAnsi"/>
        </w:rPr>
      </w:pPr>
      <w:r w:rsidRPr="000F4CFA">
        <w:rPr>
          <w:rFonts w:asciiTheme="majorHAnsi" w:hAnsiTheme="majorHAnsi"/>
        </w:rPr>
        <w:t xml:space="preserve">   </w:t>
      </w:r>
    </w:p>
    <w:p w14:paraId="146EDB9D" w14:textId="77777777" w:rsidR="000249CB" w:rsidRPr="000F4CFA" w:rsidRDefault="000249CB" w:rsidP="000249CB">
      <w:pPr>
        <w:jc w:val="both"/>
        <w:rPr>
          <w:rFonts w:asciiTheme="majorHAnsi" w:hAnsiTheme="majorHAnsi"/>
        </w:rPr>
      </w:pPr>
    </w:p>
    <w:p w14:paraId="7BEBD8B8" w14:textId="77777777" w:rsidR="000249CB" w:rsidRPr="00981195" w:rsidRDefault="000249CB" w:rsidP="000249CB">
      <w:pPr>
        <w:jc w:val="both"/>
        <w:rPr>
          <w:rFonts w:asciiTheme="majorHAnsi" w:hAnsiTheme="majorHAnsi"/>
          <w:b/>
          <w:color w:val="365F91" w:themeColor="accent1" w:themeShade="BF"/>
          <w:lang w:val="en-GB"/>
        </w:rPr>
      </w:pPr>
      <w:r w:rsidRPr="00981195">
        <w:rPr>
          <w:rFonts w:asciiTheme="majorHAnsi" w:hAnsiTheme="majorHAnsi"/>
          <w:b/>
          <w:color w:val="365F91" w:themeColor="accent1" w:themeShade="BF"/>
          <w:lang w:val="en-GB"/>
        </w:rPr>
        <w:t xml:space="preserve">Overall Survival with Combined </w:t>
      </w:r>
      <w:proofErr w:type="spellStart"/>
      <w:r w:rsidRPr="00981195">
        <w:rPr>
          <w:rFonts w:asciiTheme="majorHAnsi" w:hAnsiTheme="majorHAnsi"/>
          <w:b/>
          <w:color w:val="365F91" w:themeColor="accent1" w:themeShade="BF"/>
          <w:lang w:val="en-GB"/>
        </w:rPr>
        <w:t>Nivolumab</w:t>
      </w:r>
      <w:proofErr w:type="spellEnd"/>
      <w:r w:rsidRPr="00981195">
        <w:rPr>
          <w:rFonts w:asciiTheme="majorHAnsi" w:hAnsiTheme="majorHAnsi"/>
          <w:b/>
          <w:color w:val="365F91" w:themeColor="accent1" w:themeShade="BF"/>
          <w:lang w:val="en-GB"/>
        </w:rPr>
        <w:t xml:space="preserve"> and Ipilimumab in Advanced Melanoma   </w:t>
      </w:r>
    </w:p>
    <w:p w14:paraId="74E45C55" w14:textId="22F716C9" w:rsidR="00981195" w:rsidRDefault="005A6633" w:rsidP="000249CB">
      <w:pPr>
        <w:jc w:val="both"/>
        <w:rPr>
          <w:rFonts w:asciiTheme="majorHAnsi" w:hAnsiTheme="majorHAnsi"/>
        </w:rPr>
      </w:pPr>
      <w:r w:rsidRPr="004522FD">
        <w:rPr>
          <w:rFonts w:asciiTheme="majorHAnsi" w:hAnsiTheme="majorHAnsi"/>
        </w:rPr>
        <w:t xml:space="preserve">J.D. </w:t>
      </w:r>
      <w:proofErr w:type="spellStart"/>
      <w:r w:rsidRPr="004522FD">
        <w:rPr>
          <w:rFonts w:asciiTheme="majorHAnsi" w:hAnsiTheme="majorHAnsi"/>
        </w:rPr>
        <w:t>Wolchok</w:t>
      </w:r>
      <w:proofErr w:type="spellEnd"/>
      <w:r w:rsidR="00981195" w:rsidRPr="004522FD">
        <w:rPr>
          <w:rFonts w:asciiTheme="majorHAnsi" w:hAnsiTheme="majorHAnsi"/>
        </w:rPr>
        <w:t>, NEJM</w:t>
      </w:r>
    </w:p>
    <w:p w14:paraId="1FFE33F4" w14:textId="77777777" w:rsidR="00A73B7B" w:rsidRPr="00A73B7B" w:rsidRDefault="00A73B7B" w:rsidP="00A73B7B">
      <w:pPr>
        <w:jc w:val="both"/>
        <w:rPr>
          <w:rFonts w:asciiTheme="majorHAnsi" w:hAnsiTheme="majorHAnsi"/>
        </w:rPr>
      </w:pPr>
      <w:hyperlink r:id="rId25" w:history="1">
        <w:r w:rsidRPr="00A73B7B">
          <w:rPr>
            <w:rStyle w:val="Lienhypertexte"/>
            <w:rFonts w:asciiTheme="majorHAnsi" w:hAnsiTheme="majorHAnsi"/>
          </w:rPr>
          <w:t>https://www.ncbi.nlm.nih.gov/pubmed/28889792</w:t>
        </w:r>
      </w:hyperlink>
      <w:r w:rsidRPr="00A73B7B">
        <w:rPr>
          <w:rFonts w:asciiTheme="majorHAnsi" w:hAnsiTheme="majorHAnsi"/>
        </w:rPr>
        <w:t xml:space="preserve"> </w:t>
      </w:r>
    </w:p>
    <w:p w14:paraId="7C31DD28" w14:textId="77777777" w:rsidR="00A73B7B" w:rsidRPr="004522FD" w:rsidRDefault="00A73B7B" w:rsidP="000249CB">
      <w:pPr>
        <w:jc w:val="both"/>
        <w:rPr>
          <w:rFonts w:asciiTheme="majorHAnsi" w:hAnsiTheme="majorHAnsi"/>
        </w:rPr>
      </w:pPr>
    </w:p>
    <w:p w14:paraId="4A05ED0F" w14:textId="77777777" w:rsidR="00981195" w:rsidRPr="004522FD" w:rsidRDefault="00981195" w:rsidP="000249CB">
      <w:pPr>
        <w:jc w:val="both"/>
        <w:rPr>
          <w:rFonts w:asciiTheme="majorHAnsi" w:hAnsiTheme="majorHAnsi"/>
        </w:rPr>
      </w:pPr>
    </w:p>
    <w:p w14:paraId="122BE0FD" w14:textId="77777777" w:rsidR="00981195" w:rsidRPr="004522FD" w:rsidRDefault="00981195" w:rsidP="00981195">
      <w:pPr>
        <w:jc w:val="both"/>
        <w:rPr>
          <w:rFonts w:asciiTheme="majorHAnsi" w:hAnsiTheme="majorHAnsi"/>
          <w:color w:val="365F91" w:themeColor="accent1" w:themeShade="BF"/>
        </w:rPr>
      </w:pPr>
      <w:r w:rsidRPr="004522FD">
        <w:rPr>
          <w:rFonts w:asciiTheme="majorHAnsi" w:hAnsiTheme="majorHAnsi"/>
          <w:color w:val="365F91" w:themeColor="accent1" w:themeShade="BF"/>
        </w:rPr>
        <w:t>Introduction</w:t>
      </w:r>
    </w:p>
    <w:p w14:paraId="14046381" w14:textId="15987E30" w:rsidR="00981195" w:rsidRDefault="00981195" w:rsidP="00981195">
      <w:pPr>
        <w:jc w:val="both"/>
        <w:rPr>
          <w:rFonts w:asciiTheme="majorHAnsi" w:hAnsiTheme="majorHAnsi"/>
        </w:rPr>
      </w:pPr>
      <w:r w:rsidRPr="00981195">
        <w:rPr>
          <w:rFonts w:asciiTheme="majorHAnsi" w:hAnsiTheme="majorHAnsi"/>
        </w:rPr>
        <w:t xml:space="preserve">Le </w:t>
      </w:r>
      <w:proofErr w:type="spellStart"/>
      <w:r w:rsidRPr="00981195">
        <w:rPr>
          <w:rFonts w:asciiTheme="majorHAnsi" w:hAnsiTheme="majorHAnsi"/>
        </w:rPr>
        <w:t>Nivolumab</w:t>
      </w:r>
      <w:proofErr w:type="spellEnd"/>
      <w:r w:rsidRPr="00981195">
        <w:rPr>
          <w:rFonts w:asciiTheme="majorHAnsi" w:hAnsiTheme="majorHAnsi"/>
        </w:rPr>
        <w:t xml:space="preserve"> associé à l’</w:t>
      </w:r>
      <w:proofErr w:type="spellStart"/>
      <w:r w:rsidRPr="00981195">
        <w:rPr>
          <w:rFonts w:asciiTheme="majorHAnsi" w:hAnsiTheme="majorHAnsi"/>
        </w:rPr>
        <w:t>ipilimumab</w:t>
      </w:r>
      <w:proofErr w:type="spellEnd"/>
      <w:r w:rsidRPr="00981195">
        <w:rPr>
          <w:rFonts w:asciiTheme="majorHAnsi" w:hAnsiTheme="majorHAnsi"/>
        </w:rPr>
        <w:t xml:space="preserve"> permet d’améliorer la survie globale par rapport à un traitement par </w:t>
      </w:r>
      <w:proofErr w:type="spellStart"/>
      <w:r w:rsidRPr="00981195">
        <w:rPr>
          <w:rFonts w:asciiTheme="majorHAnsi" w:hAnsiTheme="majorHAnsi"/>
        </w:rPr>
        <w:t>Ipilimumab</w:t>
      </w:r>
      <w:proofErr w:type="spellEnd"/>
      <w:r w:rsidRPr="00981195">
        <w:rPr>
          <w:rFonts w:asciiTheme="majorHAnsi" w:hAnsiTheme="majorHAnsi"/>
        </w:rPr>
        <w:t xml:space="preserve"> seul chez les patients</w:t>
      </w:r>
      <w:r>
        <w:rPr>
          <w:rFonts w:asciiTheme="majorHAnsi" w:hAnsiTheme="majorHAnsi"/>
        </w:rPr>
        <w:t xml:space="preserve"> présentant un mélanome avancé. Cet artic</w:t>
      </w:r>
      <w:r w:rsidR="007B5B48">
        <w:rPr>
          <w:rFonts w:asciiTheme="majorHAnsi" w:hAnsiTheme="majorHAnsi"/>
        </w:rPr>
        <w:t>le vise à vérifier la poursuite de l’efficacité de cette thérapie pendant un</w:t>
      </w:r>
      <w:r>
        <w:rPr>
          <w:rFonts w:asciiTheme="majorHAnsi" w:hAnsiTheme="majorHAnsi"/>
        </w:rPr>
        <w:t xml:space="preserve"> suivi </w:t>
      </w:r>
      <w:r w:rsidR="007B5B48">
        <w:rPr>
          <w:rFonts w:asciiTheme="majorHAnsi" w:hAnsiTheme="majorHAnsi"/>
        </w:rPr>
        <w:t>de</w:t>
      </w:r>
      <w:r>
        <w:rPr>
          <w:rFonts w:asciiTheme="majorHAnsi" w:hAnsiTheme="majorHAnsi"/>
        </w:rPr>
        <w:t xml:space="preserve"> 3 ans. </w:t>
      </w:r>
    </w:p>
    <w:p w14:paraId="162DC272" w14:textId="36A5851A" w:rsidR="007B5B48" w:rsidRDefault="007B5B48" w:rsidP="00981195">
      <w:pPr>
        <w:jc w:val="both"/>
        <w:rPr>
          <w:rFonts w:asciiTheme="majorHAnsi" w:hAnsiTheme="majorHAnsi"/>
        </w:rPr>
      </w:pPr>
      <w:r>
        <w:rPr>
          <w:rFonts w:asciiTheme="majorHAnsi" w:hAnsiTheme="majorHAnsi"/>
        </w:rPr>
        <w:t xml:space="preserve">Objectif : Vérifier l’efficacité de l’association </w:t>
      </w:r>
      <w:proofErr w:type="spellStart"/>
      <w:r>
        <w:rPr>
          <w:rFonts w:asciiTheme="majorHAnsi" w:hAnsiTheme="majorHAnsi"/>
        </w:rPr>
        <w:t>Ipilimumab</w:t>
      </w:r>
      <w:proofErr w:type="spellEnd"/>
      <w:r>
        <w:rPr>
          <w:rFonts w:asciiTheme="majorHAnsi" w:hAnsiTheme="majorHAnsi"/>
        </w:rPr>
        <w:t xml:space="preserve"> et </w:t>
      </w:r>
      <w:proofErr w:type="spellStart"/>
      <w:r>
        <w:rPr>
          <w:rFonts w:asciiTheme="majorHAnsi" w:hAnsiTheme="majorHAnsi"/>
        </w:rPr>
        <w:t>nivolumab</w:t>
      </w:r>
      <w:proofErr w:type="spellEnd"/>
      <w:r>
        <w:rPr>
          <w:rFonts w:asciiTheme="majorHAnsi" w:hAnsiTheme="majorHAnsi"/>
        </w:rPr>
        <w:t xml:space="preserve"> dans le mélanome avancé. </w:t>
      </w:r>
    </w:p>
    <w:p w14:paraId="06F01130" w14:textId="58A88338" w:rsidR="005A6633" w:rsidRPr="00CB1845" w:rsidRDefault="005A6633" w:rsidP="00981195">
      <w:pPr>
        <w:jc w:val="both"/>
        <w:rPr>
          <w:rFonts w:asciiTheme="majorHAnsi" w:hAnsiTheme="majorHAnsi"/>
          <w:color w:val="365F91" w:themeColor="accent1" w:themeShade="BF"/>
        </w:rPr>
      </w:pPr>
      <w:r w:rsidRPr="00CB1845">
        <w:rPr>
          <w:rFonts w:asciiTheme="majorHAnsi" w:hAnsiTheme="majorHAnsi"/>
          <w:color w:val="365F91" w:themeColor="accent1" w:themeShade="BF"/>
        </w:rPr>
        <w:t>Méthode</w:t>
      </w:r>
    </w:p>
    <w:p w14:paraId="1016A515" w14:textId="60E66C14" w:rsidR="00981195" w:rsidRPr="005A6633" w:rsidRDefault="005A6633" w:rsidP="00981195">
      <w:pPr>
        <w:jc w:val="both"/>
        <w:rPr>
          <w:rFonts w:asciiTheme="majorHAnsi" w:hAnsiTheme="majorHAnsi"/>
        </w:rPr>
      </w:pPr>
      <w:r>
        <w:rPr>
          <w:rFonts w:asciiTheme="majorHAnsi" w:hAnsiTheme="majorHAnsi"/>
        </w:rPr>
        <w:t>Etude randomisée, contrôlée</w:t>
      </w:r>
      <w:r w:rsidR="00CB1845">
        <w:rPr>
          <w:rFonts w:asciiTheme="majorHAnsi" w:hAnsiTheme="majorHAnsi"/>
        </w:rPr>
        <w:t xml:space="preserve"> de phase 3, multicentrique (</w:t>
      </w:r>
      <w:r>
        <w:rPr>
          <w:rFonts w:asciiTheme="majorHAnsi" w:hAnsiTheme="majorHAnsi"/>
        </w:rPr>
        <w:t xml:space="preserve">21 pays) réalisée chez 1296 patients. Critères inclusion : </w:t>
      </w:r>
      <w:r w:rsidR="000C3486">
        <w:rPr>
          <w:rFonts w:asciiTheme="majorHAnsi" w:hAnsiTheme="majorHAnsi"/>
        </w:rPr>
        <w:t>P</w:t>
      </w:r>
      <w:r w:rsidRPr="005A6633">
        <w:rPr>
          <w:rFonts w:asciiTheme="majorHAnsi" w:hAnsiTheme="majorHAnsi"/>
        </w:rPr>
        <w:t xml:space="preserve">atients avec un mélanome de stade III non </w:t>
      </w:r>
      <w:proofErr w:type="spellStart"/>
      <w:r w:rsidRPr="005A6633">
        <w:rPr>
          <w:rFonts w:asciiTheme="majorHAnsi" w:hAnsiTheme="majorHAnsi"/>
        </w:rPr>
        <w:t>réséquable</w:t>
      </w:r>
      <w:proofErr w:type="spellEnd"/>
      <w:r w:rsidRPr="005A6633">
        <w:rPr>
          <w:rFonts w:asciiTheme="majorHAnsi" w:hAnsiTheme="majorHAnsi"/>
        </w:rPr>
        <w:t xml:space="preserve"> ou IV, avec une mutation BRAF V600</w:t>
      </w:r>
      <w:r>
        <w:rPr>
          <w:rFonts w:asciiTheme="majorHAnsi" w:hAnsiTheme="majorHAnsi"/>
        </w:rPr>
        <w:t xml:space="preserve"> et avec score performance statue OMS 0 ou 1. Les patients sont randomisés en 1 :1 :1 : </w:t>
      </w:r>
      <w:r w:rsidRPr="005A6633">
        <w:rPr>
          <w:rFonts w:asciiTheme="majorHAnsi" w:hAnsiTheme="majorHAnsi"/>
        </w:rPr>
        <w:t xml:space="preserve"> </w:t>
      </w:r>
      <w:proofErr w:type="spellStart"/>
      <w:proofErr w:type="gramStart"/>
      <w:r w:rsidRPr="005A6633">
        <w:rPr>
          <w:rFonts w:asciiTheme="majorHAnsi" w:hAnsiTheme="majorHAnsi"/>
        </w:rPr>
        <w:t>nivolumab</w:t>
      </w:r>
      <w:proofErr w:type="spellEnd"/>
      <w:r w:rsidR="00AC6E72">
        <w:rPr>
          <w:rFonts w:asciiTheme="majorHAnsi" w:hAnsiTheme="majorHAnsi"/>
        </w:rPr>
        <w:t>(</w:t>
      </w:r>
      <w:proofErr w:type="gramEnd"/>
      <w:r w:rsidR="00AC6E72">
        <w:rPr>
          <w:rFonts w:asciiTheme="majorHAnsi" w:hAnsiTheme="majorHAnsi"/>
        </w:rPr>
        <w:t xml:space="preserve">1 mg/kg/3 </w:t>
      </w:r>
      <w:proofErr w:type="spellStart"/>
      <w:r w:rsidR="00AC6E72">
        <w:rPr>
          <w:rFonts w:asciiTheme="majorHAnsi" w:hAnsiTheme="majorHAnsi"/>
        </w:rPr>
        <w:t>sem</w:t>
      </w:r>
      <w:proofErr w:type="spellEnd"/>
      <w:r w:rsidR="00AC6E72">
        <w:rPr>
          <w:rFonts w:asciiTheme="majorHAnsi" w:hAnsiTheme="majorHAnsi"/>
        </w:rPr>
        <w:t>, 4 doses puis 3mg/kg/2sem)</w:t>
      </w:r>
      <w:r w:rsidRPr="005A6633">
        <w:rPr>
          <w:rFonts w:asciiTheme="majorHAnsi" w:hAnsiTheme="majorHAnsi"/>
        </w:rPr>
        <w:t>-plus-</w:t>
      </w:r>
      <w:proofErr w:type="spellStart"/>
      <w:r w:rsidRPr="005A6633">
        <w:rPr>
          <w:rFonts w:asciiTheme="majorHAnsi" w:hAnsiTheme="majorHAnsi"/>
        </w:rPr>
        <w:t>ipilimumab</w:t>
      </w:r>
      <w:proofErr w:type="spellEnd"/>
      <w:r w:rsidR="00AC6E72">
        <w:rPr>
          <w:rFonts w:asciiTheme="majorHAnsi" w:hAnsiTheme="majorHAnsi"/>
        </w:rPr>
        <w:t>(3mg/kg/3sem 4 doses)</w:t>
      </w:r>
      <w:r w:rsidRPr="005A6633">
        <w:rPr>
          <w:rFonts w:asciiTheme="majorHAnsi" w:hAnsiTheme="majorHAnsi"/>
        </w:rPr>
        <w:t xml:space="preserve">, </w:t>
      </w:r>
      <w:proofErr w:type="spellStart"/>
      <w:r w:rsidR="00981195" w:rsidRPr="005A6633">
        <w:rPr>
          <w:rFonts w:asciiTheme="majorHAnsi" w:hAnsiTheme="majorHAnsi"/>
        </w:rPr>
        <w:t>nivolumab</w:t>
      </w:r>
      <w:proofErr w:type="spellEnd"/>
      <w:r w:rsidR="00981195" w:rsidRPr="005A6633">
        <w:rPr>
          <w:rFonts w:asciiTheme="majorHAnsi" w:hAnsiTheme="majorHAnsi"/>
        </w:rPr>
        <w:t xml:space="preserve"> </w:t>
      </w:r>
      <w:r>
        <w:rPr>
          <w:rFonts w:asciiTheme="majorHAnsi" w:hAnsiTheme="majorHAnsi"/>
        </w:rPr>
        <w:t>seul</w:t>
      </w:r>
      <w:r w:rsidR="00AC6E72">
        <w:rPr>
          <w:rFonts w:asciiTheme="majorHAnsi" w:hAnsiTheme="majorHAnsi"/>
        </w:rPr>
        <w:t xml:space="preserve"> (3 mg/kg/2 </w:t>
      </w:r>
      <w:proofErr w:type="spellStart"/>
      <w:r w:rsidR="00AC6E72">
        <w:rPr>
          <w:rFonts w:asciiTheme="majorHAnsi" w:hAnsiTheme="majorHAnsi"/>
        </w:rPr>
        <w:t>sem</w:t>
      </w:r>
      <w:proofErr w:type="spellEnd"/>
      <w:r w:rsidR="00AC6E72">
        <w:rPr>
          <w:rFonts w:asciiTheme="majorHAnsi" w:hAnsiTheme="majorHAnsi"/>
        </w:rPr>
        <w:t xml:space="preserve">) </w:t>
      </w:r>
      <w:r>
        <w:rPr>
          <w:rFonts w:asciiTheme="majorHAnsi" w:hAnsiTheme="majorHAnsi"/>
        </w:rPr>
        <w:t xml:space="preserve"> </w:t>
      </w:r>
      <w:r w:rsidR="00981195" w:rsidRPr="005A6633">
        <w:rPr>
          <w:rFonts w:asciiTheme="majorHAnsi" w:hAnsiTheme="majorHAnsi"/>
        </w:rPr>
        <w:t xml:space="preserve">versus </w:t>
      </w:r>
      <w:proofErr w:type="spellStart"/>
      <w:r w:rsidR="00AC6E72">
        <w:rPr>
          <w:rFonts w:asciiTheme="majorHAnsi" w:hAnsiTheme="majorHAnsi"/>
        </w:rPr>
        <w:t>i</w:t>
      </w:r>
      <w:r w:rsidR="00981195" w:rsidRPr="005A6633">
        <w:rPr>
          <w:rFonts w:asciiTheme="majorHAnsi" w:hAnsiTheme="majorHAnsi"/>
        </w:rPr>
        <w:t>pilimumab</w:t>
      </w:r>
      <w:proofErr w:type="spellEnd"/>
      <w:r w:rsidR="00981195" w:rsidRPr="005A6633">
        <w:rPr>
          <w:rFonts w:asciiTheme="majorHAnsi" w:hAnsiTheme="majorHAnsi"/>
        </w:rPr>
        <w:t xml:space="preserve"> </w:t>
      </w:r>
      <w:r>
        <w:rPr>
          <w:rFonts w:asciiTheme="majorHAnsi" w:hAnsiTheme="majorHAnsi"/>
        </w:rPr>
        <w:t>seul</w:t>
      </w:r>
      <w:r w:rsidR="00AC6E72">
        <w:rPr>
          <w:rFonts w:asciiTheme="majorHAnsi" w:hAnsiTheme="majorHAnsi"/>
        </w:rPr>
        <w:t>(3mg/kg/3sem 4 doses)</w:t>
      </w:r>
      <w:r w:rsidR="00981195" w:rsidRPr="005A6633">
        <w:rPr>
          <w:rFonts w:asciiTheme="majorHAnsi" w:hAnsiTheme="majorHAnsi"/>
        </w:rPr>
        <w:t>.</w:t>
      </w:r>
    </w:p>
    <w:p w14:paraId="280E0ECA" w14:textId="268FEECE" w:rsidR="00AC6E72" w:rsidRDefault="00AC6E72" w:rsidP="00981195">
      <w:pPr>
        <w:jc w:val="both"/>
      </w:pPr>
      <w:r w:rsidRPr="00AC6E72">
        <w:lastRenderedPageBreak/>
        <w:t xml:space="preserve">La randomisation fut stratifiée selon le statue BRAF, le stade métastatique, et le statue PD-L1. </w:t>
      </w:r>
      <w:r>
        <w:t xml:space="preserve">Le traitement était poursuivi jusque progression de la maladie/EI graves. </w:t>
      </w:r>
    </w:p>
    <w:p w14:paraId="57D2AC95" w14:textId="157DC722" w:rsidR="000C3486" w:rsidRDefault="000C3486" w:rsidP="00981195">
      <w:pPr>
        <w:jc w:val="both"/>
      </w:pPr>
      <w:r>
        <w:t xml:space="preserve">Les deux critères de jugements principaux étaient : la survie sans récidive et la survie globale.  Les critères de jugement secondaires étaient : le taux de réponse, la durée de survie dans </w:t>
      </w:r>
      <w:r w:rsidR="00CB1845">
        <w:t>récidive</w:t>
      </w:r>
      <w:r>
        <w:t xml:space="preserve">, le taux de réponse entre monothérapie </w:t>
      </w:r>
      <w:proofErr w:type="spellStart"/>
      <w:r>
        <w:t>nivolumab</w:t>
      </w:r>
      <w:proofErr w:type="spellEnd"/>
      <w:r>
        <w:t xml:space="preserve"> et bithérapie </w:t>
      </w:r>
      <w:proofErr w:type="spellStart"/>
      <w:r>
        <w:t>nivolumab</w:t>
      </w:r>
      <w:proofErr w:type="spellEnd"/>
      <w:r>
        <w:t xml:space="preserve"> + </w:t>
      </w:r>
      <w:proofErr w:type="spellStart"/>
      <w:r>
        <w:t>ipilimumab</w:t>
      </w:r>
      <w:proofErr w:type="spellEnd"/>
      <w:r>
        <w:t>, le taux d’expression de PDL1 comme biomarqueur de survie sans progression et de survie globale.</w:t>
      </w:r>
    </w:p>
    <w:p w14:paraId="0003ECAB" w14:textId="77777777" w:rsidR="000C3486" w:rsidRDefault="000C3486" w:rsidP="00981195">
      <w:pPr>
        <w:jc w:val="both"/>
      </w:pPr>
    </w:p>
    <w:p w14:paraId="21D5C9B3" w14:textId="77777777" w:rsidR="000C3486" w:rsidRPr="00CB1845" w:rsidRDefault="000C3486" w:rsidP="00981195">
      <w:pPr>
        <w:jc w:val="both"/>
        <w:rPr>
          <w:color w:val="365F91" w:themeColor="accent1" w:themeShade="BF"/>
        </w:rPr>
      </w:pPr>
      <w:r w:rsidRPr="00CB1845">
        <w:rPr>
          <w:color w:val="365F91" w:themeColor="accent1" w:themeShade="BF"/>
        </w:rPr>
        <w:t xml:space="preserve">Résultats </w:t>
      </w:r>
    </w:p>
    <w:p w14:paraId="16D2FDB3" w14:textId="1081D22B" w:rsidR="00981195" w:rsidRDefault="000C3486" w:rsidP="00981195">
      <w:pPr>
        <w:jc w:val="both"/>
      </w:pPr>
      <w:r>
        <w:t xml:space="preserve">Une survie minimum de 36 mois était demandée. Cette durée médiane n’était pas </w:t>
      </w:r>
      <w:r w:rsidR="00CB1845">
        <w:t>atteinte</w:t>
      </w:r>
      <w:r>
        <w:t xml:space="preserve"> lors de </w:t>
      </w:r>
      <w:proofErr w:type="gramStart"/>
      <w:r>
        <w:t xml:space="preserve">l’association  </w:t>
      </w:r>
      <w:proofErr w:type="spellStart"/>
      <w:r w:rsidRPr="000C3486">
        <w:rPr>
          <w:rFonts w:asciiTheme="majorHAnsi" w:hAnsiTheme="majorHAnsi"/>
        </w:rPr>
        <w:t>nivolumab</w:t>
      </w:r>
      <w:proofErr w:type="spellEnd"/>
      <w:proofErr w:type="gramEnd"/>
      <w:r w:rsidRPr="000C3486">
        <w:rPr>
          <w:rFonts w:asciiTheme="majorHAnsi" w:hAnsiTheme="majorHAnsi"/>
        </w:rPr>
        <w:t>-plus-</w:t>
      </w:r>
      <w:proofErr w:type="spellStart"/>
      <w:r w:rsidRPr="000C3486">
        <w:rPr>
          <w:rFonts w:asciiTheme="majorHAnsi" w:hAnsiTheme="majorHAnsi"/>
        </w:rPr>
        <w:t>ipilimumab</w:t>
      </w:r>
      <w:proofErr w:type="spellEnd"/>
      <w:r>
        <w:t xml:space="preserve">. Elle était de 37.6 mois pour le groupe </w:t>
      </w:r>
      <w:proofErr w:type="spellStart"/>
      <w:r>
        <w:t>Nivolumab</w:t>
      </w:r>
      <w:proofErr w:type="spellEnd"/>
      <w:r>
        <w:t xml:space="preserve">, et de 19.9 mois dans le groupe </w:t>
      </w:r>
      <w:proofErr w:type="spellStart"/>
      <w:r>
        <w:t>ipilimumab</w:t>
      </w:r>
      <w:proofErr w:type="spellEnd"/>
      <w:r>
        <w:t xml:space="preserve"> (HR 0.55, et 0 .65 respectivement, </w:t>
      </w:r>
      <w:r w:rsidRPr="000C3486">
        <w:rPr>
          <w:rFonts w:asciiTheme="majorHAnsi" w:hAnsiTheme="majorHAnsi"/>
        </w:rPr>
        <w:t>P&lt;0.001)</w:t>
      </w:r>
      <w:r>
        <w:rPr>
          <w:rFonts w:asciiTheme="majorHAnsi" w:hAnsiTheme="majorHAnsi"/>
        </w:rPr>
        <w:t xml:space="preserve">. </w:t>
      </w:r>
      <w:r w:rsidRPr="000C3486">
        <w:rPr>
          <w:rFonts w:asciiTheme="majorHAnsi" w:hAnsiTheme="majorHAnsi"/>
        </w:rPr>
        <w:t xml:space="preserve">Le taux de survie globale à 3 ans était de 58% dans le groupe </w:t>
      </w:r>
      <w:proofErr w:type="spellStart"/>
      <w:r w:rsidR="00981195" w:rsidRPr="000C3486">
        <w:rPr>
          <w:rFonts w:asciiTheme="majorHAnsi" w:hAnsiTheme="majorHAnsi"/>
        </w:rPr>
        <w:t>nivolumab</w:t>
      </w:r>
      <w:proofErr w:type="spellEnd"/>
      <w:r w:rsidR="00981195" w:rsidRPr="000C3486">
        <w:rPr>
          <w:rFonts w:asciiTheme="majorHAnsi" w:hAnsiTheme="majorHAnsi"/>
        </w:rPr>
        <w:t>-plus-</w:t>
      </w:r>
      <w:proofErr w:type="spellStart"/>
      <w:proofErr w:type="gramStart"/>
      <w:r w:rsidR="00981195" w:rsidRPr="000C3486">
        <w:rPr>
          <w:rFonts w:asciiTheme="majorHAnsi" w:hAnsiTheme="majorHAnsi"/>
        </w:rPr>
        <w:t>ipilimumab</w:t>
      </w:r>
      <w:proofErr w:type="spellEnd"/>
      <w:r w:rsidRPr="000C3486">
        <w:rPr>
          <w:rFonts w:asciiTheme="majorHAnsi" w:hAnsiTheme="majorHAnsi"/>
        </w:rPr>
        <w:t xml:space="preserve">, </w:t>
      </w:r>
      <w:r w:rsidR="00981195" w:rsidRPr="000C3486">
        <w:rPr>
          <w:rFonts w:asciiTheme="majorHAnsi" w:hAnsiTheme="majorHAnsi"/>
        </w:rPr>
        <w:t xml:space="preserve"> 52</w:t>
      </w:r>
      <w:proofErr w:type="gramEnd"/>
      <w:r w:rsidR="00981195" w:rsidRPr="000C3486">
        <w:rPr>
          <w:rFonts w:asciiTheme="majorHAnsi" w:hAnsiTheme="majorHAnsi"/>
        </w:rPr>
        <w:t>%</w:t>
      </w:r>
      <w:r>
        <w:rPr>
          <w:rFonts w:asciiTheme="majorHAnsi" w:hAnsiTheme="majorHAnsi"/>
        </w:rPr>
        <w:t xml:space="preserve"> dans le groupe </w:t>
      </w:r>
      <w:proofErr w:type="spellStart"/>
      <w:r>
        <w:rPr>
          <w:rFonts w:asciiTheme="majorHAnsi" w:hAnsiTheme="majorHAnsi"/>
        </w:rPr>
        <w:t>nivolumab</w:t>
      </w:r>
      <w:proofErr w:type="spellEnd"/>
      <w:r>
        <w:rPr>
          <w:rFonts w:asciiTheme="majorHAnsi" w:hAnsiTheme="majorHAnsi"/>
        </w:rPr>
        <w:t xml:space="preserve">, 34% dans le groupe </w:t>
      </w:r>
      <w:proofErr w:type="spellStart"/>
      <w:r>
        <w:rPr>
          <w:rFonts w:asciiTheme="majorHAnsi" w:hAnsiTheme="majorHAnsi"/>
        </w:rPr>
        <w:t>ipilimumab</w:t>
      </w:r>
      <w:proofErr w:type="spellEnd"/>
      <w:r>
        <w:rPr>
          <w:rFonts w:asciiTheme="majorHAnsi" w:hAnsiTheme="majorHAnsi"/>
        </w:rPr>
        <w:t xml:space="preserve"> ( OR 6.46 et  3.57 respectivement, p</w:t>
      </w:r>
      <w:r w:rsidRPr="000C3486">
        <w:t xml:space="preserve"> </w:t>
      </w:r>
      <w:r w:rsidRPr="000C3486">
        <w:rPr>
          <w:rFonts w:asciiTheme="majorHAnsi" w:hAnsiTheme="majorHAnsi" w:cstheme="majorHAnsi"/>
        </w:rPr>
        <w:t>&lt;0.001</w:t>
      </w:r>
      <w:r>
        <w:rPr>
          <w:rFonts w:asciiTheme="majorHAnsi" w:hAnsiTheme="majorHAnsi" w:cstheme="majorHAnsi"/>
        </w:rPr>
        <w:t>)</w:t>
      </w:r>
      <w:r>
        <w:rPr>
          <w:rFonts w:asciiTheme="majorHAnsi" w:hAnsiTheme="majorHAnsi"/>
        </w:rPr>
        <w:t>.</w:t>
      </w:r>
      <w:r w:rsidR="00CB1845">
        <w:rPr>
          <w:rFonts w:asciiTheme="majorHAnsi" w:hAnsiTheme="majorHAnsi"/>
        </w:rPr>
        <w:t xml:space="preserve"> </w:t>
      </w:r>
      <w:r w:rsidR="00CB1845" w:rsidRPr="00CB1845">
        <w:rPr>
          <w:rFonts w:asciiTheme="majorHAnsi" w:hAnsiTheme="majorHAnsi"/>
        </w:rPr>
        <w:t>Concernant les EI : il existait 59 % d’EI de grade 3 ou 4 dans le groupe</w:t>
      </w:r>
      <w:r w:rsidRPr="00CB1845">
        <w:rPr>
          <w:rFonts w:asciiTheme="majorHAnsi" w:hAnsiTheme="majorHAnsi"/>
        </w:rPr>
        <w:t xml:space="preserve"> </w:t>
      </w:r>
      <w:proofErr w:type="spellStart"/>
      <w:r w:rsidR="00981195" w:rsidRPr="00CB1845">
        <w:rPr>
          <w:rFonts w:asciiTheme="majorHAnsi" w:hAnsiTheme="majorHAnsi"/>
        </w:rPr>
        <w:t>nivolumab</w:t>
      </w:r>
      <w:proofErr w:type="spellEnd"/>
      <w:r w:rsidR="00981195" w:rsidRPr="00CB1845">
        <w:rPr>
          <w:rFonts w:asciiTheme="majorHAnsi" w:hAnsiTheme="majorHAnsi"/>
        </w:rPr>
        <w:t>-plus-</w:t>
      </w:r>
      <w:proofErr w:type="spellStart"/>
      <w:r w:rsidR="00981195" w:rsidRPr="00CB1845">
        <w:rPr>
          <w:rFonts w:asciiTheme="majorHAnsi" w:hAnsiTheme="majorHAnsi"/>
        </w:rPr>
        <w:t>ipilimumab</w:t>
      </w:r>
      <w:proofErr w:type="spellEnd"/>
      <w:r w:rsidR="00981195" w:rsidRPr="00CB1845">
        <w:rPr>
          <w:rFonts w:asciiTheme="majorHAnsi" w:hAnsiTheme="majorHAnsi"/>
        </w:rPr>
        <w:t>,</w:t>
      </w:r>
      <w:r w:rsidR="00CB1845" w:rsidRPr="00CB1845">
        <w:rPr>
          <w:rFonts w:asciiTheme="majorHAnsi" w:hAnsiTheme="majorHAnsi"/>
        </w:rPr>
        <w:t xml:space="preserve"> </w:t>
      </w:r>
      <w:r w:rsidR="00981195" w:rsidRPr="00CB1845">
        <w:rPr>
          <w:rFonts w:asciiTheme="majorHAnsi" w:hAnsiTheme="majorHAnsi"/>
        </w:rPr>
        <w:t xml:space="preserve">21% </w:t>
      </w:r>
      <w:r w:rsidR="00CB1845" w:rsidRPr="00CB1845">
        <w:rPr>
          <w:rFonts w:asciiTheme="majorHAnsi" w:hAnsiTheme="majorHAnsi"/>
        </w:rPr>
        <w:t>dans le groupe</w:t>
      </w:r>
      <w:r w:rsidR="00981195" w:rsidRPr="00CB1845">
        <w:rPr>
          <w:rFonts w:asciiTheme="majorHAnsi" w:hAnsiTheme="majorHAnsi"/>
        </w:rPr>
        <w:t xml:space="preserve"> </w:t>
      </w:r>
      <w:proofErr w:type="spellStart"/>
      <w:r w:rsidR="00981195" w:rsidRPr="00CB1845">
        <w:rPr>
          <w:rFonts w:asciiTheme="majorHAnsi" w:hAnsiTheme="majorHAnsi"/>
        </w:rPr>
        <w:t>nivolumab</w:t>
      </w:r>
      <w:proofErr w:type="spellEnd"/>
      <w:r w:rsidR="00981195" w:rsidRPr="00CB1845">
        <w:rPr>
          <w:rFonts w:asciiTheme="majorHAnsi" w:hAnsiTheme="majorHAnsi"/>
        </w:rPr>
        <w:t xml:space="preserve"> </w:t>
      </w:r>
      <w:r w:rsidR="00CB1845">
        <w:rPr>
          <w:rFonts w:asciiTheme="majorHAnsi" w:hAnsiTheme="majorHAnsi"/>
        </w:rPr>
        <w:t xml:space="preserve">et </w:t>
      </w:r>
      <w:r w:rsidR="00981195" w:rsidRPr="00CB1845">
        <w:rPr>
          <w:rFonts w:asciiTheme="majorHAnsi" w:hAnsiTheme="majorHAnsi"/>
        </w:rPr>
        <w:t xml:space="preserve">28% </w:t>
      </w:r>
      <w:r w:rsidR="00CB1845">
        <w:rPr>
          <w:rFonts w:asciiTheme="majorHAnsi" w:hAnsiTheme="majorHAnsi"/>
        </w:rPr>
        <w:t xml:space="preserve">dans le groupe </w:t>
      </w:r>
      <w:proofErr w:type="spellStart"/>
      <w:r w:rsidR="00CB1845">
        <w:rPr>
          <w:rFonts w:asciiTheme="majorHAnsi" w:hAnsiTheme="majorHAnsi"/>
        </w:rPr>
        <w:t>ipilimumab</w:t>
      </w:r>
      <w:proofErr w:type="spellEnd"/>
      <w:r w:rsidR="00981195" w:rsidRPr="00CB1845">
        <w:rPr>
          <w:rFonts w:asciiTheme="majorHAnsi" w:hAnsiTheme="majorHAnsi"/>
        </w:rPr>
        <w:t>.</w:t>
      </w:r>
      <w:r w:rsidR="00CB1845" w:rsidRPr="00CB1845">
        <w:t xml:space="preserve"> </w:t>
      </w:r>
      <w:r w:rsidR="00CB1845">
        <w:t>Lorsque l’on regardait spécifiquement les patients avec mutation BRAF, la médian</w:t>
      </w:r>
      <w:r w:rsidR="003B2FDD">
        <w:t>e</w:t>
      </w:r>
      <w:r w:rsidR="00CB1845">
        <w:t xml:space="preserve"> de survie globale n’était pas atteinte que ce soit dans le groupe </w:t>
      </w:r>
      <w:proofErr w:type="spellStart"/>
      <w:r w:rsidR="00CB1845">
        <w:t>Nivolumab</w:t>
      </w:r>
      <w:proofErr w:type="spellEnd"/>
      <w:r w:rsidR="00CB1845">
        <w:t xml:space="preserve"> + </w:t>
      </w:r>
      <w:proofErr w:type="spellStart"/>
      <w:r w:rsidR="00CB1845">
        <w:t>ipi</w:t>
      </w:r>
      <w:r w:rsidR="003B2FDD">
        <w:t>lumab</w:t>
      </w:r>
      <w:proofErr w:type="spellEnd"/>
      <w:r w:rsidR="00CB1845">
        <w:t xml:space="preserve"> ou le groupe </w:t>
      </w:r>
      <w:proofErr w:type="spellStart"/>
      <w:r w:rsidR="00CB1845">
        <w:t>nivolumab</w:t>
      </w:r>
      <w:proofErr w:type="spellEnd"/>
      <w:r w:rsidR="00CB1845">
        <w:t xml:space="preserve"> seul </w:t>
      </w:r>
      <w:proofErr w:type="gramStart"/>
      <w:r w:rsidR="00CB1845">
        <w:t>( avec</w:t>
      </w:r>
      <w:proofErr w:type="gramEnd"/>
      <w:r w:rsidR="00CB1845">
        <w:t xml:space="preserve"> une survie à 3 ans de </w:t>
      </w:r>
      <w:r w:rsidR="00CB1845" w:rsidRPr="00CB1845">
        <w:t xml:space="preserve">68% </w:t>
      </w:r>
      <w:r w:rsidR="00CB1845">
        <w:t>dans groupe</w:t>
      </w:r>
      <w:r w:rsidR="00CB1845" w:rsidRPr="00CB1845">
        <w:t xml:space="preserve"> </w:t>
      </w:r>
      <w:proofErr w:type="spellStart"/>
      <w:r w:rsidR="00CB1845" w:rsidRPr="00CB1845">
        <w:t>nivolumab</w:t>
      </w:r>
      <w:proofErr w:type="spellEnd"/>
      <w:r w:rsidR="00CB1845" w:rsidRPr="00CB1845">
        <w:t>-plus-</w:t>
      </w:r>
      <w:proofErr w:type="spellStart"/>
      <w:r w:rsidR="00CB1845" w:rsidRPr="00CB1845">
        <w:t>ipilimumab</w:t>
      </w:r>
      <w:proofErr w:type="spellEnd"/>
      <w:r w:rsidR="00CB1845" w:rsidRPr="00CB1845">
        <w:t xml:space="preserve"> </w:t>
      </w:r>
      <w:r w:rsidR="00CB1845">
        <w:t xml:space="preserve">et </w:t>
      </w:r>
      <w:r w:rsidR="00CB1845" w:rsidRPr="00CB1845">
        <w:t xml:space="preserve"> 56% </w:t>
      </w:r>
      <w:r w:rsidR="00CB1845">
        <w:t xml:space="preserve">dans groupe </w:t>
      </w:r>
      <w:proofErr w:type="spellStart"/>
      <w:r w:rsidR="00CB1845">
        <w:t>nivolumab</w:t>
      </w:r>
      <w:proofErr w:type="spellEnd"/>
      <w:r w:rsidR="00CB1845">
        <w:t>).</w:t>
      </w:r>
    </w:p>
    <w:p w14:paraId="05171313" w14:textId="451460AB" w:rsidR="00CB1845" w:rsidRDefault="00CB1845" w:rsidP="00981195">
      <w:pPr>
        <w:jc w:val="both"/>
      </w:pPr>
      <w:r>
        <w:t xml:space="preserve">Le </w:t>
      </w:r>
      <w:proofErr w:type="spellStart"/>
      <w:r>
        <w:t>Nivolumab</w:t>
      </w:r>
      <w:proofErr w:type="spellEnd"/>
      <w:r>
        <w:t xml:space="preserve"> semblait plus efficace s’il existait un niveau faible d’expression de PDL1 dans la tumeur. </w:t>
      </w:r>
    </w:p>
    <w:p w14:paraId="39CD6593" w14:textId="17BE8FFF" w:rsidR="00CB1845" w:rsidRDefault="00CB1845" w:rsidP="00981195">
      <w:pPr>
        <w:jc w:val="both"/>
      </w:pPr>
    </w:p>
    <w:p w14:paraId="04A6EA14" w14:textId="767B9655" w:rsidR="00CB1845" w:rsidRPr="003B2FDD" w:rsidRDefault="00CB1845" w:rsidP="00981195">
      <w:pPr>
        <w:jc w:val="both"/>
        <w:rPr>
          <w:color w:val="365F91" w:themeColor="accent1" w:themeShade="BF"/>
        </w:rPr>
      </w:pPr>
      <w:r w:rsidRPr="003B2FDD">
        <w:rPr>
          <w:color w:val="365F91" w:themeColor="accent1" w:themeShade="BF"/>
        </w:rPr>
        <w:t>Conclusion</w:t>
      </w:r>
    </w:p>
    <w:p w14:paraId="7E433B3A" w14:textId="1B1FF7B7" w:rsidR="00CB1845" w:rsidRPr="00CB1845" w:rsidRDefault="00CB1845" w:rsidP="00981195">
      <w:pPr>
        <w:jc w:val="both"/>
        <w:rPr>
          <w:rFonts w:asciiTheme="majorHAnsi" w:hAnsiTheme="majorHAnsi"/>
        </w:rPr>
      </w:pPr>
      <w:r>
        <w:t xml:space="preserve">Chez les patients avec un mélanome avancé, la survie globale était plus importante lors d’une thérapie par </w:t>
      </w:r>
      <w:proofErr w:type="spellStart"/>
      <w:r>
        <w:t>Nivolumab</w:t>
      </w:r>
      <w:proofErr w:type="spellEnd"/>
      <w:r>
        <w:t xml:space="preserve"> + </w:t>
      </w:r>
      <w:proofErr w:type="spellStart"/>
      <w:r>
        <w:t>Ipilumab</w:t>
      </w:r>
      <w:proofErr w:type="spellEnd"/>
      <w:r>
        <w:t xml:space="preserve"> ou </w:t>
      </w:r>
      <w:proofErr w:type="spellStart"/>
      <w:r>
        <w:t>Nivolumab</w:t>
      </w:r>
      <w:proofErr w:type="spellEnd"/>
      <w:r>
        <w:t xml:space="preserve"> seul que </w:t>
      </w:r>
      <w:proofErr w:type="spellStart"/>
      <w:r>
        <w:t>Ipilumab</w:t>
      </w:r>
      <w:proofErr w:type="spellEnd"/>
      <w:r>
        <w:t xml:space="preserve">. </w:t>
      </w:r>
    </w:p>
    <w:p w14:paraId="201CC947" w14:textId="77777777" w:rsidR="00CB1845" w:rsidRPr="004522FD" w:rsidRDefault="00CB1845" w:rsidP="000249CB">
      <w:pPr>
        <w:jc w:val="both"/>
        <w:rPr>
          <w:rFonts w:asciiTheme="majorHAnsi" w:hAnsiTheme="majorHAnsi"/>
        </w:rPr>
      </w:pPr>
    </w:p>
    <w:p w14:paraId="573597D7" w14:textId="77777777" w:rsidR="00CB1845" w:rsidRPr="004522FD" w:rsidRDefault="00CB1845" w:rsidP="000249CB">
      <w:pPr>
        <w:jc w:val="both"/>
        <w:rPr>
          <w:rFonts w:asciiTheme="majorHAnsi" w:hAnsiTheme="majorHAnsi"/>
        </w:rPr>
      </w:pPr>
    </w:p>
    <w:p w14:paraId="4FB5FC31" w14:textId="17629200" w:rsidR="000249CB" w:rsidRPr="00A73B7B" w:rsidRDefault="00A73B7B" w:rsidP="000249CB">
      <w:pPr>
        <w:jc w:val="both"/>
        <w:rPr>
          <w:rFonts w:asciiTheme="majorHAnsi" w:hAnsiTheme="majorHAnsi"/>
          <w:b/>
          <w:color w:val="17365D" w:themeColor="text2" w:themeShade="BF"/>
          <w:sz w:val="28"/>
          <w:szCs w:val="28"/>
          <w:lang w:val="en-GB"/>
        </w:rPr>
      </w:pPr>
      <w:bookmarkStart w:id="0" w:name="_GoBack"/>
      <w:r w:rsidRPr="00A73B7B">
        <w:rPr>
          <w:rFonts w:asciiTheme="majorHAnsi" w:hAnsiTheme="majorHAnsi"/>
          <w:b/>
          <w:color w:val="17365D" w:themeColor="text2" w:themeShade="BF"/>
          <w:sz w:val="28"/>
          <w:szCs w:val="28"/>
          <w:lang w:val="en-GB"/>
        </w:rPr>
        <w:t>RHUMATOLOGIE</w:t>
      </w:r>
    </w:p>
    <w:bookmarkEnd w:id="0"/>
    <w:p w14:paraId="0EB85CC4" w14:textId="77777777" w:rsidR="000249CB" w:rsidRPr="000249CB" w:rsidRDefault="000249CB" w:rsidP="000249CB">
      <w:pPr>
        <w:jc w:val="both"/>
        <w:rPr>
          <w:rFonts w:asciiTheme="majorHAnsi" w:hAnsiTheme="majorHAnsi"/>
          <w:lang w:val="en-GB"/>
        </w:rPr>
      </w:pPr>
    </w:p>
    <w:p w14:paraId="51CB8473" w14:textId="77777777" w:rsidR="000249CB" w:rsidRPr="00865746" w:rsidRDefault="000249CB" w:rsidP="000249CB">
      <w:pPr>
        <w:jc w:val="both"/>
        <w:rPr>
          <w:rFonts w:asciiTheme="majorHAnsi" w:hAnsiTheme="majorHAnsi"/>
          <w:b/>
          <w:color w:val="365F91" w:themeColor="accent1" w:themeShade="BF"/>
          <w:lang w:val="en-GB"/>
        </w:rPr>
      </w:pPr>
      <w:proofErr w:type="spellStart"/>
      <w:r w:rsidRPr="00865746">
        <w:rPr>
          <w:rFonts w:asciiTheme="majorHAnsi" w:hAnsiTheme="majorHAnsi"/>
          <w:b/>
          <w:color w:val="365F91" w:themeColor="accent1" w:themeShade="BF"/>
          <w:lang w:val="en-GB"/>
        </w:rPr>
        <w:t>Romosozumab</w:t>
      </w:r>
      <w:proofErr w:type="spellEnd"/>
      <w:r w:rsidRPr="00865746">
        <w:rPr>
          <w:rFonts w:asciiTheme="majorHAnsi" w:hAnsiTheme="majorHAnsi"/>
          <w:b/>
          <w:color w:val="365F91" w:themeColor="accent1" w:themeShade="BF"/>
          <w:lang w:val="en-GB"/>
        </w:rPr>
        <w:t xml:space="preserve"> or Alendronate for Fracture Prevention in Women with Osteoporosis   </w:t>
      </w:r>
    </w:p>
    <w:p w14:paraId="07A500EE" w14:textId="45081DD8" w:rsidR="000249CB" w:rsidRPr="004522FD" w:rsidRDefault="00865746" w:rsidP="000249CB">
      <w:pPr>
        <w:jc w:val="both"/>
        <w:rPr>
          <w:rFonts w:asciiTheme="majorHAnsi" w:hAnsiTheme="majorHAnsi"/>
        </w:rPr>
      </w:pPr>
      <w:r w:rsidRPr="004522FD">
        <w:rPr>
          <w:rFonts w:asciiTheme="majorHAnsi" w:hAnsiTheme="majorHAnsi"/>
        </w:rPr>
        <w:t xml:space="preserve">K.G. </w:t>
      </w:r>
      <w:proofErr w:type="spellStart"/>
      <w:r w:rsidRPr="004522FD">
        <w:rPr>
          <w:rFonts w:asciiTheme="majorHAnsi" w:hAnsiTheme="majorHAnsi"/>
        </w:rPr>
        <w:t>Saag</w:t>
      </w:r>
      <w:proofErr w:type="spellEnd"/>
      <w:r w:rsidRPr="004522FD">
        <w:rPr>
          <w:rFonts w:asciiTheme="majorHAnsi" w:hAnsiTheme="majorHAnsi"/>
        </w:rPr>
        <w:t>, NEJM</w:t>
      </w:r>
    </w:p>
    <w:p w14:paraId="636DC49A" w14:textId="281A5838" w:rsidR="00865746" w:rsidRPr="004522FD" w:rsidRDefault="00A73B7B" w:rsidP="00A73B7B">
      <w:pPr>
        <w:jc w:val="both"/>
        <w:rPr>
          <w:rFonts w:asciiTheme="majorHAnsi" w:hAnsiTheme="majorHAnsi"/>
        </w:rPr>
      </w:pPr>
      <w:hyperlink r:id="rId26" w:history="1">
        <w:r w:rsidRPr="00A73B7B">
          <w:rPr>
            <w:rStyle w:val="Lienhypertexte"/>
            <w:rFonts w:asciiTheme="majorHAnsi" w:hAnsiTheme="majorHAnsi"/>
          </w:rPr>
          <w:t>https://www.ncbi.nlm.nih.gov/pubmed/28892457</w:t>
        </w:r>
      </w:hyperlink>
    </w:p>
    <w:p w14:paraId="30BD79B6" w14:textId="77777777" w:rsidR="00A73B7B" w:rsidRDefault="00A73B7B" w:rsidP="00865746">
      <w:pPr>
        <w:jc w:val="both"/>
        <w:rPr>
          <w:rFonts w:asciiTheme="majorHAnsi" w:hAnsiTheme="majorHAnsi"/>
          <w:color w:val="365F91" w:themeColor="accent1" w:themeShade="BF"/>
        </w:rPr>
      </w:pPr>
    </w:p>
    <w:p w14:paraId="5364091E" w14:textId="15B736C9" w:rsidR="002C3164" w:rsidRDefault="00865746" w:rsidP="00865746">
      <w:pPr>
        <w:jc w:val="both"/>
        <w:rPr>
          <w:rFonts w:asciiTheme="majorHAnsi" w:hAnsiTheme="majorHAnsi"/>
        </w:rPr>
      </w:pPr>
      <w:r w:rsidRPr="002C3164">
        <w:rPr>
          <w:rFonts w:asciiTheme="majorHAnsi" w:hAnsiTheme="majorHAnsi"/>
          <w:color w:val="365F91" w:themeColor="accent1" w:themeShade="BF"/>
        </w:rPr>
        <w:t xml:space="preserve">Introduction </w:t>
      </w:r>
    </w:p>
    <w:p w14:paraId="68CA8B21" w14:textId="77777777" w:rsidR="002C3164" w:rsidRDefault="00865746" w:rsidP="00865746">
      <w:pPr>
        <w:jc w:val="both"/>
        <w:rPr>
          <w:rFonts w:asciiTheme="majorHAnsi" w:hAnsiTheme="majorHAnsi"/>
        </w:rPr>
      </w:pPr>
      <w:r w:rsidRPr="00865746">
        <w:rPr>
          <w:rFonts w:asciiTheme="majorHAnsi" w:hAnsiTheme="majorHAnsi"/>
        </w:rPr>
        <w:t xml:space="preserve">Le </w:t>
      </w:r>
      <w:proofErr w:type="spellStart"/>
      <w:r w:rsidRPr="00865746">
        <w:rPr>
          <w:rFonts w:asciiTheme="majorHAnsi" w:hAnsiTheme="majorHAnsi"/>
        </w:rPr>
        <w:t>Romosozumab</w:t>
      </w:r>
      <w:proofErr w:type="spellEnd"/>
      <w:r w:rsidRPr="00865746">
        <w:rPr>
          <w:rFonts w:asciiTheme="majorHAnsi" w:hAnsiTheme="majorHAnsi"/>
        </w:rPr>
        <w:t xml:space="preserve"> est un anticorps monoclonal qui lie et inhibe la </w:t>
      </w:r>
      <w:proofErr w:type="spellStart"/>
      <w:r w:rsidRPr="00865746">
        <w:rPr>
          <w:rFonts w:asciiTheme="majorHAnsi" w:hAnsiTheme="majorHAnsi"/>
        </w:rPr>
        <w:t>sclerostin</w:t>
      </w:r>
      <w:r w:rsidR="002C3164">
        <w:rPr>
          <w:rFonts w:asciiTheme="majorHAnsi" w:hAnsiTheme="majorHAnsi"/>
        </w:rPr>
        <w:t>e</w:t>
      </w:r>
      <w:proofErr w:type="spellEnd"/>
      <w:r w:rsidRPr="00865746">
        <w:rPr>
          <w:rFonts w:asciiTheme="majorHAnsi" w:hAnsiTheme="majorHAnsi"/>
        </w:rPr>
        <w:t xml:space="preserve">, augmente la formation osseuse et diminue la </w:t>
      </w:r>
      <w:r w:rsidR="002C3164" w:rsidRPr="00865746">
        <w:rPr>
          <w:rFonts w:asciiTheme="majorHAnsi" w:hAnsiTheme="majorHAnsi"/>
        </w:rPr>
        <w:t>résorption</w:t>
      </w:r>
      <w:r w:rsidRPr="00865746">
        <w:rPr>
          <w:rFonts w:asciiTheme="majorHAnsi" w:hAnsiTheme="majorHAnsi"/>
        </w:rPr>
        <w:t xml:space="preserve"> osseuse.</w:t>
      </w:r>
      <w:r>
        <w:rPr>
          <w:rFonts w:asciiTheme="majorHAnsi" w:hAnsiTheme="majorHAnsi"/>
        </w:rPr>
        <w:t xml:space="preserve"> </w:t>
      </w:r>
    </w:p>
    <w:p w14:paraId="00EC1D2B" w14:textId="7DB0200D" w:rsidR="00865746" w:rsidRDefault="00865746" w:rsidP="00865746">
      <w:pPr>
        <w:jc w:val="both"/>
        <w:rPr>
          <w:rFonts w:asciiTheme="majorHAnsi" w:hAnsiTheme="majorHAnsi"/>
        </w:rPr>
      </w:pPr>
      <w:r w:rsidRPr="00865746">
        <w:rPr>
          <w:rFonts w:asciiTheme="majorHAnsi" w:hAnsiTheme="majorHAnsi"/>
        </w:rPr>
        <w:t xml:space="preserve">L’objectif de l’étude : Vérifier l’efficacité du </w:t>
      </w:r>
      <w:proofErr w:type="spellStart"/>
      <w:r w:rsidRPr="00865746">
        <w:rPr>
          <w:rFonts w:asciiTheme="majorHAnsi" w:hAnsiTheme="majorHAnsi"/>
        </w:rPr>
        <w:t>Romosozumab</w:t>
      </w:r>
      <w:proofErr w:type="spellEnd"/>
      <w:r w:rsidRPr="00865746">
        <w:rPr>
          <w:rFonts w:asciiTheme="majorHAnsi" w:hAnsiTheme="majorHAnsi"/>
        </w:rPr>
        <w:t xml:space="preserve"> comme traitement prophylactique des fractures osseuses chez les patients présentant une ostéoporose.</w:t>
      </w:r>
      <w:r>
        <w:rPr>
          <w:rFonts w:asciiTheme="majorHAnsi" w:hAnsiTheme="majorHAnsi"/>
        </w:rPr>
        <w:t xml:space="preserve"> </w:t>
      </w:r>
    </w:p>
    <w:p w14:paraId="788DACE3" w14:textId="77777777" w:rsidR="00865746" w:rsidRDefault="00865746" w:rsidP="00865746">
      <w:pPr>
        <w:jc w:val="both"/>
        <w:rPr>
          <w:rFonts w:asciiTheme="majorHAnsi" w:hAnsiTheme="majorHAnsi"/>
        </w:rPr>
      </w:pPr>
    </w:p>
    <w:p w14:paraId="35695000" w14:textId="77777777" w:rsidR="00865746" w:rsidRPr="002C3164" w:rsidRDefault="00865746" w:rsidP="00865746">
      <w:pPr>
        <w:jc w:val="both"/>
        <w:rPr>
          <w:rFonts w:asciiTheme="majorHAnsi" w:hAnsiTheme="majorHAnsi"/>
          <w:color w:val="365F91" w:themeColor="accent1" w:themeShade="BF"/>
        </w:rPr>
      </w:pPr>
      <w:r w:rsidRPr="002C3164">
        <w:rPr>
          <w:rFonts w:asciiTheme="majorHAnsi" w:hAnsiTheme="majorHAnsi"/>
          <w:color w:val="365F91" w:themeColor="accent1" w:themeShade="BF"/>
        </w:rPr>
        <w:t>Méthode</w:t>
      </w:r>
    </w:p>
    <w:p w14:paraId="3F383AA4" w14:textId="119F6BB9" w:rsidR="00865746" w:rsidRDefault="00865746" w:rsidP="00865746">
      <w:pPr>
        <w:jc w:val="both"/>
        <w:rPr>
          <w:rFonts w:asciiTheme="majorHAnsi" w:hAnsiTheme="majorHAnsi"/>
        </w:rPr>
      </w:pPr>
      <w:r w:rsidRPr="00865746">
        <w:rPr>
          <w:rFonts w:asciiTheme="majorHAnsi" w:hAnsiTheme="majorHAnsi"/>
        </w:rPr>
        <w:t xml:space="preserve">Etude randomisée, en double aveugle, de phase 3 </w:t>
      </w:r>
      <w:r w:rsidR="002C3164" w:rsidRPr="00865746">
        <w:rPr>
          <w:rFonts w:asciiTheme="majorHAnsi" w:hAnsiTheme="majorHAnsi"/>
        </w:rPr>
        <w:t>contrôlée</w:t>
      </w:r>
      <w:r w:rsidRPr="00865746">
        <w:rPr>
          <w:rFonts w:asciiTheme="majorHAnsi" w:hAnsiTheme="majorHAnsi"/>
        </w:rPr>
        <w:t xml:space="preserve"> contre </w:t>
      </w:r>
      <w:proofErr w:type="spellStart"/>
      <w:r w:rsidRPr="00865746">
        <w:rPr>
          <w:rFonts w:asciiTheme="majorHAnsi" w:hAnsiTheme="majorHAnsi"/>
        </w:rPr>
        <w:t>Alendronate</w:t>
      </w:r>
      <w:proofErr w:type="spellEnd"/>
      <w:r w:rsidRPr="00865746">
        <w:rPr>
          <w:rFonts w:asciiTheme="majorHAnsi" w:hAnsiTheme="majorHAnsi"/>
        </w:rPr>
        <w:t xml:space="preserve">, multicentrique, internationale. Au total, 4093 femme </w:t>
      </w:r>
      <w:r w:rsidR="002C3164">
        <w:rPr>
          <w:rFonts w:asciiTheme="majorHAnsi" w:hAnsiTheme="majorHAnsi"/>
        </w:rPr>
        <w:t>ménopausées</w:t>
      </w:r>
      <w:r w:rsidRPr="00865746">
        <w:rPr>
          <w:rFonts w:asciiTheme="majorHAnsi" w:hAnsiTheme="majorHAnsi"/>
        </w:rPr>
        <w:t xml:space="preserve"> furent inclues, présentant de l’ostéoporose et une fracture secondaire.</w:t>
      </w:r>
      <w:r>
        <w:rPr>
          <w:rFonts w:asciiTheme="majorHAnsi" w:hAnsiTheme="majorHAnsi"/>
        </w:rPr>
        <w:t xml:space="preserve"> </w:t>
      </w:r>
      <w:r w:rsidRPr="00865746">
        <w:rPr>
          <w:rFonts w:asciiTheme="majorHAnsi" w:hAnsiTheme="majorHAnsi"/>
        </w:rPr>
        <w:t xml:space="preserve">Les patientes étaient randomisées en 1 :1 et </w:t>
      </w:r>
      <w:r w:rsidRPr="00C43E86">
        <w:rPr>
          <w:rFonts w:asciiTheme="majorHAnsi" w:hAnsiTheme="majorHAnsi" w:cstheme="majorHAnsi"/>
        </w:rPr>
        <w:t xml:space="preserve">recevaient soit du </w:t>
      </w:r>
      <w:proofErr w:type="spellStart"/>
      <w:r w:rsidRPr="00C43E86">
        <w:rPr>
          <w:rFonts w:asciiTheme="majorHAnsi" w:hAnsiTheme="majorHAnsi" w:cstheme="majorHAnsi"/>
        </w:rPr>
        <w:t>Romozumab</w:t>
      </w:r>
      <w:proofErr w:type="spellEnd"/>
      <w:r w:rsidRPr="00C43E86">
        <w:rPr>
          <w:rFonts w:asciiTheme="majorHAnsi" w:hAnsiTheme="majorHAnsi" w:cstheme="majorHAnsi"/>
        </w:rPr>
        <w:t xml:space="preserve"> SC (210 mg)</w:t>
      </w:r>
      <w:r w:rsidR="00C43E86">
        <w:rPr>
          <w:rFonts w:asciiTheme="majorHAnsi" w:hAnsiTheme="majorHAnsi" w:cstheme="majorHAnsi"/>
        </w:rPr>
        <w:t xml:space="preserve"> </w:t>
      </w:r>
      <w:r w:rsidRPr="00C43E86">
        <w:rPr>
          <w:rFonts w:asciiTheme="majorHAnsi" w:hAnsiTheme="majorHAnsi" w:cstheme="majorHAnsi"/>
        </w:rPr>
        <w:t>une fois par mois, soi</w:t>
      </w:r>
      <w:r w:rsidR="00C43E86">
        <w:rPr>
          <w:rFonts w:asciiTheme="majorHAnsi" w:hAnsiTheme="majorHAnsi" w:cstheme="majorHAnsi"/>
        </w:rPr>
        <w:t>t</w:t>
      </w:r>
      <w:r w:rsidRPr="00C43E86">
        <w:rPr>
          <w:rFonts w:asciiTheme="majorHAnsi" w:hAnsiTheme="majorHAnsi" w:cstheme="majorHAnsi"/>
        </w:rPr>
        <w:t xml:space="preserve"> de l’</w:t>
      </w:r>
      <w:proofErr w:type="spellStart"/>
      <w:r w:rsidRPr="00C43E86">
        <w:rPr>
          <w:rFonts w:asciiTheme="majorHAnsi" w:hAnsiTheme="majorHAnsi" w:cstheme="majorHAnsi"/>
        </w:rPr>
        <w:t>alendronate</w:t>
      </w:r>
      <w:proofErr w:type="spellEnd"/>
      <w:r w:rsidRPr="00C43E86">
        <w:rPr>
          <w:rFonts w:asciiTheme="majorHAnsi" w:hAnsiTheme="majorHAnsi" w:cstheme="majorHAnsi"/>
        </w:rPr>
        <w:t xml:space="preserve"> (70 mg) toutes les semaines pendant 12 mois. </w:t>
      </w:r>
      <w:r w:rsidR="00C43E86">
        <w:rPr>
          <w:rFonts w:asciiTheme="majorHAnsi" w:hAnsiTheme="majorHAnsi" w:cstheme="majorHAnsi"/>
        </w:rPr>
        <w:t xml:space="preserve">Un traitement par </w:t>
      </w:r>
      <w:proofErr w:type="spellStart"/>
      <w:r w:rsidR="00C43E86">
        <w:rPr>
          <w:rFonts w:asciiTheme="majorHAnsi" w:hAnsiTheme="majorHAnsi" w:cstheme="majorHAnsi"/>
        </w:rPr>
        <w:t>Alendronate</w:t>
      </w:r>
      <w:proofErr w:type="spellEnd"/>
      <w:r w:rsidR="00C43E86">
        <w:rPr>
          <w:rFonts w:asciiTheme="majorHAnsi" w:hAnsiTheme="majorHAnsi" w:cstheme="majorHAnsi"/>
        </w:rPr>
        <w:t xml:space="preserve"> était ensuite donné </w:t>
      </w:r>
      <w:proofErr w:type="spellStart"/>
      <w:r w:rsidR="00C43E86">
        <w:rPr>
          <w:rFonts w:asciiTheme="majorHAnsi" w:hAnsiTheme="majorHAnsi" w:cstheme="majorHAnsi"/>
        </w:rPr>
        <w:t>quelque</w:t>
      </w:r>
      <w:proofErr w:type="spellEnd"/>
      <w:r w:rsidR="00C43E86">
        <w:rPr>
          <w:rFonts w:asciiTheme="majorHAnsi" w:hAnsiTheme="majorHAnsi" w:cstheme="majorHAnsi"/>
        </w:rPr>
        <w:t xml:space="preserve"> soit le groupe. </w:t>
      </w:r>
      <w:r w:rsidRPr="00C43E86">
        <w:rPr>
          <w:rFonts w:asciiTheme="majorHAnsi" w:hAnsiTheme="majorHAnsi" w:cstheme="majorHAnsi"/>
        </w:rPr>
        <w:t>Critères inclusion : femme ménopausée de 55</w:t>
      </w:r>
      <w:r w:rsidR="00C43E86" w:rsidRPr="00C43E86">
        <w:rPr>
          <w:rFonts w:asciiTheme="majorHAnsi" w:hAnsiTheme="majorHAnsi" w:cstheme="majorHAnsi"/>
        </w:rPr>
        <w:t xml:space="preserve"> </w:t>
      </w:r>
      <w:r w:rsidRPr="00C43E86">
        <w:rPr>
          <w:rFonts w:asciiTheme="majorHAnsi" w:hAnsiTheme="majorHAnsi" w:cstheme="majorHAnsi"/>
        </w:rPr>
        <w:t>à</w:t>
      </w:r>
      <w:r w:rsidR="00C43E86" w:rsidRPr="00C43E86">
        <w:rPr>
          <w:rFonts w:asciiTheme="majorHAnsi" w:hAnsiTheme="majorHAnsi" w:cstheme="majorHAnsi"/>
        </w:rPr>
        <w:t xml:space="preserve"> </w:t>
      </w:r>
      <w:r w:rsidRPr="00C43E86">
        <w:rPr>
          <w:rFonts w:asciiTheme="majorHAnsi" w:hAnsiTheme="majorHAnsi" w:cstheme="majorHAnsi"/>
        </w:rPr>
        <w:t xml:space="preserve">90 ans avec T score à </w:t>
      </w:r>
      <w:r w:rsidR="00C43E86" w:rsidRPr="00C43E86">
        <w:rPr>
          <w:rFonts w:asciiTheme="majorHAnsi" w:hAnsiTheme="majorHAnsi" w:cstheme="majorHAnsi"/>
        </w:rPr>
        <w:t>moins</w:t>
      </w:r>
      <w:r w:rsidRPr="00C43E86">
        <w:rPr>
          <w:rFonts w:asciiTheme="majorHAnsi" w:hAnsiTheme="majorHAnsi" w:cstheme="majorHAnsi"/>
        </w:rPr>
        <w:t xml:space="preserve"> de -2.5 au niveau cervical ou </w:t>
      </w:r>
      <w:r w:rsidR="00C43E86" w:rsidRPr="00C43E86">
        <w:rPr>
          <w:rFonts w:asciiTheme="majorHAnsi" w:hAnsiTheme="majorHAnsi" w:cstheme="majorHAnsi"/>
        </w:rPr>
        <w:t>vertébral</w:t>
      </w:r>
      <w:r w:rsidRPr="00C43E86">
        <w:rPr>
          <w:rFonts w:asciiTheme="majorHAnsi" w:hAnsiTheme="majorHAnsi" w:cstheme="majorHAnsi"/>
        </w:rPr>
        <w:t xml:space="preserve"> </w:t>
      </w:r>
      <w:r w:rsidR="00C43E86" w:rsidRPr="00C43E86">
        <w:rPr>
          <w:rFonts w:asciiTheme="majorHAnsi" w:hAnsiTheme="majorHAnsi" w:cstheme="majorHAnsi"/>
        </w:rPr>
        <w:t xml:space="preserve">et avec une fracture modérée ou sévère </w:t>
      </w:r>
      <w:r w:rsidR="00C43E86" w:rsidRPr="00C43E86">
        <w:rPr>
          <w:rFonts w:asciiTheme="majorHAnsi" w:hAnsiTheme="majorHAnsi" w:cstheme="majorHAnsi"/>
        </w:rPr>
        <w:lastRenderedPageBreak/>
        <w:t>vertébrale/ 2 minimes vertébrales, ou, un T score entre -2 et -2.5 et &gt; 2 fractures vertébrales sévères/modérées et/ou fracture du col avec immobilisation de plus de 3 mois.</w:t>
      </w:r>
      <w:r w:rsidR="00C43E86">
        <w:rPr>
          <w:rFonts w:asciiTheme="majorHAnsi" w:hAnsiTheme="majorHAnsi" w:cstheme="majorHAnsi"/>
        </w:rPr>
        <w:t xml:space="preserve"> </w:t>
      </w:r>
      <w:r w:rsidR="00C43E86" w:rsidRPr="00C43E86">
        <w:rPr>
          <w:rFonts w:asciiTheme="majorHAnsi" w:hAnsiTheme="majorHAnsi" w:cstheme="majorHAnsi"/>
        </w:rPr>
        <w:t xml:space="preserve">Critères exclusion : traitement par </w:t>
      </w:r>
      <w:proofErr w:type="spellStart"/>
      <w:r w:rsidR="00C43E86" w:rsidRPr="00C43E86">
        <w:rPr>
          <w:rFonts w:asciiTheme="majorHAnsi" w:hAnsiTheme="majorHAnsi" w:cstheme="majorHAnsi"/>
        </w:rPr>
        <w:t>alendronate</w:t>
      </w:r>
      <w:proofErr w:type="spellEnd"/>
      <w:r w:rsidR="00C43E86" w:rsidRPr="00C43E86">
        <w:rPr>
          <w:rFonts w:asciiTheme="majorHAnsi" w:hAnsiTheme="majorHAnsi" w:cstheme="majorHAnsi"/>
        </w:rPr>
        <w:t xml:space="preserve"> les 5 </w:t>
      </w:r>
      <w:r w:rsidR="002C3164" w:rsidRPr="00C43E86">
        <w:rPr>
          <w:rFonts w:asciiTheme="majorHAnsi" w:hAnsiTheme="majorHAnsi" w:cstheme="majorHAnsi"/>
        </w:rPr>
        <w:t>dernières</w:t>
      </w:r>
      <w:r w:rsidR="00C43E86" w:rsidRPr="00C43E86">
        <w:rPr>
          <w:rFonts w:asciiTheme="majorHAnsi" w:hAnsiTheme="majorHAnsi" w:cstheme="majorHAnsi"/>
        </w:rPr>
        <w:t xml:space="preserve"> années, DFG &lt; 35ml/min/1.73m2</w:t>
      </w:r>
      <w:r w:rsidRPr="00C43E86">
        <w:rPr>
          <w:rFonts w:asciiTheme="majorHAnsi" w:hAnsiTheme="majorHAnsi" w:cstheme="majorHAnsi"/>
        </w:rPr>
        <w:t>. Les</w:t>
      </w:r>
      <w:r w:rsidRPr="00C43E86">
        <w:rPr>
          <w:rFonts w:asciiTheme="majorHAnsi" w:hAnsiTheme="majorHAnsi"/>
        </w:rPr>
        <w:t xml:space="preserve"> critères de jugement principaux étaient l’incidence cumulée de fracture vertébrale à 24 mois et l’incidence cumulée </w:t>
      </w:r>
      <w:r w:rsidR="00C43E86">
        <w:rPr>
          <w:rFonts w:asciiTheme="majorHAnsi" w:hAnsiTheme="majorHAnsi"/>
        </w:rPr>
        <w:t>de fracture clinique (</w:t>
      </w:r>
      <w:r w:rsidRPr="00C43E86">
        <w:rPr>
          <w:rFonts w:asciiTheme="majorHAnsi" w:hAnsiTheme="majorHAnsi"/>
        </w:rPr>
        <w:t xml:space="preserve">non vertébrale et vertébrale symptomatique). </w:t>
      </w:r>
      <w:r>
        <w:rPr>
          <w:rFonts w:asciiTheme="majorHAnsi" w:hAnsiTheme="majorHAnsi"/>
        </w:rPr>
        <w:t xml:space="preserve">Les critères secondaires de jugement étaient l’incidence de fracture de hanche et vertébrale. </w:t>
      </w:r>
    </w:p>
    <w:p w14:paraId="237DE021" w14:textId="440ACCD0" w:rsidR="00865746" w:rsidRPr="00865746" w:rsidRDefault="00865746" w:rsidP="00865746">
      <w:pPr>
        <w:jc w:val="both"/>
        <w:rPr>
          <w:rFonts w:asciiTheme="majorHAnsi" w:hAnsiTheme="majorHAnsi"/>
        </w:rPr>
      </w:pPr>
      <w:r>
        <w:rPr>
          <w:rFonts w:asciiTheme="majorHAnsi" w:hAnsiTheme="majorHAnsi"/>
        </w:rPr>
        <w:br/>
      </w:r>
      <w:r w:rsidR="002C3164">
        <w:rPr>
          <w:rFonts w:asciiTheme="majorHAnsi" w:hAnsiTheme="majorHAnsi"/>
          <w:color w:val="365F91" w:themeColor="accent1" w:themeShade="BF"/>
        </w:rPr>
        <w:t>Résultats</w:t>
      </w:r>
    </w:p>
    <w:p w14:paraId="62853B36" w14:textId="6D60321C" w:rsidR="00C43E86" w:rsidRPr="002C3164" w:rsidRDefault="00C43E86" w:rsidP="00C43E86">
      <w:pPr>
        <w:jc w:val="both"/>
        <w:rPr>
          <w:rFonts w:asciiTheme="majorHAnsi" w:hAnsiTheme="majorHAnsi"/>
        </w:rPr>
      </w:pPr>
      <w:r w:rsidRPr="00C43E86">
        <w:rPr>
          <w:rFonts w:asciiTheme="majorHAnsi" w:hAnsiTheme="majorHAnsi"/>
        </w:rPr>
        <w:t>Sur une période de 24 m</w:t>
      </w:r>
      <w:r w:rsidR="002C3164">
        <w:rPr>
          <w:rFonts w:asciiTheme="majorHAnsi" w:hAnsiTheme="majorHAnsi"/>
        </w:rPr>
        <w:t>o</w:t>
      </w:r>
      <w:r w:rsidRPr="00C43E86">
        <w:rPr>
          <w:rFonts w:asciiTheme="majorHAnsi" w:hAnsiTheme="majorHAnsi"/>
        </w:rPr>
        <w:t>is, une diminution</w:t>
      </w:r>
      <w:r>
        <w:rPr>
          <w:rFonts w:asciiTheme="majorHAnsi" w:hAnsiTheme="majorHAnsi"/>
        </w:rPr>
        <w:t xml:space="preserve"> </w:t>
      </w:r>
      <w:r w:rsidRPr="00C43E86">
        <w:rPr>
          <w:rFonts w:asciiTheme="majorHAnsi" w:hAnsiTheme="majorHAnsi"/>
        </w:rPr>
        <w:t xml:space="preserve">du </w:t>
      </w:r>
      <w:r>
        <w:rPr>
          <w:rFonts w:asciiTheme="majorHAnsi" w:hAnsiTheme="majorHAnsi"/>
        </w:rPr>
        <w:t>risque</w:t>
      </w:r>
      <w:r w:rsidRPr="00C43E86">
        <w:rPr>
          <w:rFonts w:asciiTheme="majorHAnsi" w:hAnsiTheme="majorHAnsi"/>
        </w:rPr>
        <w:t xml:space="preserve"> de fracture de 48 % était observ</w:t>
      </w:r>
      <w:r>
        <w:rPr>
          <w:rFonts w:asciiTheme="majorHAnsi" w:hAnsiTheme="majorHAnsi"/>
        </w:rPr>
        <w:t>é</w:t>
      </w:r>
      <w:r w:rsidRPr="00C43E86">
        <w:rPr>
          <w:rFonts w:asciiTheme="majorHAnsi" w:hAnsiTheme="majorHAnsi"/>
        </w:rPr>
        <w:t xml:space="preserve"> dans le groupe </w:t>
      </w:r>
      <w:proofErr w:type="spellStart"/>
      <w:r>
        <w:rPr>
          <w:rFonts w:asciiTheme="majorHAnsi" w:hAnsiTheme="majorHAnsi"/>
        </w:rPr>
        <w:t>romosozumab</w:t>
      </w:r>
      <w:proofErr w:type="spellEnd"/>
      <w:r>
        <w:rPr>
          <w:rFonts w:asciiTheme="majorHAnsi" w:hAnsiTheme="majorHAnsi"/>
        </w:rPr>
        <w:t>-puis</w:t>
      </w:r>
      <w:r w:rsidR="00865746" w:rsidRPr="00C43E86">
        <w:rPr>
          <w:rFonts w:asciiTheme="majorHAnsi" w:hAnsiTheme="majorHAnsi"/>
        </w:rPr>
        <w:t>-</w:t>
      </w:r>
      <w:proofErr w:type="spellStart"/>
      <w:r w:rsidR="00865746" w:rsidRPr="00C43E86">
        <w:rPr>
          <w:rFonts w:asciiTheme="majorHAnsi" w:hAnsiTheme="majorHAnsi"/>
        </w:rPr>
        <w:t>alendronate</w:t>
      </w:r>
      <w:proofErr w:type="spellEnd"/>
      <w:r w:rsidR="00865746" w:rsidRPr="00C43E86">
        <w:rPr>
          <w:rFonts w:asciiTheme="majorHAnsi" w:hAnsiTheme="majorHAnsi"/>
        </w:rPr>
        <w:t xml:space="preserve"> (6.2% [127 </w:t>
      </w:r>
      <w:r>
        <w:rPr>
          <w:rFonts w:asciiTheme="majorHAnsi" w:hAnsiTheme="majorHAnsi"/>
        </w:rPr>
        <w:t>des</w:t>
      </w:r>
      <w:r w:rsidR="00865746" w:rsidRPr="00C43E86">
        <w:rPr>
          <w:rFonts w:asciiTheme="majorHAnsi" w:hAnsiTheme="majorHAnsi"/>
        </w:rPr>
        <w:t xml:space="preserve"> 2046 patients]) </w:t>
      </w:r>
      <w:r>
        <w:rPr>
          <w:rFonts w:asciiTheme="majorHAnsi" w:hAnsiTheme="majorHAnsi"/>
        </w:rPr>
        <w:t xml:space="preserve">versus </w:t>
      </w:r>
    </w:p>
    <w:p w14:paraId="577775B0" w14:textId="560209F7" w:rsidR="00865746" w:rsidRPr="00C43E86" w:rsidRDefault="00865746" w:rsidP="00865746">
      <w:pPr>
        <w:jc w:val="both"/>
        <w:rPr>
          <w:rFonts w:asciiTheme="majorHAnsi" w:hAnsiTheme="majorHAnsi"/>
        </w:rPr>
      </w:pPr>
      <w:r w:rsidRPr="00C43E86">
        <w:rPr>
          <w:rFonts w:asciiTheme="majorHAnsi" w:hAnsiTheme="majorHAnsi"/>
        </w:rPr>
        <w:t>11.9% [243 of 2047 patients])</w:t>
      </w:r>
      <w:r w:rsidR="00C43E86" w:rsidRPr="00C43E86">
        <w:rPr>
          <w:rFonts w:asciiTheme="majorHAnsi" w:hAnsiTheme="majorHAnsi"/>
        </w:rPr>
        <w:t xml:space="preserve"> dans le groupe </w:t>
      </w:r>
      <w:proofErr w:type="spellStart"/>
      <w:r w:rsidR="00C43E86" w:rsidRPr="00C43E86">
        <w:rPr>
          <w:rFonts w:asciiTheme="majorHAnsi" w:hAnsiTheme="majorHAnsi"/>
        </w:rPr>
        <w:t>Alendronate</w:t>
      </w:r>
      <w:proofErr w:type="spellEnd"/>
      <w:r w:rsidR="00C43E86" w:rsidRPr="00C43E86">
        <w:rPr>
          <w:rFonts w:asciiTheme="majorHAnsi" w:hAnsiTheme="majorHAnsi"/>
        </w:rPr>
        <w:t xml:space="preserve"> seul</w:t>
      </w:r>
      <w:r w:rsidRPr="00C43E86">
        <w:rPr>
          <w:rFonts w:asciiTheme="majorHAnsi" w:hAnsiTheme="majorHAnsi"/>
        </w:rPr>
        <w:t xml:space="preserve"> (P&lt;0.001). </w:t>
      </w:r>
      <w:r w:rsidR="00C43E86">
        <w:rPr>
          <w:rFonts w:asciiTheme="majorHAnsi" w:hAnsiTheme="majorHAnsi"/>
        </w:rPr>
        <w:t>Des fractures symptomatiques étaient retrouvée</w:t>
      </w:r>
      <w:r w:rsidR="002C3164">
        <w:rPr>
          <w:rFonts w:asciiTheme="majorHAnsi" w:hAnsiTheme="majorHAnsi"/>
        </w:rPr>
        <w:t>s</w:t>
      </w:r>
      <w:r w:rsidR="00C43E86">
        <w:rPr>
          <w:rFonts w:asciiTheme="majorHAnsi" w:hAnsiTheme="majorHAnsi"/>
        </w:rPr>
        <w:t xml:space="preserve"> chez 198 des </w:t>
      </w:r>
      <w:r w:rsidRPr="00C43E86">
        <w:rPr>
          <w:rFonts w:asciiTheme="majorHAnsi" w:hAnsiTheme="majorHAnsi"/>
        </w:rPr>
        <w:t xml:space="preserve">2046 patients (9.7%) </w:t>
      </w:r>
      <w:r w:rsidR="00C43E86">
        <w:rPr>
          <w:rFonts w:asciiTheme="majorHAnsi" w:hAnsiTheme="majorHAnsi"/>
        </w:rPr>
        <w:t xml:space="preserve">dans le groupe </w:t>
      </w:r>
      <w:proofErr w:type="spellStart"/>
      <w:r w:rsidR="00C43E86">
        <w:rPr>
          <w:rFonts w:asciiTheme="majorHAnsi" w:hAnsiTheme="majorHAnsi"/>
        </w:rPr>
        <w:t>romosozumab</w:t>
      </w:r>
      <w:proofErr w:type="spellEnd"/>
      <w:r w:rsidR="00C43E86">
        <w:rPr>
          <w:rFonts w:asciiTheme="majorHAnsi" w:hAnsiTheme="majorHAnsi"/>
        </w:rPr>
        <w:t>-suivi de</w:t>
      </w:r>
      <w:r w:rsidRPr="00C43E86">
        <w:rPr>
          <w:rFonts w:asciiTheme="majorHAnsi" w:hAnsiTheme="majorHAnsi"/>
        </w:rPr>
        <w:t>-</w:t>
      </w:r>
      <w:proofErr w:type="spellStart"/>
      <w:r w:rsidRPr="00C43E86">
        <w:rPr>
          <w:rFonts w:asciiTheme="majorHAnsi" w:hAnsiTheme="majorHAnsi"/>
        </w:rPr>
        <w:t>alendronate</w:t>
      </w:r>
      <w:proofErr w:type="spellEnd"/>
      <w:r w:rsidR="00C43E86">
        <w:rPr>
          <w:rFonts w:asciiTheme="majorHAnsi" w:hAnsiTheme="majorHAnsi"/>
        </w:rPr>
        <w:t xml:space="preserve"> </w:t>
      </w:r>
      <w:r w:rsidR="00C43E86" w:rsidRPr="00C43E86">
        <w:rPr>
          <w:rFonts w:asciiTheme="majorHAnsi" w:hAnsiTheme="majorHAnsi"/>
        </w:rPr>
        <w:t>versus 266 des</w:t>
      </w:r>
      <w:r w:rsidRPr="00C43E86">
        <w:rPr>
          <w:rFonts w:asciiTheme="majorHAnsi" w:hAnsiTheme="majorHAnsi"/>
        </w:rPr>
        <w:t xml:space="preserve"> 2047 patients (13.0%) </w:t>
      </w:r>
      <w:r w:rsidR="00C43E86">
        <w:rPr>
          <w:rFonts w:asciiTheme="majorHAnsi" w:hAnsiTheme="majorHAnsi"/>
        </w:rPr>
        <w:t>dans le groupe</w:t>
      </w:r>
      <w:r w:rsidRPr="00C43E86">
        <w:rPr>
          <w:rFonts w:asciiTheme="majorHAnsi" w:hAnsiTheme="majorHAnsi"/>
        </w:rPr>
        <w:t xml:space="preserve"> </w:t>
      </w:r>
      <w:proofErr w:type="spellStart"/>
      <w:r w:rsidRPr="00C43E86">
        <w:rPr>
          <w:rFonts w:asciiTheme="majorHAnsi" w:hAnsiTheme="majorHAnsi"/>
        </w:rPr>
        <w:t>alendronate</w:t>
      </w:r>
      <w:proofErr w:type="spellEnd"/>
      <w:r w:rsidR="00C43E86">
        <w:rPr>
          <w:rFonts w:asciiTheme="majorHAnsi" w:hAnsiTheme="majorHAnsi"/>
        </w:rPr>
        <w:t xml:space="preserve">, soit une </w:t>
      </w:r>
      <w:r w:rsidR="002C3164">
        <w:rPr>
          <w:rFonts w:asciiTheme="majorHAnsi" w:hAnsiTheme="majorHAnsi"/>
        </w:rPr>
        <w:t>diminution</w:t>
      </w:r>
      <w:r w:rsidR="00C43E86">
        <w:rPr>
          <w:rFonts w:asciiTheme="majorHAnsi" w:hAnsiTheme="majorHAnsi"/>
        </w:rPr>
        <w:t xml:space="preserve"> de 27 % du risque avec </w:t>
      </w:r>
      <w:proofErr w:type="spellStart"/>
      <w:r w:rsidR="00C43E86">
        <w:rPr>
          <w:rFonts w:asciiTheme="majorHAnsi" w:hAnsiTheme="majorHAnsi"/>
        </w:rPr>
        <w:t>Romosozumab</w:t>
      </w:r>
      <w:proofErr w:type="spellEnd"/>
      <w:r w:rsidR="00C43E86">
        <w:rPr>
          <w:rFonts w:asciiTheme="majorHAnsi" w:hAnsiTheme="majorHAnsi"/>
        </w:rPr>
        <w:t xml:space="preserve"> (</w:t>
      </w:r>
      <w:r w:rsidRPr="00C43E86">
        <w:rPr>
          <w:rFonts w:asciiTheme="majorHAnsi" w:hAnsiTheme="majorHAnsi"/>
        </w:rPr>
        <w:t xml:space="preserve">P&lt;0.001). </w:t>
      </w:r>
      <w:r w:rsidR="00C43E86">
        <w:rPr>
          <w:rFonts w:asciiTheme="majorHAnsi" w:hAnsiTheme="majorHAnsi"/>
        </w:rPr>
        <w:t xml:space="preserve">Le risque de fracture non vertébrale était diminué de 19% dans le groupe </w:t>
      </w:r>
      <w:proofErr w:type="spellStart"/>
      <w:r w:rsidRPr="00C43E86">
        <w:rPr>
          <w:rFonts w:asciiTheme="majorHAnsi" w:hAnsiTheme="majorHAnsi"/>
        </w:rPr>
        <w:t>romosozumab</w:t>
      </w:r>
      <w:proofErr w:type="spellEnd"/>
      <w:r w:rsidRPr="00C43E86">
        <w:rPr>
          <w:rFonts w:asciiTheme="majorHAnsi" w:hAnsiTheme="majorHAnsi"/>
        </w:rPr>
        <w:t>-</w:t>
      </w:r>
      <w:r w:rsidR="00C43E86">
        <w:rPr>
          <w:rFonts w:asciiTheme="majorHAnsi" w:hAnsiTheme="majorHAnsi"/>
        </w:rPr>
        <w:t>suivi de</w:t>
      </w:r>
      <w:r w:rsidRPr="00C43E86">
        <w:rPr>
          <w:rFonts w:asciiTheme="majorHAnsi" w:hAnsiTheme="majorHAnsi"/>
        </w:rPr>
        <w:t>-</w:t>
      </w:r>
      <w:proofErr w:type="spellStart"/>
      <w:r w:rsidRPr="00C43E86">
        <w:rPr>
          <w:rFonts w:asciiTheme="majorHAnsi" w:hAnsiTheme="majorHAnsi"/>
        </w:rPr>
        <w:t>alendronate</w:t>
      </w:r>
      <w:proofErr w:type="spellEnd"/>
      <w:r w:rsidRPr="00C43E86">
        <w:rPr>
          <w:rFonts w:asciiTheme="majorHAnsi" w:hAnsiTheme="majorHAnsi"/>
        </w:rPr>
        <w:t xml:space="preserve"> </w:t>
      </w:r>
      <w:r w:rsidR="00C43E86">
        <w:rPr>
          <w:rFonts w:asciiTheme="majorHAnsi" w:hAnsiTheme="majorHAnsi"/>
        </w:rPr>
        <w:t xml:space="preserve">par rapport au groupe </w:t>
      </w:r>
      <w:proofErr w:type="spellStart"/>
      <w:r w:rsidR="00C43E86">
        <w:rPr>
          <w:rFonts w:asciiTheme="majorHAnsi" w:hAnsiTheme="majorHAnsi"/>
        </w:rPr>
        <w:t>alendronate</w:t>
      </w:r>
      <w:proofErr w:type="spellEnd"/>
      <w:r w:rsidR="00C43E86">
        <w:rPr>
          <w:rFonts w:asciiTheme="majorHAnsi" w:hAnsiTheme="majorHAnsi"/>
        </w:rPr>
        <w:t xml:space="preserve"> seul </w:t>
      </w:r>
      <w:r w:rsidR="00C43E86" w:rsidRPr="00C43E86">
        <w:rPr>
          <w:rFonts w:asciiTheme="majorHAnsi" w:hAnsiTheme="majorHAnsi"/>
        </w:rPr>
        <w:t>(178 des</w:t>
      </w:r>
      <w:r w:rsidRPr="00C43E86">
        <w:rPr>
          <w:rFonts w:asciiTheme="majorHAnsi" w:hAnsiTheme="majorHAnsi"/>
        </w:rPr>
        <w:t xml:space="preserve"> 2046 patients [8.7%] vs. 217</w:t>
      </w:r>
    </w:p>
    <w:p w14:paraId="0C4E0722" w14:textId="1E219FFA" w:rsidR="00865746" w:rsidRPr="002C3164" w:rsidRDefault="002C3164" w:rsidP="00865746">
      <w:pPr>
        <w:jc w:val="both"/>
        <w:rPr>
          <w:rFonts w:asciiTheme="majorHAnsi" w:hAnsiTheme="majorHAnsi"/>
        </w:rPr>
      </w:pPr>
      <w:proofErr w:type="gramStart"/>
      <w:r w:rsidRPr="002C3164">
        <w:rPr>
          <w:rFonts w:asciiTheme="majorHAnsi" w:hAnsiTheme="majorHAnsi"/>
        </w:rPr>
        <w:t>des</w:t>
      </w:r>
      <w:proofErr w:type="gramEnd"/>
      <w:r w:rsidR="00865746" w:rsidRPr="002C3164">
        <w:rPr>
          <w:rFonts w:asciiTheme="majorHAnsi" w:hAnsiTheme="majorHAnsi"/>
        </w:rPr>
        <w:t xml:space="preserve"> 2047 patients [10.6%]; P=0.04), </w:t>
      </w:r>
      <w:r w:rsidRPr="002C3164">
        <w:rPr>
          <w:rFonts w:asciiTheme="majorHAnsi" w:hAnsiTheme="majorHAnsi"/>
        </w:rPr>
        <w:t xml:space="preserve">et le </w:t>
      </w:r>
      <w:r>
        <w:rPr>
          <w:rFonts w:asciiTheme="majorHAnsi" w:hAnsiTheme="majorHAnsi"/>
        </w:rPr>
        <w:t>risque</w:t>
      </w:r>
      <w:r w:rsidRPr="002C3164">
        <w:rPr>
          <w:rFonts w:asciiTheme="majorHAnsi" w:hAnsiTheme="majorHAnsi"/>
        </w:rPr>
        <w:t xml:space="preserve"> de fracture cervicale de </w:t>
      </w:r>
      <w:r w:rsidR="00865746" w:rsidRPr="002C3164">
        <w:rPr>
          <w:rFonts w:asciiTheme="majorHAnsi" w:hAnsiTheme="majorHAnsi"/>
        </w:rPr>
        <w:t>38%</w:t>
      </w:r>
      <w:r w:rsidRPr="002C3164">
        <w:rPr>
          <w:rFonts w:asciiTheme="majorHAnsi" w:hAnsiTheme="majorHAnsi"/>
        </w:rPr>
        <w:t xml:space="preserve"> (41 des</w:t>
      </w:r>
      <w:r>
        <w:rPr>
          <w:rFonts w:asciiTheme="majorHAnsi" w:hAnsiTheme="majorHAnsi"/>
        </w:rPr>
        <w:t xml:space="preserve"> 2046 patients [2.0%] vs. 66 des</w:t>
      </w:r>
      <w:r w:rsidR="00865746" w:rsidRPr="002C3164">
        <w:rPr>
          <w:rFonts w:asciiTheme="majorHAnsi" w:hAnsiTheme="majorHAnsi"/>
        </w:rPr>
        <w:t xml:space="preserve"> 2047 patients [3.2%]; P=0.02). </w:t>
      </w:r>
      <w:r w:rsidRPr="002C3164">
        <w:rPr>
          <w:rFonts w:asciiTheme="majorHAnsi" w:hAnsiTheme="majorHAnsi"/>
        </w:rPr>
        <w:t>Les effets indésirables étaient comparables dans les deux groups. Pendant la première année, le risqué cardiovas</w:t>
      </w:r>
      <w:r>
        <w:rPr>
          <w:rFonts w:asciiTheme="majorHAnsi" w:hAnsiTheme="majorHAnsi"/>
        </w:rPr>
        <w:t>c</w:t>
      </w:r>
      <w:r w:rsidRPr="002C3164">
        <w:rPr>
          <w:rFonts w:asciiTheme="majorHAnsi" w:hAnsiTheme="majorHAnsi"/>
        </w:rPr>
        <w:t xml:space="preserve">ulaire était plus important dans le groupe </w:t>
      </w:r>
      <w:proofErr w:type="spellStart"/>
      <w:r w:rsidRPr="002C3164">
        <w:rPr>
          <w:rFonts w:asciiTheme="majorHAnsi" w:hAnsiTheme="majorHAnsi"/>
        </w:rPr>
        <w:t>Romosozumab</w:t>
      </w:r>
      <w:proofErr w:type="spellEnd"/>
      <w:r w:rsidRPr="002C3164">
        <w:rPr>
          <w:rFonts w:asciiTheme="majorHAnsi" w:hAnsiTheme="majorHAnsi"/>
        </w:rPr>
        <w:t xml:space="preserve"> que dans le groupe </w:t>
      </w:r>
      <w:proofErr w:type="spellStart"/>
      <w:r w:rsidRPr="002C3164">
        <w:rPr>
          <w:rFonts w:asciiTheme="majorHAnsi" w:hAnsiTheme="majorHAnsi"/>
        </w:rPr>
        <w:t>Alendronate</w:t>
      </w:r>
      <w:proofErr w:type="spellEnd"/>
      <w:r w:rsidRPr="002C3164">
        <w:rPr>
          <w:rFonts w:asciiTheme="majorHAnsi" w:hAnsiTheme="majorHAnsi"/>
        </w:rPr>
        <w:t xml:space="preserve"> (50 des</w:t>
      </w:r>
      <w:r w:rsidR="00865746" w:rsidRPr="002C3164">
        <w:rPr>
          <w:rFonts w:asciiTheme="majorHAnsi" w:hAnsiTheme="majorHAnsi"/>
        </w:rPr>
        <w:t xml:space="preserve"> 2040 patients [2.5%] vs.</w:t>
      </w:r>
      <w:r>
        <w:rPr>
          <w:rFonts w:asciiTheme="majorHAnsi" w:hAnsiTheme="majorHAnsi"/>
        </w:rPr>
        <w:t xml:space="preserve"> </w:t>
      </w:r>
      <w:r w:rsidR="00865746" w:rsidRPr="002C3164">
        <w:rPr>
          <w:rFonts w:asciiTheme="majorHAnsi" w:hAnsiTheme="majorHAnsi"/>
        </w:rPr>
        <w:t xml:space="preserve">38 </w:t>
      </w:r>
      <w:r>
        <w:rPr>
          <w:rFonts w:asciiTheme="majorHAnsi" w:hAnsiTheme="majorHAnsi"/>
        </w:rPr>
        <w:t>des</w:t>
      </w:r>
      <w:r w:rsidR="00865746" w:rsidRPr="002C3164">
        <w:rPr>
          <w:rFonts w:asciiTheme="majorHAnsi" w:hAnsiTheme="majorHAnsi"/>
        </w:rPr>
        <w:t xml:space="preserve"> 2014 patients [1.9%]</w:t>
      </w:r>
      <w:r>
        <w:rPr>
          <w:rFonts w:asciiTheme="majorHAnsi" w:hAnsiTheme="majorHAnsi"/>
        </w:rPr>
        <w:t xml:space="preserve"> avec une majoration du nombre d’IDM et d’AVC et de mort d’origine CV</w:t>
      </w:r>
      <w:r w:rsidR="00865746" w:rsidRPr="002C3164">
        <w:rPr>
          <w:rFonts w:asciiTheme="majorHAnsi" w:hAnsiTheme="majorHAnsi"/>
        </w:rPr>
        <w:t xml:space="preserve">). </w:t>
      </w:r>
      <w:r>
        <w:rPr>
          <w:rFonts w:asciiTheme="majorHAnsi" w:hAnsiTheme="majorHAnsi"/>
        </w:rPr>
        <w:t>Pendant la seconde phase (</w:t>
      </w:r>
      <w:proofErr w:type="spellStart"/>
      <w:r>
        <w:rPr>
          <w:rFonts w:asciiTheme="majorHAnsi" w:hAnsiTheme="majorHAnsi"/>
        </w:rPr>
        <w:t>alendronate</w:t>
      </w:r>
      <w:proofErr w:type="spellEnd"/>
      <w:r>
        <w:rPr>
          <w:rFonts w:asciiTheme="majorHAnsi" w:hAnsiTheme="majorHAnsi"/>
        </w:rPr>
        <w:t xml:space="preserve"> </w:t>
      </w:r>
      <w:proofErr w:type="spellStart"/>
      <w:r>
        <w:rPr>
          <w:rFonts w:asciiTheme="majorHAnsi" w:hAnsiTheme="majorHAnsi"/>
        </w:rPr>
        <w:t>quelque</w:t>
      </w:r>
      <w:proofErr w:type="spellEnd"/>
      <w:r>
        <w:rPr>
          <w:rFonts w:asciiTheme="majorHAnsi" w:hAnsiTheme="majorHAnsi"/>
        </w:rPr>
        <w:t xml:space="preserve"> soit le groupe), le risque d’ostéonécrose de hanche (1 dans chaque groupe d’origine) et de fracture atypique de hanche (2 dans groupe d’origine </w:t>
      </w:r>
      <w:proofErr w:type="spellStart"/>
      <w:r>
        <w:rPr>
          <w:rFonts w:asciiTheme="majorHAnsi" w:hAnsiTheme="majorHAnsi"/>
        </w:rPr>
        <w:t>romosozumab</w:t>
      </w:r>
      <w:proofErr w:type="spellEnd"/>
      <w:r>
        <w:rPr>
          <w:rFonts w:asciiTheme="majorHAnsi" w:hAnsiTheme="majorHAnsi"/>
        </w:rPr>
        <w:t xml:space="preserve"> et un dans groupe d’origine </w:t>
      </w:r>
      <w:proofErr w:type="spellStart"/>
      <w:r>
        <w:rPr>
          <w:rFonts w:asciiTheme="majorHAnsi" w:hAnsiTheme="majorHAnsi"/>
        </w:rPr>
        <w:t>Alendronate</w:t>
      </w:r>
      <w:proofErr w:type="spellEnd"/>
      <w:r>
        <w:rPr>
          <w:rFonts w:asciiTheme="majorHAnsi" w:hAnsiTheme="majorHAnsi"/>
        </w:rPr>
        <w:t>) fut observée</w:t>
      </w:r>
      <w:r w:rsidR="00865746" w:rsidRPr="002C3164">
        <w:rPr>
          <w:rFonts w:asciiTheme="majorHAnsi" w:hAnsiTheme="majorHAnsi"/>
        </w:rPr>
        <w:t>.</w:t>
      </w:r>
    </w:p>
    <w:p w14:paraId="5C0EDF0C" w14:textId="77777777" w:rsidR="002C3164" w:rsidRPr="002C3164" w:rsidRDefault="002C3164" w:rsidP="00865746">
      <w:pPr>
        <w:jc w:val="both"/>
        <w:rPr>
          <w:rFonts w:asciiTheme="majorHAnsi" w:hAnsiTheme="majorHAnsi"/>
          <w:color w:val="365F91" w:themeColor="accent1" w:themeShade="BF"/>
        </w:rPr>
      </w:pPr>
    </w:p>
    <w:p w14:paraId="47BCDF0D" w14:textId="77777777" w:rsidR="002C3164" w:rsidRPr="002C3164" w:rsidRDefault="002C3164" w:rsidP="00865746">
      <w:pPr>
        <w:jc w:val="both"/>
        <w:rPr>
          <w:rFonts w:asciiTheme="majorHAnsi" w:hAnsiTheme="majorHAnsi"/>
          <w:color w:val="365F91" w:themeColor="accent1" w:themeShade="BF"/>
        </w:rPr>
      </w:pPr>
      <w:r w:rsidRPr="002C3164">
        <w:rPr>
          <w:rFonts w:asciiTheme="majorHAnsi" w:hAnsiTheme="majorHAnsi"/>
          <w:color w:val="365F91" w:themeColor="accent1" w:themeShade="BF"/>
        </w:rPr>
        <w:t xml:space="preserve">Conclusion </w:t>
      </w:r>
    </w:p>
    <w:p w14:paraId="78E5BAF8" w14:textId="523D101E" w:rsidR="002C3164" w:rsidRDefault="002C3164" w:rsidP="00865746">
      <w:pPr>
        <w:jc w:val="both"/>
        <w:rPr>
          <w:rFonts w:asciiTheme="majorHAnsi" w:hAnsiTheme="majorHAnsi"/>
        </w:rPr>
      </w:pPr>
      <w:r w:rsidRPr="002C3164">
        <w:rPr>
          <w:rFonts w:asciiTheme="majorHAnsi" w:hAnsiTheme="majorHAnsi"/>
        </w:rPr>
        <w:t>Le traitement</w:t>
      </w:r>
      <w:r>
        <w:rPr>
          <w:rFonts w:asciiTheme="majorHAnsi" w:hAnsiTheme="majorHAnsi"/>
        </w:rPr>
        <w:t xml:space="preserve"> par </w:t>
      </w:r>
      <w:proofErr w:type="spellStart"/>
      <w:r>
        <w:rPr>
          <w:rFonts w:asciiTheme="majorHAnsi" w:hAnsiTheme="majorHAnsi"/>
        </w:rPr>
        <w:t>Romos</w:t>
      </w:r>
      <w:r w:rsidRPr="002C3164">
        <w:rPr>
          <w:rFonts w:asciiTheme="majorHAnsi" w:hAnsiTheme="majorHAnsi"/>
        </w:rPr>
        <w:t>ozumab</w:t>
      </w:r>
      <w:proofErr w:type="spellEnd"/>
      <w:r w:rsidRPr="002C3164">
        <w:rPr>
          <w:rFonts w:asciiTheme="majorHAnsi" w:hAnsiTheme="majorHAnsi"/>
        </w:rPr>
        <w:t xml:space="preserve"> introduit pendant une durée de 1 an suivi par un traitement par </w:t>
      </w:r>
      <w:proofErr w:type="spellStart"/>
      <w:r w:rsidRPr="002C3164">
        <w:rPr>
          <w:rFonts w:asciiTheme="majorHAnsi" w:hAnsiTheme="majorHAnsi"/>
        </w:rPr>
        <w:t>Alendronate</w:t>
      </w:r>
      <w:proofErr w:type="spellEnd"/>
      <w:r w:rsidRPr="002C3164">
        <w:rPr>
          <w:rFonts w:asciiTheme="majorHAnsi" w:hAnsiTheme="majorHAnsi"/>
        </w:rPr>
        <w:t xml:space="preserve"> chez </w:t>
      </w:r>
      <w:proofErr w:type="gramStart"/>
      <w:r w:rsidRPr="002C3164">
        <w:rPr>
          <w:rFonts w:asciiTheme="majorHAnsi" w:hAnsiTheme="majorHAnsi"/>
        </w:rPr>
        <w:t>les femme ménopausée</w:t>
      </w:r>
      <w:proofErr w:type="gramEnd"/>
      <w:r w:rsidRPr="002C3164">
        <w:rPr>
          <w:rFonts w:asciiTheme="majorHAnsi" w:hAnsiTheme="majorHAnsi"/>
        </w:rPr>
        <w:t xml:space="preserve"> atteinte d’ostéoporose symptomatique permet de diminuer le </w:t>
      </w:r>
      <w:proofErr w:type="spellStart"/>
      <w:r w:rsidRPr="002C3164">
        <w:rPr>
          <w:rFonts w:asciiTheme="majorHAnsi" w:hAnsiTheme="majorHAnsi"/>
        </w:rPr>
        <w:t>risqué</w:t>
      </w:r>
      <w:proofErr w:type="spellEnd"/>
      <w:r w:rsidRPr="002C3164">
        <w:rPr>
          <w:rFonts w:asciiTheme="majorHAnsi" w:hAnsiTheme="majorHAnsi"/>
        </w:rPr>
        <w:t xml:space="preserve"> de récidive d’évènement </w:t>
      </w:r>
      <w:proofErr w:type="spellStart"/>
      <w:r w:rsidRPr="002C3164">
        <w:rPr>
          <w:rFonts w:asciiTheme="majorHAnsi" w:hAnsiTheme="majorHAnsi"/>
        </w:rPr>
        <w:t>fracturaire</w:t>
      </w:r>
      <w:proofErr w:type="spellEnd"/>
      <w:r w:rsidRPr="002C3164">
        <w:rPr>
          <w:rFonts w:asciiTheme="majorHAnsi" w:hAnsiTheme="majorHAnsi"/>
        </w:rPr>
        <w:t xml:space="preserve">. </w:t>
      </w:r>
    </w:p>
    <w:p w14:paraId="60215312" w14:textId="77777777" w:rsidR="000249CB" w:rsidRPr="002C3164" w:rsidRDefault="000249CB" w:rsidP="000249CB">
      <w:pPr>
        <w:jc w:val="both"/>
        <w:rPr>
          <w:rFonts w:asciiTheme="majorHAnsi" w:hAnsiTheme="majorHAnsi"/>
        </w:rPr>
      </w:pPr>
      <w:r w:rsidRPr="002C3164">
        <w:rPr>
          <w:rFonts w:asciiTheme="majorHAnsi" w:hAnsiTheme="majorHAnsi"/>
        </w:rPr>
        <w:t xml:space="preserve">   </w:t>
      </w:r>
    </w:p>
    <w:p w14:paraId="797CC49C" w14:textId="77777777" w:rsidR="000249CB" w:rsidRPr="002C3164" w:rsidRDefault="000249CB" w:rsidP="000249CB">
      <w:pPr>
        <w:jc w:val="both"/>
        <w:rPr>
          <w:rFonts w:asciiTheme="majorHAnsi" w:hAnsiTheme="majorHAnsi"/>
        </w:rPr>
      </w:pPr>
    </w:p>
    <w:p w14:paraId="428F842A" w14:textId="4A79D3BE" w:rsidR="000249CB" w:rsidRPr="004522FD" w:rsidRDefault="00A73B7B" w:rsidP="000249CB">
      <w:pPr>
        <w:jc w:val="both"/>
        <w:rPr>
          <w:rFonts w:asciiTheme="majorHAnsi" w:hAnsiTheme="majorHAnsi"/>
          <w:b/>
          <w:color w:val="365F91" w:themeColor="accent1" w:themeShade="BF"/>
          <w:sz w:val="28"/>
          <w:szCs w:val="28"/>
          <w:lang w:val="en-GB"/>
        </w:rPr>
      </w:pPr>
      <w:r>
        <w:rPr>
          <w:rFonts w:asciiTheme="majorHAnsi" w:hAnsiTheme="majorHAnsi"/>
          <w:b/>
          <w:color w:val="365F91" w:themeColor="accent1" w:themeShade="BF"/>
          <w:sz w:val="28"/>
          <w:szCs w:val="28"/>
          <w:lang w:val="en-GB"/>
        </w:rPr>
        <w:t>PNEUMOLOGIE</w:t>
      </w:r>
    </w:p>
    <w:p w14:paraId="16CE23E4" w14:textId="77777777" w:rsidR="000249CB" w:rsidRPr="004522FD" w:rsidRDefault="000249CB" w:rsidP="000249CB">
      <w:pPr>
        <w:jc w:val="both"/>
        <w:rPr>
          <w:rFonts w:asciiTheme="majorHAnsi" w:hAnsiTheme="majorHAnsi"/>
          <w:b/>
          <w:color w:val="365F91" w:themeColor="accent1" w:themeShade="BF"/>
          <w:lang w:val="en-GB"/>
        </w:rPr>
      </w:pPr>
    </w:p>
    <w:p w14:paraId="247046C3" w14:textId="77777777" w:rsidR="000249CB" w:rsidRPr="002C3164" w:rsidRDefault="000249CB" w:rsidP="000249CB">
      <w:pPr>
        <w:jc w:val="both"/>
        <w:rPr>
          <w:rFonts w:asciiTheme="majorHAnsi" w:hAnsiTheme="majorHAnsi"/>
          <w:b/>
          <w:color w:val="365F91" w:themeColor="accent1" w:themeShade="BF"/>
          <w:lang w:val="en-GB"/>
        </w:rPr>
      </w:pPr>
      <w:proofErr w:type="spellStart"/>
      <w:r w:rsidRPr="002C3164">
        <w:rPr>
          <w:rFonts w:asciiTheme="majorHAnsi" w:hAnsiTheme="majorHAnsi"/>
          <w:b/>
          <w:color w:val="365F91" w:themeColor="accent1" w:themeShade="BF"/>
          <w:lang w:val="en-GB"/>
        </w:rPr>
        <w:t>Mepolizumab</w:t>
      </w:r>
      <w:proofErr w:type="spellEnd"/>
      <w:r w:rsidRPr="002C3164">
        <w:rPr>
          <w:rFonts w:asciiTheme="majorHAnsi" w:hAnsiTheme="majorHAnsi"/>
          <w:b/>
          <w:color w:val="365F91" w:themeColor="accent1" w:themeShade="BF"/>
          <w:lang w:val="en-GB"/>
        </w:rPr>
        <w:t xml:space="preserve"> for Eosinophilic Chronic Obstructive Pulmonary Disease   </w:t>
      </w:r>
    </w:p>
    <w:p w14:paraId="02575E5E" w14:textId="506DE508" w:rsidR="000249CB" w:rsidRPr="002C3164" w:rsidRDefault="002C3164" w:rsidP="000249CB">
      <w:pPr>
        <w:jc w:val="both"/>
        <w:rPr>
          <w:rFonts w:asciiTheme="majorHAnsi" w:hAnsiTheme="majorHAnsi"/>
        </w:rPr>
      </w:pPr>
      <w:r w:rsidRPr="002C3164">
        <w:rPr>
          <w:rFonts w:asciiTheme="majorHAnsi" w:hAnsiTheme="majorHAnsi"/>
        </w:rPr>
        <w:t xml:space="preserve">I.D. </w:t>
      </w:r>
      <w:proofErr w:type="spellStart"/>
      <w:r w:rsidRPr="002C3164">
        <w:rPr>
          <w:rFonts w:asciiTheme="majorHAnsi" w:hAnsiTheme="majorHAnsi"/>
        </w:rPr>
        <w:t>Pavord</w:t>
      </w:r>
      <w:proofErr w:type="spellEnd"/>
      <w:r w:rsidRPr="002C3164">
        <w:rPr>
          <w:rFonts w:asciiTheme="majorHAnsi" w:hAnsiTheme="majorHAnsi"/>
        </w:rPr>
        <w:t>, NEJM</w:t>
      </w:r>
    </w:p>
    <w:p w14:paraId="6CCBE01D" w14:textId="594140FF" w:rsidR="000249CB" w:rsidRDefault="000249CB" w:rsidP="000249CB">
      <w:pPr>
        <w:jc w:val="both"/>
        <w:rPr>
          <w:rFonts w:asciiTheme="majorHAnsi" w:hAnsiTheme="majorHAnsi"/>
        </w:rPr>
      </w:pPr>
    </w:p>
    <w:p w14:paraId="14168C82" w14:textId="77777777" w:rsidR="00A73B7B" w:rsidRPr="00A73B7B" w:rsidRDefault="00A73B7B" w:rsidP="00A73B7B">
      <w:pPr>
        <w:pStyle w:val="citationline"/>
        <w:shd w:val="clear" w:color="auto" w:fill="FFFFFF"/>
        <w:spacing w:before="0" w:beforeAutospacing="0" w:after="0" w:afterAutospacing="0"/>
        <w:textAlignment w:val="baseline"/>
        <w:rPr>
          <w:rFonts w:asciiTheme="majorHAnsi" w:hAnsiTheme="majorHAnsi" w:cs="Arial"/>
          <w:b/>
          <w:color w:val="00CCFF"/>
        </w:rPr>
      </w:pPr>
      <w:hyperlink r:id="rId27" w:history="1">
        <w:r w:rsidRPr="00A73B7B">
          <w:rPr>
            <w:rStyle w:val="Lienhypertexte"/>
            <w:rFonts w:asciiTheme="majorHAnsi" w:hAnsiTheme="majorHAnsi" w:cs="Arial"/>
            <w:b/>
          </w:rPr>
          <w:t>https://www.ncbi.nlm.nih.gov/pubmed/28893134</w:t>
        </w:r>
      </w:hyperlink>
      <w:r w:rsidRPr="00A73B7B">
        <w:rPr>
          <w:rFonts w:asciiTheme="majorHAnsi" w:hAnsiTheme="majorHAnsi" w:cs="Arial"/>
          <w:b/>
          <w:color w:val="00CCFF"/>
        </w:rPr>
        <w:t xml:space="preserve"> </w:t>
      </w:r>
    </w:p>
    <w:p w14:paraId="3767618F" w14:textId="77777777" w:rsidR="00A73B7B" w:rsidRPr="002C3164" w:rsidRDefault="00A73B7B" w:rsidP="000249CB">
      <w:pPr>
        <w:jc w:val="both"/>
        <w:rPr>
          <w:rFonts w:asciiTheme="majorHAnsi" w:hAnsiTheme="majorHAnsi"/>
        </w:rPr>
      </w:pPr>
    </w:p>
    <w:p w14:paraId="181DFCE5" w14:textId="6CF80E4C" w:rsidR="002C3164" w:rsidRPr="002C3164" w:rsidRDefault="002C3164" w:rsidP="002C3164">
      <w:pPr>
        <w:jc w:val="both"/>
        <w:rPr>
          <w:rFonts w:asciiTheme="majorHAnsi" w:hAnsiTheme="majorHAnsi"/>
          <w:color w:val="365F91" w:themeColor="accent1" w:themeShade="BF"/>
        </w:rPr>
      </w:pPr>
      <w:r w:rsidRPr="002C3164">
        <w:rPr>
          <w:rFonts w:asciiTheme="majorHAnsi" w:hAnsiTheme="majorHAnsi"/>
          <w:color w:val="365F91" w:themeColor="accent1" w:themeShade="BF"/>
        </w:rPr>
        <w:t>Introduction</w:t>
      </w:r>
    </w:p>
    <w:p w14:paraId="517B9516" w14:textId="77777777" w:rsidR="002C3164" w:rsidRPr="002C3164" w:rsidRDefault="002C3164" w:rsidP="002C3164">
      <w:pPr>
        <w:jc w:val="both"/>
        <w:rPr>
          <w:rFonts w:asciiTheme="majorHAnsi" w:hAnsiTheme="majorHAnsi"/>
        </w:rPr>
      </w:pPr>
      <w:r w:rsidRPr="002C3164">
        <w:rPr>
          <w:rFonts w:asciiTheme="majorHAnsi" w:hAnsiTheme="majorHAnsi"/>
        </w:rPr>
        <w:t xml:space="preserve">Jusqu’à 40% des patients BPCO présentent un phénotype dit </w:t>
      </w:r>
      <w:proofErr w:type="spellStart"/>
      <w:r w:rsidRPr="002C3164">
        <w:rPr>
          <w:rFonts w:asciiTheme="majorHAnsi" w:hAnsiTheme="majorHAnsi"/>
        </w:rPr>
        <w:t>éosinophilique</w:t>
      </w:r>
      <w:proofErr w:type="spellEnd"/>
      <w:r w:rsidRPr="002C3164">
        <w:rPr>
          <w:rFonts w:asciiTheme="majorHAnsi" w:hAnsiTheme="majorHAnsi"/>
        </w:rPr>
        <w:t xml:space="preserve">, qui se caractérise par la présence d’au moins 2% d’éosinophiles dans le sang périphérique, soit 150 à 200 par mm 3. Ce taux élevé semble être un marqueur d’activité de la maladie (associée à un risque plus élevé d’exacerbation). </w:t>
      </w:r>
    </w:p>
    <w:p w14:paraId="0D135A2B" w14:textId="77777777" w:rsidR="002C3164" w:rsidRPr="002C3164" w:rsidRDefault="002C3164" w:rsidP="002C3164">
      <w:pPr>
        <w:jc w:val="both"/>
        <w:rPr>
          <w:rFonts w:asciiTheme="majorHAnsi" w:hAnsiTheme="majorHAnsi"/>
        </w:rPr>
      </w:pPr>
      <w:r w:rsidRPr="002C3164">
        <w:rPr>
          <w:rFonts w:asciiTheme="majorHAnsi" w:hAnsiTheme="majorHAnsi"/>
        </w:rPr>
        <w:t xml:space="preserve">L’IL-5 étant impliquée dans l’activation des éosinophiles, le </w:t>
      </w:r>
      <w:proofErr w:type="spellStart"/>
      <w:r w:rsidRPr="002C3164">
        <w:rPr>
          <w:rFonts w:asciiTheme="majorHAnsi" w:hAnsiTheme="majorHAnsi"/>
        </w:rPr>
        <w:t>mépolizumab</w:t>
      </w:r>
      <w:proofErr w:type="spellEnd"/>
      <w:r w:rsidRPr="002C3164">
        <w:rPr>
          <w:rFonts w:asciiTheme="majorHAnsi" w:hAnsiTheme="majorHAnsi"/>
        </w:rPr>
        <w:t xml:space="preserve"> (anticorps monoclonal anti-IL5), déjà indiqué dans le traitement de l’asthme sévère réfractaire à </w:t>
      </w:r>
      <w:r w:rsidRPr="002C3164">
        <w:rPr>
          <w:rFonts w:asciiTheme="majorHAnsi" w:hAnsiTheme="majorHAnsi"/>
        </w:rPr>
        <w:lastRenderedPageBreak/>
        <w:t>éosinophiles (avec une efficacité en réduisant les exacerbations de 75% par rapport au placebo), pourrait avoir une efficacité sur l’activité de la maladie.</w:t>
      </w:r>
    </w:p>
    <w:p w14:paraId="3A76C9AF" w14:textId="77777777" w:rsidR="002C3164" w:rsidRPr="002C3164" w:rsidRDefault="002C3164" w:rsidP="002C3164">
      <w:pPr>
        <w:jc w:val="both"/>
        <w:rPr>
          <w:rFonts w:asciiTheme="majorHAnsi" w:hAnsiTheme="majorHAnsi"/>
        </w:rPr>
      </w:pPr>
      <w:r w:rsidRPr="002C3164">
        <w:rPr>
          <w:rFonts w:asciiTheme="majorHAnsi" w:hAnsiTheme="majorHAnsi"/>
        </w:rPr>
        <w:t>Les études METREX (</w:t>
      </w:r>
      <w:proofErr w:type="spellStart"/>
      <w:r w:rsidRPr="002C3164">
        <w:rPr>
          <w:rFonts w:asciiTheme="majorHAnsi" w:hAnsiTheme="majorHAnsi"/>
        </w:rPr>
        <w:t>Mepolizumab</w:t>
      </w:r>
      <w:proofErr w:type="spellEnd"/>
      <w:r w:rsidRPr="002C3164">
        <w:rPr>
          <w:rFonts w:asciiTheme="majorHAnsi" w:hAnsiTheme="majorHAnsi"/>
        </w:rPr>
        <w:t xml:space="preserve"> vs. Placebo as </w:t>
      </w:r>
      <w:proofErr w:type="spellStart"/>
      <w:r w:rsidRPr="002C3164">
        <w:rPr>
          <w:rFonts w:asciiTheme="majorHAnsi" w:hAnsiTheme="majorHAnsi"/>
        </w:rPr>
        <w:t>Add-on</w:t>
      </w:r>
      <w:proofErr w:type="spellEnd"/>
      <w:r w:rsidRPr="002C3164">
        <w:rPr>
          <w:rFonts w:asciiTheme="majorHAnsi" w:hAnsiTheme="majorHAnsi"/>
        </w:rPr>
        <w:t xml:space="preserve"> </w:t>
      </w:r>
      <w:proofErr w:type="spellStart"/>
      <w:r w:rsidRPr="002C3164">
        <w:rPr>
          <w:rFonts w:asciiTheme="majorHAnsi" w:hAnsiTheme="majorHAnsi"/>
        </w:rPr>
        <w:t>Treatment</w:t>
      </w:r>
      <w:proofErr w:type="spellEnd"/>
      <w:r w:rsidRPr="002C3164">
        <w:rPr>
          <w:rFonts w:asciiTheme="majorHAnsi" w:hAnsiTheme="majorHAnsi"/>
        </w:rPr>
        <w:t xml:space="preserve"> for </w:t>
      </w:r>
      <w:proofErr w:type="spellStart"/>
      <w:r w:rsidRPr="002C3164">
        <w:rPr>
          <w:rFonts w:asciiTheme="majorHAnsi" w:hAnsiTheme="majorHAnsi"/>
        </w:rPr>
        <w:t>Frequently</w:t>
      </w:r>
      <w:proofErr w:type="spellEnd"/>
      <w:r w:rsidRPr="002C3164">
        <w:rPr>
          <w:rFonts w:asciiTheme="majorHAnsi" w:hAnsiTheme="majorHAnsi"/>
        </w:rPr>
        <w:t xml:space="preserve"> </w:t>
      </w:r>
      <w:proofErr w:type="spellStart"/>
      <w:r w:rsidRPr="002C3164">
        <w:rPr>
          <w:rFonts w:asciiTheme="majorHAnsi" w:hAnsiTheme="majorHAnsi"/>
        </w:rPr>
        <w:t>Exacerbating</w:t>
      </w:r>
      <w:proofErr w:type="spellEnd"/>
      <w:r w:rsidRPr="002C3164">
        <w:rPr>
          <w:rFonts w:asciiTheme="majorHAnsi" w:hAnsiTheme="majorHAnsi"/>
        </w:rPr>
        <w:t xml:space="preserve"> COPD Patients) et METREO (</w:t>
      </w:r>
      <w:proofErr w:type="spellStart"/>
      <w:r w:rsidRPr="002C3164">
        <w:rPr>
          <w:rFonts w:asciiTheme="majorHAnsi" w:hAnsiTheme="majorHAnsi"/>
        </w:rPr>
        <w:t>Mepolizumab</w:t>
      </w:r>
      <w:proofErr w:type="spellEnd"/>
      <w:r w:rsidRPr="002C3164">
        <w:rPr>
          <w:rFonts w:asciiTheme="majorHAnsi" w:hAnsiTheme="majorHAnsi"/>
        </w:rPr>
        <w:t xml:space="preserve"> vs. Placebo as </w:t>
      </w:r>
      <w:proofErr w:type="spellStart"/>
      <w:r w:rsidRPr="002C3164">
        <w:rPr>
          <w:rFonts w:asciiTheme="majorHAnsi" w:hAnsiTheme="majorHAnsi"/>
        </w:rPr>
        <w:t>Add-on</w:t>
      </w:r>
      <w:proofErr w:type="spellEnd"/>
      <w:r w:rsidRPr="002C3164">
        <w:rPr>
          <w:rFonts w:asciiTheme="majorHAnsi" w:hAnsiTheme="majorHAnsi"/>
        </w:rPr>
        <w:t xml:space="preserve"> </w:t>
      </w:r>
      <w:proofErr w:type="spellStart"/>
      <w:r w:rsidRPr="002C3164">
        <w:rPr>
          <w:rFonts w:asciiTheme="majorHAnsi" w:hAnsiTheme="majorHAnsi"/>
        </w:rPr>
        <w:t>Treatment</w:t>
      </w:r>
      <w:proofErr w:type="spellEnd"/>
      <w:r w:rsidRPr="002C3164">
        <w:rPr>
          <w:rFonts w:asciiTheme="majorHAnsi" w:hAnsiTheme="majorHAnsi"/>
        </w:rPr>
        <w:t xml:space="preserve"> for </w:t>
      </w:r>
      <w:proofErr w:type="spellStart"/>
      <w:r w:rsidRPr="002C3164">
        <w:rPr>
          <w:rFonts w:asciiTheme="majorHAnsi" w:hAnsiTheme="majorHAnsi"/>
        </w:rPr>
        <w:t>Frequently</w:t>
      </w:r>
      <w:proofErr w:type="spellEnd"/>
      <w:r w:rsidRPr="002C3164">
        <w:rPr>
          <w:rFonts w:asciiTheme="majorHAnsi" w:hAnsiTheme="majorHAnsi"/>
        </w:rPr>
        <w:t xml:space="preserve"> </w:t>
      </w:r>
      <w:proofErr w:type="spellStart"/>
      <w:r w:rsidRPr="002C3164">
        <w:rPr>
          <w:rFonts w:asciiTheme="majorHAnsi" w:hAnsiTheme="majorHAnsi"/>
        </w:rPr>
        <w:t>Exacerbating</w:t>
      </w:r>
      <w:proofErr w:type="spellEnd"/>
      <w:r w:rsidRPr="002C3164">
        <w:rPr>
          <w:rFonts w:asciiTheme="majorHAnsi" w:hAnsiTheme="majorHAnsi"/>
        </w:rPr>
        <w:t xml:space="preserve"> COPD Patients </w:t>
      </w:r>
      <w:proofErr w:type="spellStart"/>
      <w:r w:rsidRPr="002C3164">
        <w:rPr>
          <w:rFonts w:asciiTheme="majorHAnsi" w:hAnsiTheme="majorHAnsi"/>
        </w:rPr>
        <w:t>Characterized</w:t>
      </w:r>
      <w:proofErr w:type="spellEnd"/>
      <w:r w:rsidRPr="002C3164">
        <w:rPr>
          <w:rFonts w:asciiTheme="majorHAnsi" w:hAnsiTheme="majorHAnsi"/>
        </w:rPr>
        <w:t xml:space="preserve"> by </w:t>
      </w:r>
      <w:proofErr w:type="spellStart"/>
      <w:r w:rsidRPr="002C3164">
        <w:rPr>
          <w:rFonts w:asciiTheme="majorHAnsi" w:hAnsiTheme="majorHAnsi"/>
        </w:rPr>
        <w:t>Eosinophil</w:t>
      </w:r>
      <w:proofErr w:type="spellEnd"/>
      <w:r w:rsidRPr="002C3164">
        <w:rPr>
          <w:rFonts w:asciiTheme="majorHAnsi" w:hAnsiTheme="majorHAnsi"/>
        </w:rPr>
        <w:t xml:space="preserve"> </w:t>
      </w:r>
      <w:proofErr w:type="spellStart"/>
      <w:r w:rsidRPr="002C3164">
        <w:rPr>
          <w:rFonts w:asciiTheme="majorHAnsi" w:hAnsiTheme="majorHAnsi"/>
        </w:rPr>
        <w:t>Level</w:t>
      </w:r>
      <w:proofErr w:type="spellEnd"/>
      <w:r w:rsidRPr="002C3164">
        <w:rPr>
          <w:rFonts w:asciiTheme="majorHAnsi" w:hAnsiTheme="majorHAnsi"/>
        </w:rPr>
        <w:t xml:space="preserve">), ont cherché à déterminer si le </w:t>
      </w:r>
      <w:proofErr w:type="spellStart"/>
      <w:r w:rsidRPr="002C3164">
        <w:rPr>
          <w:rFonts w:asciiTheme="majorHAnsi" w:hAnsiTheme="majorHAnsi"/>
        </w:rPr>
        <w:t>mépolizumab</w:t>
      </w:r>
      <w:proofErr w:type="spellEnd"/>
      <w:r w:rsidRPr="002C3164">
        <w:rPr>
          <w:rFonts w:asciiTheme="majorHAnsi" w:hAnsiTheme="majorHAnsi"/>
        </w:rPr>
        <w:t xml:space="preserve"> pouvait réduire le taux d’exacerbation chez des patients avec </w:t>
      </w:r>
      <w:proofErr w:type="gramStart"/>
      <w:r w:rsidRPr="002C3164">
        <w:rPr>
          <w:rFonts w:asciiTheme="majorHAnsi" w:hAnsiTheme="majorHAnsi"/>
        </w:rPr>
        <w:t xml:space="preserve">phénotype  </w:t>
      </w:r>
      <w:proofErr w:type="spellStart"/>
      <w:r w:rsidRPr="002C3164">
        <w:rPr>
          <w:rFonts w:asciiTheme="majorHAnsi" w:hAnsiTheme="majorHAnsi"/>
        </w:rPr>
        <w:t>éosinophilique</w:t>
      </w:r>
      <w:proofErr w:type="spellEnd"/>
      <w:proofErr w:type="gramEnd"/>
      <w:r w:rsidRPr="002C3164">
        <w:rPr>
          <w:rFonts w:asciiTheme="majorHAnsi" w:hAnsiTheme="majorHAnsi"/>
        </w:rPr>
        <w:t xml:space="preserve">. </w:t>
      </w:r>
    </w:p>
    <w:p w14:paraId="13AC0594" w14:textId="77777777" w:rsidR="002C3164" w:rsidRDefault="002C3164" w:rsidP="002C3164">
      <w:pPr>
        <w:jc w:val="both"/>
        <w:rPr>
          <w:rFonts w:asciiTheme="majorHAnsi" w:hAnsiTheme="majorHAnsi"/>
        </w:rPr>
      </w:pPr>
    </w:p>
    <w:p w14:paraId="3F8A7C59" w14:textId="77777777" w:rsidR="002C3164" w:rsidRPr="002C3164" w:rsidRDefault="002C3164" w:rsidP="002C3164">
      <w:pPr>
        <w:jc w:val="both"/>
        <w:rPr>
          <w:rFonts w:asciiTheme="majorHAnsi" w:hAnsiTheme="majorHAnsi"/>
          <w:color w:val="365F91" w:themeColor="accent1" w:themeShade="BF"/>
        </w:rPr>
      </w:pPr>
      <w:proofErr w:type="spellStart"/>
      <w:r w:rsidRPr="002C3164">
        <w:rPr>
          <w:rFonts w:asciiTheme="majorHAnsi" w:hAnsiTheme="majorHAnsi"/>
          <w:color w:val="365F91" w:themeColor="accent1" w:themeShade="BF"/>
        </w:rPr>
        <w:t>Methode</w:t>
      </w:r>
      <w:proofErr w:type="spellEnd"/>
    </w:p>
    <w:p w14:paraId="575BDA13" w14:textId="004DB0F6" w:rsidR="002C3164" w:rsidRPr="002C3164" w:rsidRDefault="002C3164" w:rsidP="002C3164">
      <w:pPr>
        <w:jc w:val="both"/>
        <w:rPr>
          <w:rFonts w:asciiTheme="majorHAnsi" w:hAnsiTheme="majorHAnsi"/>
        </w:rPr>
      </w:pPr>
      <w:r w:rsidRPr="002C3164">
        <w:rPr>
          <w:rFonts w:asciiTheme="majorHAnsi" w:hAnsiTheme="majorHAnsi"/>
        </w:rPr>
        <w:t>METREX et METREO : études randomisées multicentriques, menées entre avril 2014 et novembre 2015, de phase 3, randomisées, contrôlées par placebo, en double aveugle et en parallèle.</w:t>
      </w:r>
    </w:p>
    <w:p w14:paraId="79C9E2F1" w14:textId="77777777" w:rsidR="002C3164" w:rsidRPr="002C3164" w:rsidRDefault="002C3164" w:rsidP="002C3164">
      <w:pPr>
        <w:jc w:val="both"/>
        <w:rPr>
          <w:rFonts w:asciiTheme="majorHAnsi" w:hAnsiTheme="majorHAnsi"/>
        </w:rPr>
      </w:pPr>
      <w:r w:rsidRPr="002C3164">
        <w:rPr>
          <w:rFonts w:asciiTheme="majorHAnsi" w:hAnsiTheme="majorHAnsi"/>
        </w:rPr>
        <w:t xml:space="preserve">Populations : sujets de 40 ans ou plus, souffrant de BPCO depuis au moins 1 an. Les patients avaient connu au moins deux épisodes d’exacerbation modérée (corticothérapie systémique et/ou antibiothérapie) ou un épisode sévère (hospitalisation) dans l’année écoulée, alors qu’ils étaient traités par trithérapie inhalée (corticoïde inhalé, </w:t>
      </w:r>
      <w:r w:rsidRPr="002C3164">
        <w:rPr>
          <w:rFonts w:asciiTheme="majorHAnsi" w:hAnsiTheme="majorHAnsi"/>
          <w:lang w:val="en-GB"/>
        </w:rPr>
        <w:t>β</w:t>
      </w:r>
      <w:r w:rsidRPr="002C3164">
        <w:rPr>
          <w:rFonts w:asciiTheme="majorHAnsi" w:hAnsiTheme="majorHAnsi"/>
        </w:rPr>
        <w:t>2 agoniste à longue durée d’action, anticholinergique à longue durée d’action).</w:t>
      </w:r>
    </w:p>
    <w:p w14:paraId="511421CC" w14:textId="77777777" w:rsidR="002C3164" w:rsidRPr="002C3164" w:rsidRDefault="002C3164" w:rsidP="002C3164">
      <w:pPr>
        <w:jc w:val="both"/>
        <w:rPr>
          <w:rFonts w:asciiTheme="majorHAnsi" w:hAnsiTheme="majorHAnsi"/>
        </w:rPr>
      </w:pPr>
      <w:r w:rsidRPr="002C3164">
        <w:rPr>
          <w:rFonts w:asciiTheme="majorHAnsi" w:hAnsiTheme="majorHAnsi"/>
        </w:rPr>
        <w:t xml:space="preserve">METREX est une étude d’efficacité et de sécurité : 836 patients, dont 462 présentaient &gt; 150 éosinophiles/mm3 à l’inclusion, ou avaient présenté au moins une fois &gt; 300 éosinophiles/mm3 dans l’année passée. Stratification des patients sur la base du taux d’éosinophiles sanguins (≥150/mm3 ou ≥300/mm3). </w:t>
      </w:r>
    </w:p>
    <w:p w14:paraId="0C617ED5" w14:textId="77777777" w:rsidR="002C3164" w:rsidRPr="002C3164" w:rsidRDefault="002C3164" w:rsidP="002C3164">
      <w:pPr>
        <w:jc w:val="both"/>
        <w:rPr>
          <w:rFonts w:asciiTheme="majorHAnsi" w:hAnsiTheme="majorHAnsi"/>
        </w:rPr>
      </w:pPr>
      <w:r w:rsidRPr="002C3164">
        <w:rPr>
          <w:rFonts w:asciiTheme="majorHAnsi" w:hAnsiTheme="majorHAnsi"/>
        </w:rPr>
        <w:t xml:space="preserve">METREO est une étude de doses : 674 patients, qui présentaient tous une BPCO à éosinophiles (&gt; 150 éosinophiles/mm3 à l’inclusion). </w:t>
      </w:r>
    </w:p>
    <w:p w14:paraId="134B5E30" w14:textId="77777777" w:rsidR="002C3164" w:rsidRPr="002C3164" w:rsidRDefault="002C3164" w:rsidP="002C3164">
      <w:pPr>
        <w:jc w:val="both"/>
        <w:rPr>
          <w:rFonts w:asciiTheme="majorHAnsi" w:hAnsiTheme="majorHAnsi"/>
        </w:rPr>
      </w:pPr>
      <w:r w:rsidRPr="002C3164">
        <w:rPr>
          <w:rFonts w:asciiTheme="majorHAnsi" w:hAnsiTheme="majorHAnsi"/>
        </w:rPr>
        <w:t xml:space="preserve">Dans les deux études, le </w:t>
      </w:r>
      <w:proofErr w:type="spellStart"/>
      <w:r w:rsidRPr="002C3164">
        <w:rPr>
          <w:rFonts w:asciiTheme="majorHAnsi" w:hAnsiTheme="majorHAnsi"/>
        </w:rPr>
        <w:t>mepolizumab</w:t>
      </w:r>
      <w:proofErr w:type="spellEnd"/>
      <w:r w:rsidRPr="002C3164">
        <w:rPr>
          <w:rFonts w:asciiTheme="majorHAnsi" w:hAnsiTheme="majorHAnsi"/>
        </w:rPr>
        <w:t xml:space="preserve"> (versus placebo) était administré en SC, 1 fois toutes les 4 semaines durant, 52 semaines, à la dose de 100 mg dans METREX (randomisation 1 :1), et aux doses de 100 ou 300 mg dans METREO (randomisation 1 :1 :1)</w:t>
      </w:r>
      <w:proofErr w:type="gramStart"/>
      <w:r w:rsidRPr="002C3164">
        <w:rPr>
          <w:rFonts w:asciiTheme="majorHAnsi" w:hAnsiTheme="majorHAnsi"/>
        </w:rPr>
        <w:t>, ,</w:t>
      </w:r>
      <w:proofErr w:type="gramEnd"/>
      <w:r w:rsidRPr="002C3164">
        <w:rPr>
          <w:rFonts w:asciiTheme="majorHAnsi" w:hAnsiTheme="majorHAnsi"/>
        </w:rPr>
        <w:t xml:space="preserve"> avec un suivi prolongé sur les 8 semaines suivant la fin du traitement.</w:t>
      </w:r>
    </w:p>
    <w:p w14:paraId="4D6922BD" w14:textId="77777777" w:rsidR="002C3164" w:rsidRPr="002C3164" w:rsidRDefault="002C3164" w:rsidP="002C3164">
      <w:pPr>
        <w:jc w:val="both"/>
        <w:rPr>
          <w:rFonts w:asciiTheme="majorHAnsi" w:hAnsiTheme="majorHAnsi"/>
        </w:rPr>
      </w:pPr>
      <w:r w:rsidRPr="002C3164">
        <w:rPr>
          <w:rFonts w:asciiTheme="majorHAnsi" w:hAnsiTheme="majorHAnsi"/>
        </w:rPr>
        <w:t>Le critère principal d’évaluation était le taux annuel d’exacerbations modérées à sévères. De nombreux critères secondaires ont été définis, parmi lesquels le délai jusqu’à la première exacerbation. Ces analyses ont été conduites à partir de la population en intention de traiter modifiée (tous les patients ayant reçu au moins une dose)</w:t>
      </w:r>
      <w:proofErr w:type="gramStart"/>
      <w:r w:rsidRPr="002C3164">
        <w:rPr>
          <w:rFonts w:asciiTheme="majorHAnsi" w:hAnsiTheme="majorHAnsi"/>
        </w:rPr>
        <w:t>. .</w:t>
      </w:r>
      <w:proofErr w:type="gramEnd"/>
      <w:r w:rsidRPr="002C3164">
        <w:rPr>
          <w:rFonts w:asciiTheme="majorHAnsi" w:hAnsiTheme="majorHAnsi"/>
        </w:rPr>
        <w:t xml:space="preserve"> La sécurité a également été évaluée.</w:t>
      </w:r>
    </w:p>
    <w:p w14:paraId="4BAD48FF" w14:textId="77777777" w:rsidR="002C3164" w:rsidRDefault="002C3164" w:rsidP="002C3164">
      <w:pPr>
        <w:jc w:val="both"/>
        <w:rPr>
          <w:rFonts w:asciiTheme="majorHAnsi" w:hAnsiTheme="majorHAnsi"/>
        </w:rPr>
      </w:pPr>
    </w:p>
    <w:p w14:paraId="59CA3C76" w14:textId="77777777" w:rsidR="002C3164" w:rsidRPr="002C3164" w:rsidRDefault="002C3164" w:rsidP="002C3164">
      <w:pPr>
        <w:jc w:val="both"/>
        <w:rPr>
          <w:rFonts w:asciiTheme="majorHAnsi" w:hAnsiTheme="majorHAnsi"/>
          <w:color w:val="365F91" w:themeColor="accent1" w:themeShade="BF"/>
        </w:rPr>
      </w:pPr>
      <w:r w:rsidRPr="002C3164">
        <w:rPr>
          <w:rFonts w:asciiTheme="majorHAnsi" w:hAnsiTheme="majorHAnsi"/>
          <w:color w:val="365F91" w:themeColor="accent1" w:themeShade="BF"/>
        </w:rPr>
        <w:t>Résultats</w:t>
      </w:r>
    </w:p>
    <w:p w14:paraId="5C6A69D4" w14:textId="0F9B7453" w:rsidR="002C3164" w:rsidRPr="002C3164" w:rsidRDefault="002C3164" w:rsidP="002C3164">
      <w:pPr>
        <w:jc w:val="both"/>
        <w:rPr>
          <w:rFonts w:asciiTheme="majorHAnsi" w:hAnsiTheme="majorHAnsi"/>
        </w:rPr>
      </w:pPr>
      <w:r w:rsidRPr="002C3164">
        <w:rPr>
          <w:rFonts w:asciiTheme="majorHAnsi" w:hAnsiTheme="majorHAnsi"/>
        </w:rPr>
        <w:t>Dans METREX, chez les 462 patients présentant une BPCO à éosinophiles, le taux annuel d’exacerbations moyen était de 1,40 parmi les patients à profil éosinophile traités, contre 1,71 de ceux du groupe placebo (RR=0,82 ; IC95</w:t>
      </w:r>
      <w:proofErr w:type="gramStart"/>
      <w:r w:rsidRPr="002C3164">
        <w:rPr>
          <w:rFonts w:asciiTheme="majorHAnsi" w:hAnsiTheme="majorHAnsi"/>
        </w:rPr>
        <w:t>%[</w:t>
      </w:r>
      <w:proofErr w:type="gramEnd"/>
      <w:r w:rsidRPr="002C3164">
        <w:rPr>
          <w:rFonts w:asciiTheme="majorHAnsi" w:hAnsiTheme="majorHAnsi"/>
        </w:rPr>
        <w:t>0,68-0,98] ; p ajusté =0,04). Dans la population globale (n=836), les taux d’exacerbations sont de 1,49 vs. 1,52/an, écart non significatif. (</w:t>
      </w:r>
      <w:proofErr w:type="gramStart"/>
      <w:r w:rsidRPr="002C3164">
        <w:rPr>
          <w:rFonts w:asciiTheme="majorHAnsi" w:hAnsiTheme="majorHAnsi"/>
        </w:rPr>
        <w:t>taux</w:t>
      </w:r>
      <w:proofErr w:type="gramEnd"/>
      <w:r w:rsidRPr="002C3164">
        <w:rPr>
          <w:rFonts w:asciiTheme="majorHAnsi" w:hAnsiTheme="majorHAnsi"/>
        </w:rPr>
        <w:t xml:space="preserve"> de 0,98, IC à 95%, 0,85 à 1,12, P&gt; 0,99 ajusté). </w:t>
      </w:r>
    </w:p>
    <w:p w14:paraId="796AE2A6" w14:textId="77777777" w:rsidR="002C3164" w:rsidRPr="002C3164" w:rsidRDefault="002C3164" w:rsidP="002C3164">
      <w:pPr>
        <w:jc w:val="both"/>
        <w:rPr>
          <w:rFonts w:asciiTheme="majorHAnsi" w:hAnsiTheme="majorHAnsi"/>
        </w:rPr>
      </w:pPr>
      <w:r w:rsidRPr="002C3164">
        <w:rPr>
          <w:rFonts w:asciiTheme="majorHAnsi" w:hAnsiTheme="majorHAnsi"/>
        </w:rPr>
        <w:t>Parallèlement, le délai jusqu’à la première exacerbation était amélioré chez les sujets à profil éosinophile sous traitement (192 vs 141 jours sous placebo).</w:t>
      </w:r>
    </w:p>
    <w:p w14:paraId="1485E515" w14:textId="77777777" w:rsidR="002C3164" w:rsidRPr="002C3164" w:rsidRDefault="002C3164" w:rsidP="002C3164">
      <w:pPr>
        <w:jc w:val="both"/>
        <w:rPr>
          <w:rFonts w:asciiTheme="majorHAnsi" w:hAnsiTheme="majorHAnsi"/>
        </w:rPr>
      </w:pPr>
      <w:r w:rsidRPr="002C3164">
        <w:rPr>
          <w:rFonts w:asciiTheme="majorHAnsi" w:hAnsiTheme="majorHAnsi"/>
        </w:rPr>
        <w:t xml:space="preserve">Dans METREO, le taux annuel d’exacerbations moyen était de 1,19 et de 1,27 parmi les patients traités par 100 et 300 mg de </w:t>
      </w:r>
      <w:proofErr w:type="spellStart"/>
      <w:r w:rsidRPr="002C3164">
        <w:rPr>
          <w:rFonts w:asciiTheme="majorHAnsi" w:hAnsiTheme="majorHAnsi"/>
        </w:rPr>
        <w:t>mépolizumab</w:t>
      </w:r>
      <w:proofErr w:type="spellEnd"/>
      <w:r w:rsidRPr="002C3164">
        <w:rPr>
          <w:rFonts w:asciiTheme="majorHAnsi" w:hAnsiTheme="majorHAnsi"/>
        </w:rPr>
        <w:t xml:space="preserve"> respectivement, contre 1,49 dans le groupe placebo. Les tendances sont en faveur du traitement (RR = 0,80 (IC 95%, 0,65 à 0,98, ajusté P = 0,07) et 0,86 (IC 95%, 0,70 à 1,05, 0,14)), respectivement, donc résultats non significatifs. Un effet plus important du </w:t>
      </w:r>
      <w:proofErr w:type="spellStart"/>
      <w:r w:rsidRPr="002C3164">
        <w:rPr>
          <w:rFonts w:asciiTheme="majorHAnsi" w:hAnsiTheme="majorHAnsi"/>
        </w:rPr>
        <w:t>mepolizumab</w:t>
      </w:r>
      <w:proofErr w:type="spellEnd"/>
      <w:r w:rsidRPr="002C3164">
        <w:rPr>
          <w:rFonts w:asciiTheme="majorHAnsi" w:hAnsiTheme="majorHAnsi"/>
        </w:rPr>
        <w:t xml:space="preserve">, comparé au placebo, sur le taux annuel </w:t>
      </w:r>
      <w:r w:rsidRPr="002C3164">
        <w:rPr>
          <w:rFonts w:asciiTheme="majorHAnsi" w:hAnsiTheme="majorHAnsi"/>
        </w:rPr>
        <w:lastRenderedPageBreak/>
        <w:t xml:space="preserve">d'exacerbations modérées ou sévères a été observé chez les patients présentant un taux élevé d'éosinophiles sanguins lors du dépistage. </w:t>
      </w:r>
    </w:p>
    <w:p w14:paraId="6FB203F5" w14:textId="0E2B140E" w:rsidR="002C3164" w:rsidRDefault="002C3164" w:rsidP="002C3164">
      <w:pPr>
        <w:jc w:val="both"/>
        <w:rPr>
          <w:rFonts w:asciiTheme="majorHAnsi" w:hAnsiTheme="majorHAnsi"/>
        </w:rPr>
      </w:pPr>
      <w:r w:rsidRPr="002C3164">
        <w:rPr>
          <w:rFonts w:asciiTheme="majorHAnsi" w:hAnsiTheme="majorHAnsi"/>
        </w:rPr>
        <w:t>Aucune différence n’a été identifiée entre les groupes sous traitement ou sous placebo en termes de sécurité.</w:t>
      </w:r>
    </w:p>
    <w:p w14:paraId="25AD0E77" w14:textId="77777777" w:rsidR="002C3164" w:rsidRPr="002C3164" w:rsidRDefault="002C3164" w:rsidP="002C3164">
      <w:pPr>
        <w:jc w:val="both"/>
        <w:rPr>
          <w:rFonts w:asciiTheme="majorHAnsi" w:hAnsiTheme="majorHAnsi"/>
        </w:rPr>
      </w:pPr>
    </w:p>
    <w:p w14:paraId="1B4ECA16" w14:textId="0FE98F4C" w:rsidR="002C3164" w:rsidRPr="002C3164" w:rsidRDefault="002C3164" w:rsidP="002C3164">
      <w:pPr>
        <w:jc w:val="both"/>
        <w:rPr>
          <w:rFonts w:asciiTheme="majorHAnsi" w:hAnsiTheme="majorHAnsi"/>
          <w:color w:val="365F91" w:themeColor="accent1" w:themeShade="BF"/>
        </w:rPr>
      </w:pPr>
      <w:r w:rsidRPr="002C3164">
        <w:rPr>
          <w:rFonts w:asciiTheme="majorHAnsi" w:hAnsiTheme="majorHAnsi"/>
          <w:color w:val="365F91" w:themeColor="accent1" w:themeShade="BF"/>
        </w:rPr>
        <w:t>Discussion</w:t>
      </w:r>
    </w:p>
    <w:p w14:paraId="38AB800A" w14:textId="77777777" w:rsidR="002C3164" w:rsidRPr="002C3164" w:rsidRDefault="002C3164" w:rsidP="002C3164">
      <w:pPr>
        <w:jc w:val="both"/>
        <w:rPr>
          <w:rFonts w:asciiTheme="majorHAnsi" w:hAnsiTheme="majorHAnsi"/>
        </w:rPr>
      </w:pPr>
      <w:r w:rsidRPr="002C3164">
        <w:rPr>
          <w:rFonts w:asciiTheme="majorHAnsi" w:hAnsiTheme="majorHAnsi"/>
        </w:rPr>
        <w:t xml:space="preserve">L’aspect que mettent en avant les auteurs est la réponse apparemment meilleure en présence d’un taux élevé d’éosinophiles. Dans une méta-analyse couplant les patients de METREX à phénotype </w:t>
      </w:r>
      <w:proofErr w:type="spellStart"/>
      <w:r w:rsidRPr="002C3164">
        <w:rPr>
          <w:rFonts w:asciiTheme="majorHAnsi" w:hAnsiTheme="majorHAnsi"/>
        </w:rPr>
        <w:t>éosinophiliques</w:t>
      </w:r>
      <w:proofErr w:type="spellEnd"/>
      <w:r w:rsidRPr="002C3164">
        <w:rPr>
          <w:rFonts w:asciiTheme="majorHAnsi" w:hAnsiTheme="majorHAnsi"/>
        </w:rPr>
        <w:t xml:space="preserve"> et les patients de METREO : chez les patients présentant entre 300 et 500 éosinophiles/mm3 à l’inclusion, le risque relatif d’exacerbation est de 0,75 [0,55-1,00] ; chez les patients présentant plus de 500 éosinophiles/mm3, le RR est de 0,72 [0,48-1,09].</w:t>
      </w:r>
    </w:p>
    <w:p w14:paraId="265BD581" w14:textId="77777777" w:rsidR="002C3164" w:rsidRPr="002C3164" w:rsidRDefault="002C3164" w:rsidP="002C3164">
      <w:pPr>
        <w:jc w:val="both"/>
        <w:rPr>
          <w:rFonts w:asciiTheme="majorHAnsi" w:hAnsiTheme="majorHAnsi"/>
        </w:rPr>
      </w:pPr>
      <w:r w:rsidRPr="002C3164">
        <w:rPr>
          <w:rFonts w:asciiTheme="majorHAnsi" w:hAnsiTheme="majorHAnsi"/>
        </w:rPr>
        <w:t xml:space="preserve">Ces résultats suggèrent que l’inflammation </w:t>
      </w:r>
      <w:proofErr w:type="spellStart"/>
      <w:r w:rsidRPr="002C3164">
        <w:rPr>
          <w:rFonts w:asciiTheme="majorHAnsi" w:hAnsiTheme="majorHAnsi"/>
        </w:rPr>
        <w:t>éosinophilique</w:t>
      </w:r>
      <w:proofErr w:type="spellEnd"/>
      <w:r w:rsidRPr="002C3164">
        <w:rPr>
          <w:rFonts w:asciiTheme="majorHAnsi" w:hAnsiTheme="majorHAnsi"/>
        </w:rPr>
        <w:t xml:space="preserve"> des voies aériennes contribue aux exacerbations de la BPCO, et que le dosage des </w:t>
      </w:r>
      <w:proofErr w:type="spellStart"/>
      <w:r w:rsidRPr="002C3164">
        <w:rPr>
          <w:rFonts w:asciiTheme="majorHAnsi" w:hAnsiTheme="majorHAnsi"/>
        </w:rPr>
        <w:t>eosinophiles</w:t>
      </w:r>
      <w:proofErr w:type="spellEnd"/>
      <w:r w:rsidRPr="002C3164">
        <w:rPr>
          <w:rFonts w:asciiTheme="majorHAnsi" w:hAnsiTheme="majorHAnsi"/>
        </w:rPr>
        <w:t xml:space="preserve"> pourrait constituer un biomarqueur potentiel afin de déterminer la population pouvant tirer un bénéfice thérapeutique du </w:t>
      </w:r>
      <w:proofErr w:type="spellStart"/>
      <w:r w:rsidRPr="002C3164">
        <w:rPr>
          <w:rFonts w:asciiTheme="majorHAnsi" w:hAnsiTheme="majorHAnsi"/>
        </w:rPr>
        <w:t>mepolizumab</w:t>
      </w:r>
      <w:proofErr w:type="spellEnd"/>
      <w:r w:rsidRPr="002C3164">
        <w:rPr>
          <w:rFonts w:asciiTheme="majorHAnsi" w:hAnsiTheme="majorHAnsi"/>
        </w:rPr>
        <w:t>.</w:t>
      </w:r>
    </w:p>
    <w:p w14:paraId="2C1A6F7C" w14:textId="77777777" w:rsidR="002C3164" w:rsidRPr="002C3164" w:rsidRDefault="002C3164" w:rsidP="002C3164">
      <w:pPr>
        <w:jc w:val="both"/>
        <w:rPr>
          <w:rFonts w:asciiTheme="majorHAnsi" w:hAnsiTheme="majorHAnsi"/>
          <w:color w:val="365F91" w:themeColor="accent1" w:themeShade="BF"/>
        </w:rPr>
      </w:pPr>
      <w:r w:rsidRPr="002C3164">
        <w:rPr>
          <w:rFonts w:asciiTheme="majorHAnsi" w:hAnsiTheme="majorHAnsi"/>
          <w:color w:val="365F91" w:themeColor="accent1" w:themeShade="BF"/>
        </w:rPr>
        <w:t>Limites :</w:t>
      </w:r>
    </w:p>
    <w:p w14:paraId="0D33B5AD" w14:textId="77777777" w:rsidR="002C3164" w:rsidRPr="002C3164" w:rsidRDefault="002C3164" w:rsidP="002C3164">
      <w:pPr>
        <w:jc w:val="both"/>
        <w:rPr>
          <w:rFonts w:asciiTheme="majorHAnsi" w:hAnsiTheme="majorHAnsi"/>
        </w:rPr>
      </w:pPr>
      <w:r w:rsidRPr="002C3164">
        <w:rPr>
          <w:rFonts w:asciiTheme="majorHAnsi" w:hAnsiTheme="majorHAnsi"/>
        </w:rPr>
        <w:t xml:space="preserve">L’inclusion a sans doute potentialisé l’observance à la trithérapie initiale et a ainsi probablement réduit le taux annuel </w:t>
      </w:r>
      <w:proofErr w:type="gramStart"/>
      <w:r w:rsidRPr="002C3164">
        <w:rPr>
          <w:rFonts w:asciiTheme="majorHAnsi" w:hAnsiTheme="majorHAnsi"/>
        </w:rPr>
        <w:t>d’exacerbations  par</w:t>
      </w:r>
      <w:proofErr w:type="gramEnd"/>
      <w:r w:rsidRPr="002C3164">
        <w:rPr>
          <w:rFonts w:asciiTheme="majorHAnsi" w:hAnsiTheme="majorHAnsi"/>
        </w:rPr>
        <w:t xml:space="preserve"> rapport à ce qui est observé en vraie vie.</w:t>
      </w:r>
    </w:p>
    <w:p w14:paraId="13CD6838" w14:textId="77777777" w:rsidR="002C3164" w:rsidRPr="002C3164" w:rsidRDefault="002C3164" w:rsidP="002C3164">
      <w:pPr>
        <w:jc w:val="both"/>
        <w:rPr>
          <w:rFonts w:asciiTheme="majorHAnsi" w:hAnsiTheme="majorHAnsi"/>
        </w:rPr>
      </w:pPr>
      <w:r w:rsidRPr="002C3164">
        <w:rPr>
          <w:rFonts w:asciiTheme="majorHAnsi" w:hAnsiTheme="majorHAnsi"/>
        </w:rPr>
        <w:t>Le faible taux d’évènements n’a pas permis d’analyser le bénéfice thérapeutique en termes d’exacerbations sévères ou de mortalité.</w:t>
      </w:r>
    </w:p>
    <w:p w14:paraId="4A23F2ED" w14:textId="77777777" w:rsidR="002C3164" w:rsidRPr="002C3164" w:rsidRDefault="002C3164" w:rsidP="002C3164">
      <w:pPr>
        <w:jc w:val="both"/>
        <w:rPr>
          <w:rFonts w:asciiTheme="majorHAnsi" w:hAnsiTheme="majorHAnsi"/>
        </w:rPr>
      </w:pPr>
      <w:r w:rsidRPr="002C3164">
        <w:rPr>
          <w:rFonts w:asciiTheme="majorHAnsi" w:hAnsiTheme="majorHAnsi"/>
        </w:rPr>
        <w:t xml:space="preserve">La démonstration reste à faire dans la BPCO. En France le </w:t>
      </w:r>
      <w:proofErr w:type="spellStart"/>
      <w:r w:rsidRPr="002C3164">
        <w:rPr>
          <w:rFonts w:asciiTheme="majorHAnsi" w:hAnsiTheme="majorHAnsi"/>
        </w:rPr>
        <w:t>mepolizumab</w:t>
      </w:r>
      <w:proofErr w:type="spellEnd"/>
      <w:r w:rsidRPr="002C3164">
        <w:rPr>
          <w:rFonts w:asciiTheme="majorHAnsi" w:hAnsiTheme="majorHAnsi"/>
        </w:rPr>
        <w:t xml:space="preserve"> dispose d’une AMM dans l’asthme sévère, mais n’a pas à ce jour, obtenu de remboursement.</w:t>
      </w:r>
    </w:p>
    <w:p w14:paraId="698BE781" w14:textId="77777777" w:rsidR="002C3164" w:rsidRPr="004522FD" w:rsidRDefault="002C3164" w:rsidP="002C3164">
      <w:pPr>
        <w:jc w:val="both"/>
        <w:rPr>
          <w:rFonts w:asciiTheme="majorHAnsi" w:hAnsiTheme="majorHAnsi"/>
        </w:rPr>
      </w:pPr>
    </w:p>
    <w:p w14:paraId="4223511E" w14:textId="77777777" w:rsidR="002C3164" w:rsidRPr="004522FD" w:rsidRDefault="002C3164" w:rsidP="002C3164">
      <w:pPr>
        <w:jc w:val="both"/>
        <w:rPr>
          <w:rFonts w:asciiTheme="majorHAnsi" w:hAnsiTheme="majorHAnsi"/>
        </w:rPr>
      </w:pPr>
    </w:p>
    <w:p w14:paraId="38999EE9" w14:textId="77777777" w:rsidR="002C3164" w:rsidRPr="004522FD" w:rsidRDefault="002C3164" w:rsidP="002C3164">
      <w:pPr>
        <w:jc w:val="both"/>
        <w:rPr>
          <w:rFonts w:asciiTheme="majorHAnsi" w:hAnsiTheme="majorHAnsi"/>
          <w:color w:val="365F91" w:themeColor="accent1" w:themeShade="BF"/>
        </w:rPr>
      </w:pPr>
      <w:r w:rsidRPr="004522FD">
        <w:rPr>
          <w:rFonts w:asciiTheme="majorHAnsi" w:hAnsiTheme="majorHAnsi"/>
          <w:color w:val="365F91" w:themeColor="accent1" w:themeShade="BF"/>
        </w:rPr>
        <w:t>Conclusion</w:t>
      </w:r>
    </w:p>
    <w:p w14:paraId="780ECCDF" w14:textId="7D18B9B7" w:rsidR="002C3164" w:rsidRPr="002C3164" w:rsidRDefault="002C3164" w:rsidP="002C3164">
      <w:pPr>
        <w:jc w:val="both"/>
        <w:rPr>
          <w:rFonts w:asciiTheme="majorHAnsi" w:hAnsiTheme="majorHAnsi"/>
        </w:rPr>
      </w:pPr>
      <w:r w:rsidRPr="002C3164">
        <w:rPr>
          <w:rFonts w:asciiTheme="majorHAnsi" w:hAnsiTheme="majorHAnsi"/>
        </w:rPr>
        <w:t xml:space="preserve">Le </w:t>
      </w:r>
      <w:proofErr w:type="spellStart"/>
      <w:r w:rsidRPr="002C3164">
        <w:rPr>
          <w:rFonts w:asciiTheme="majorHAnsi" w:hAnsiTheme="majorHAnsi"/>
        </w:rPr>
        <w:t>mepolizumab</w:t>
      </w:r>
      <w:proofErr w:type="spellEnd"/>
      <w:r w:rsidRPr="002C3164">
        <w:rPr>
          <w:rFonts w:asciiTheme="majorHAnsi" w:hAnsiTheme="majorHAnsi"/>
        </w:rPr>
        <w:t xml:space="preserve"> à la dose de 100 mg a été associé à un taux annuel plus faible d'exacerbations modérées ou sévères que le placebo, et pourrait retarder celles-ci chez les patients BPCO avec phénotype éosinophile. La posologie de 300 mg n’apporte pas d’avantages par rapport à celle de 100 mg.</w:t>
      </w:r>
    </w:p>
    <w:p w14:paraId="6AD68E68" w14:textId="77777777" w:rsidR="002C3164" w:rsidRPr="002C3164" w:rsidRDefault="002C3164" w:rsidP="002C3164">
      <w:pPr>
        <w:jc w:val="both"/>
        <w:rPr>
          <w:rFonts w:asciiTheme="majorHAnsi" w:hAnsiTheme="majorHAnsi"/>
        </w:rPr>
      </w:pPr>
    </w:p>
    <w:p w14:paraId="64619991" w14:textId="77777777" w:rsidR="000249CB" w:rsidRPr="002C3164" w:rsidRDefault="000249CB" w:rsidP="000249CB">
      <w:pPr>
        <w:jc w:val="both"/>
        <w:rPr>
          <w:rFonts w:asciiTheme="majorHAnsi" w:hAnsiTheme="majorHAnsi"/>
        </w:rPr>
      </w:pPr>
    </w:p>
    <w:p w14:paraId="0F4D4923" w14:textId="77777777" w:rsidR="000249CB" w:rsidRPr="002C3164" w:rsidRDefault="000249CB" w:rsidP="000249CB">
      <w:pPr>
        <w:jc w:val="both"/>
        <w:rPr>
          <w:rFonts w:asciiTheme="majorHAnsi" w:hAnsiTheme="majorHAnsi"/>
        </w:rPr>
      </w:pPr>
    </w:p>
    <w:p w14:paraId="22FB880D" w14:textId="77777777" w:rsidR="000249CB" w:rsidRPr="002C3164" w:rsidRDefault="000249CB" w:rsidP="000249CB">
      <w:pPr>
        <w:jc w:val="both"/>
        <w:rPr>
          <w:rFonts w:asciiTheme="majorHAnsi" w:hAnsiTheme="majorHAnsi"/>
        </w:rPr>
      </w:pPr>
    </w:p>
    <w:p w14:paraId="269F2760" w14:textId="77777777" w:rsidR="000249CB" w:rsidRPr="002C3164" w:rsidRDefault="000249CB" w:rsidP="000249CB">
      <w:pPr>
        <w:jc w:val="both"/>
        <w:rPr>
          <w:rFonts w:asciiTheme="majorHAnsi" w:hAnsiTheme="majorHAnsi"/>
        </w:rPr>
      </w:pPr>
    </w:p>
    <w:p w14:paraId="42B660BF" w14:textId="77777777" w:rsidR="000249CB" w:rsidRPr="002C3164" w:rsidRDefault="000249CB" w:rsidP="000249CB">
      <w:pPr>
        <w:jc w:val="both"/>
        <w:rPr>
          <w:rFonts w:asciiTheme="majorHAnsi" w:hAnsiTheme="majorHAnsi"/>
        </w:rPr>
      </w:pPr>
    </w:p>
    <w:p w14:paraId="72988018" w14:textId="77777777" w:rsidR="00054778" w:rsidRPr="002C3164" w:rsidRDefault="00054778" w:rsidP="00E1667F">
      <w:pPr>
        <w:jc w:val="both"/>
        <w:rPr>
          <w:rFonts w:asciiTheme="majorHAnsi" w:hAnsiTheme="majorHAnsi"/>
        </w:rPr>
      </w:pPr>
    </w:p>
    <w:sectPr w:rsidR="00054778" w:rsidRPr="002C3164" w:rsidSect="008944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vPSMEL-B">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UniversLTStd-Bol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062"/>
    <w:multiLevelType w:val="hybridMultilevel"/>
    <w:tmpl w:val="4B52FAAA"/>
    <w:lvl w:ilvl="0" w:tplc="570614CC">
      <w:numFmt w:val="bullet"/>
      <w:lvlText w:val="-"/>
      <w:lvlJc w:val="left"/>
      <w:pPr>
        <w:ind w:left="720" w:hanging="360"/>
      </w:pPr>
      <w:rPr>
        <w:rFonts w:ascii="Calibri" w:eastAsiaTheme="minorHAnsi" w:hAnsi="Calibri" w:cs="AdvPSMEL-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E3796"/>
    <w:multiLevelType w:val="hybridMultilevel"/>
    <w:tmpl w:val="DB1674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AE"/>
    <w:rsid w:val="00004C82"/>
    <w:rsid w:val="000152EE"/>
    <w:rsid w:val="000249CB"/>
    <w:rsid w:val="0004617B"/>
    <w:rsid w:val="00054778"/>
    <w:rsid w:val="00084144"/>
    <w:rsid w:val="00097E23"/>
    <w:rsid w:val="000C3486"/>
    <w:rsid w:val="000E4E77"/>
    <w:rsid w:val="000F1C7A"/>
    <w:rsid w:val="000F4CFA"/>
    <w:rsid w:val="00130C8E"/>
    <w:rsid w:val="00152A3C"/>
    <w:rsid w:val="00165190"/>
    <w:rsid w:val="0016655A"/>
    <w:rsid w:val="0021072D"/>
    <w:rsid w:val="002C3164"/>
    <w:rsid w:val="002E338C"/>
    <w:rsid w:val="00305024"/>
    <w:rsid w:val="00374EE6"/>
    <w:rsid w:val="0039342C"/>
    <w:rsid w:val="003B2FDD"/>
    <w:rsid w:val="0040491D"/>
    <w:rsid w:val="00442DED"/>
    <w:rsid w:val="004522FD"/>
    <w:rsid w:val="004966BF"/>
    <w:rsid w:val="004F6698"/>
    <w:rsid w:val="005027AE"/>
    <w:rsid w:val="00530F21"/>
    <w:rsid w:val="0056112B"/>
    <w:rsid w:val="00566E92"/>
    <w:rsid w:val="005A6633"/>
    <w:rsid w:val="005F0C74"/>
    <w:rsid w:val="00673C6A"/>
    <w:rsid w:val="00677DE9"/>
    <w:rsid w:val="00755177"/>
    <w:rsid w:val="00771496"/>
    <w:rsid w:val="00776496"/>
    <w:rsid w:val="007B5B48"/>
    <w:rsid w:val="007E7A5F"/>
    <w:rsid w:val="00865746"/>
    <w:rsid w:val="00894469"/>
    <w:rsid w:val="00895A4A"/>
    <w:rsid w:val="008D6620"/>
    <w:rsid w:val="00963B8E"/>
    <w:rsid w:val="00981195"/>
    <w:rsid w:val="009F7D77"/>
    <w:rsid w:val="00A32D66"/>
    <w:rsid w:val="00A57D91"/>
    <w:rsid w:val="00A73B7B"/>
    <w:rsid w:val="00AB342D"/>
    <w:rsid w:val="00AC6E72"/>
    <w:rsid w:val="00B33DE0"/>
    <w:rsid w:val="00B82A83"/>
    <w:rsid w:val="00BB261D"/>
    <w:rsid w:val="00C43E86"/>
    <w:rsid w:val="00CB1845"/>
    <w:rsid w:val="00D44D03"/>
    <w:rsid w:val="00E155EC"/>
    <w:rsid w:val="00E1667F"/>
    <w:rsid w:val="00E21D9D"/>
    <w:rsid w:val="00E32FA6"/>
    <w:rsid w:val="00E362B7"/>
    <w:rsid w:val="00EE7301"/>
    <w:rsid w:val="00EF2159"/>
    <w:rsid w:val="00EF4DE5"/>
    <w:rsid w:val="00EF683A"/>
    <w:rsid w:val="00F470CD"/>
    <w:rsid w:val="00FF4A06"/>
    <w:rsid w:val="00FF66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B38F7"/>
  <w14:defaultImageDpi w14:val="300"/>
  <w15:docId w15:val="{B4216960-3B72-4C88-8925-7339075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66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3">
    <w:name w:val="heading 3"/>
    <w:basedOn w:val="Normal"/>
    <w:next w:val="Normal"/>
    <w:link w:val="Titre3Car"/>
    <w:uiPriority w:val="9"/>
    <w:semiHidden/>
    <w:unhideWhenUsed/>
    <w:qFormat/>
    <w:rsid w:val="00FF6684"/>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0249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67F"/>
    <w:rPr>
      <w:rFonts w:asciiTheme="majorHAnsi" w:eastAsiaTheme="majorEastAsia" w:hAnsiTheme="majorHAnsi" w:cstheme="majorBidi"/>
      <w:b/>
      <w:bCs/>
      <w:color w:val="365F91" w:themeColor="accent1" w:themeShade="BF"/>
      <w:sz w:val="28"/>
      <w:szCs w:val="28"/>
      <w:lang w:eastAsia="en-US"/>
    </w:rPr>
  </w:style>
  <w:style w:type="paragraph" w:styleId="Paragraphedeliste">
    <w:name w:val="List Paragraph"/>
    <w:basedOn w:val="Normal"/>
    <w:uiPriority w:val="34"/>
    <w:qFormat/>
    <w:rsid w:val="00E1667F"/>
    <w:pPr>
      <w:spacing w:after="200" w:line="276" w:lineRule="auto"/>
      <w:ind w:left="720"/>
      <w:contextualSpacing/>
    </w:pPr>
    <w:rPr>
      <w:rFonts w:eastAsiaTheme="minorHAnsi"/>
      <w:sz w:val="12"/>
      <w:szCs w:val="22"/>
      <w:lang w:eastAsia="en-US"/>
    </w:rPr>
  </w:style>
  <w:style w:type="paragraph" w:styleId="Sous-titre">
    <w:name w:val="Subtitle"/>
    <w:basedOn w:val="Normal"/>
    <w:next w:val="Normal"/>
    <w:link w:val="Sous-titreCar"/>
    <w:uiPriority w:val="11"/>
    <w:qFormat/>
    <w:rsid w:val="00E1667F"/>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ous-titreCar">
    <w:name w:val="Sous-titre Car"/>
    <w:basedOn w:val="Policepardfaut"/>
    <w:link w:val="Sous-titre"/>
    <w:uiPriority w:val="11"/>
    <w:rsid w:val="00E1667F"/>
    <w:rPr>
      <w:rFonts w:asciiTheme="majorHAnsi" w:eastAsiaTheme="majorEastAsia" w:hAnsiTheme="majorHAnsi" w:cstheme="majorBidi"/>
      <w:i/>
      <w:iCs/>
      <w:color w:val="4F81BD" w:themeColor="accent1"/>
      <w:spacing w:val="15"/>
      <w:lang w:eastAsia="en-US"/>
    </w:rPr>
  </w:style>
  <w:style w:type="character" w:styleId="Accentuation">
    <w:name w:val="Emphasis"/>
    <w:basedOn w:val="Policepardfaut"/>
    <w:uiPriority w:val="20"/>
    <w:qFormat/>
    <w:rsid w:val="00B82A83"/>
    <w:rPr>
      <w:i/>
      <w:iCs/>
    </w:rPr>
  </w:style>
  <w:style w:type="character" w:customStyle="1" w:styleId="highlight">
    <w:name w:val="highlight"/>
    <w:basedOn w:val="Policepardfaut"/>
    <w:rsid w:val="00A32D66"/>
  </w:style>
  <w:style w:type="character" w:customStyle="1" w:styleId="apple-converted-space">
    <w:name w:val="apple-converted-space"/>
    <w:basedOn w:val="Policepardfaut"/>
    <w:rsid w:val="00A32D66"/>
  </w:style>
  <w:style w:type="paragraph" w:styleId="Textedebulles">
    <w:name w:val="Balloon Text"/>
    <w:basedOn w:val="Normal"/>
    <w:link w:val="TextedebullesCar"/>
    <w:uiPriority w:val="99"/>
    <w:semiHidden/>
    <w:unhideWhenUsed/>
    <w:rsid w:val="00FF4A0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4A06"/>
    <w:rPr>
      <w:rFonts w:ascii="Lucida Grande" w:hAnsi="Lucida Grande" w:cs="Lucida Grande"/>
      <w:sz w:val="18"/>
      <w:szCs w:val="18"/>
    </w:rPr>
  </w:style>
  <w:style w:type="character" w:styleId="Lienhypertexte">
    <w:name w:val="Hyperlink"/>
    <w:basedOn w:val="Policepardfaut"/>
    <w:uiPriority w:val="99"/>
    <w:unhideWhenUsed/>
    <w:rsid w:val="009F7D77"/>
    <w:rPr>
      <w:color w:val="0000FF"/>
      <w:u w:val="single"/>
    </w:rPr>
  </w:style>
  <w:style w:type="paragraph" w:styleId="NormalWeb">
    <w:name w:val="Normal (Web)"/>
    <w:basedOn w:val="Normal"/>
    <w:uiPriority w:val="99"/>
    <w:unhideWhenUsed/>
    <w:rsid w:val="009F7D77"/>
    <w:pPr>
      <w:spacing w:before="100" w:beforeAutospacing="1" w:after="100" w:afterAutospacing="1"/>
    </w:pPr>
    <w:rPr>
      <w:rFonts w:ascii="Times New Roman" w:eastAsia="Times New Roman" w:hAnsi="Times New Roman" w:cs="Times New Roman"/>
    </w:rPr>
  </w:style>
  <w:style w:type="character" w:customStyle="1" w:styleId="Titre4Car">
    <w:name w:val="Titre 4 Car"/>
    <w:basedOn w:val="Policepardfaut"/>
    <w:link w:val="Titre4"/>
    <w:uiPriority w:val="9"/>
    <w:rsid w:val="000249CB"/>
    <w:rPr>
      <w:rFonts w:asciiTheme="majorHAnsi" w:eastAsiaTheme="majorEastAsia" w:hAnsiTheme="majorHAnsi" w:cstheme="majorBidi"/>
      <w:i/>
      <w:iCs/>
      <w:color w:val="365F91" w:themeColor="accent1" w:themeShade="BF"/>
    </w:rPr>
  </w:style>
  <w:style w:type="character" w:customStyle="1" w:styleId="Titre3Car">
    <w:name w:val="Titre 3 Car"/>
    <w:basedOn w:val="Policepardfaut"/>
    <w:link w:val="Titre3"/>
    <w:uiPriority w:val="9"/>
    <w:semiHidden/>
    <w:rsid w:val="00FF6684"/>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D44D03"/>
    <w:rPr>
      <w:sz w:val="16"/>
      <w:szCs w:val="16"/>
    </w:rPr>
  </w:style>
  <w:style w:type="paragraph" w:styleId="Commentaire">
    <w:name w:val="annotation text"/>
    <w:basedOn w:val="Normal"/>
    <w:link w:val="CommentaireCar"/>
    <w:uiPriority w:val="99"/>
    <w:semiHidden/>
    <w:unhideWhenUsed/>
    <w:rsid w:val="00D44D03"/>
    <w:rPr>
      <w:sz w:val="20"/>
      <w:szCs w:val="20"/>
    </w:rPr>
  </w:style>
  <w:style w:type="character" w:customStyle="1" w:styleId="CommentaireCar">
    <w:name w:val="Commentaire Car"/>
    <w:basedOn w:val="Policepardfaut"/>
    <w:link w:val="Commentaire"/>
    <w:uiPriority w:val="99"/>
    <w:semiHidden/>
    <w:rsid w:val="00D44D03"/>
    <w:rPr>
      <w:sz w:val="20"/>
      <w:szCs w:val="20"/>
    </w:rPr>
  </w:style>
  <w:style w:type="paragraph" w:styleId="Objetducommentaire">
    <w:name w:val="annotation subject"/>
    <w:basedOn w:val="Commentaire"/>
    <w:next w:val="Commentaire"/>
    <w:link w:val="ObjetducommentaireCar"/>
    <w:uiPriority w:val="99"/>
    <w:semiHidden/>
    <w:unhideWhenUsed/>
    <w:rsid w:val="00D44D03"/>
    <w:rPr>
      <w:b/>
      <w:bCs/>
    </w:rPr>
  </w:style>
  <w:style w:type="character" w:customStyle="1" w:styleId="ObjetducommentaireCar">
    <w:name w:val="Objet du commentaire Car"/>
    <w:basedOn w:val="CommentaireCar"/>
    <w:link w:val="Objetducommentaire"/>
    <w:uiPriority w:val="99"/>
    <w:semiHidden/>
    <w:rsid w:val="00D44D03"/>
    <w:rPr>
      <w:b/>
      <w:bCs/>
      <w:sz w:val="20"/>
      <w:szCs w:val="20"/>
    </w:rPr>
  </w:style>
  <w:style w:type="paragraph" w:customStyle="1" w:styleId="citationline">
    <w:name w:val="citationline"/>
    <w:basedOn w:val="Normal"/>
    <w:rsid w:val="00A73B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5550">
      <w:bodyDiv w:val="1"/>
      <w:marLeft w:val="0"/>
      <w:marRight w:val="0"/>
      <w:marTop w:val="0"/>
      <w:marBottom w:val="0"/>
      <w:divBdr>
        <w:top w:val="none" w:sz="0" w:space="0" w:color="auto"/>
        <w:left w:val="none" w:sz="0" w:space="0" w:color="auto"/>
        <w:bottom w:val="none" w:sz="0" w:space="0" w:color="auto"/>
        <w:right w:val="none" w:sz="0" w:space="0" w:color="auto"/>
      </w:divBdr>
      <w:divsChild>
        <w:div w:id="289752362">
          <w:marLeft w:val="0"/>
          <w:marRight w:val="0"/>
          <w:marTop w:val="0"/>
          <w:marBottom w:val="225"/>
          <w:divBdr>
            <w:top w:val="none" w:sz="0" w:space="0" w:color="auto"/>
            <w:left w:val="none" w:sz="0" w:space="0" w:color="auto"/>
            <w:bottom w:val="none" w:sz="0" w:space="0" w:color="auto"/>
            <w:right w:val="none" w:sz="0" w:space="0" w:color="auto"/>
          </w:divBdr>
        </w:div>
        <w:div w:id="2047023994">
          <w:marLeft w:val="0"/>
          <w:marRight w:val="0"/>
          <w:marTop w:val="0"/>
          <w:marBottom w:val="225"/>
          <w:divBdr>
            <w:top w:val="none" w:sz="0" w:space="0" w:color="auto"/>
            <w:left w:val="none" w:sz="0" w:space="0" w:color="auto"/>
            <w:bottom w:val="none" w:sz="0" w:space="0" w:color="auto"/>
            <w:right w:val="none" w:sz="0" w:space="0" w:color="auto"/>
          </w:divBdr>
        </w:div>
        <w:div w:id="477961835">
          <w:marLeft w:val="0"/>
          <w:marRight w:val="0"/>
          <w:marTop w:val="0"/>
          <w:marBottom w:val="225"/>
          <w:divBdr>
            <w:top w:val="none" w:sz="0" w:space="0" w:color="auto"/>
            <w:left w:val="none" w:sz="0" w:space="0" w:color="auto"/>
            <w:bottom w:val="none" w:sz="0" w:space="0" w:color="auto"/>
            <w:right w:val="none" w:sz="0" w:space="0" w:color="auto"/>
          </w:divBdr>
        </w:div>
      </w:divsChild>
    </w:div>
    <w:div w:id="136336726">
      <w:bodyDiv w:val="1"/>
      <w:marLeft w:val="0"/>
      <w:marRight w:val="0"/>
      <w:marTop w:val="0"/>
      <w:marBottom w:val="0"/>
      <w:divBdr>
        <w:top w:val="none" w:sz="0" w:space="0" w:color="auto"/>
        <w:left w:val="none" w:sz="0" w:space="0" w:color="auto"/>
        <w:bottom w:val="none" w:sz="0" w:space="0" w:color="auto"/>
        <w:right w:val="none" w:sz="0" w:space="0" w:color="auto"/>
      </w:divBdr>
      <w:divsChild>
        <w:div w:id="1594628360">
          <w:marLeft w:val="0"/>
          <w:marRight w:val="0"/>
          <w:marTop w:val="0"/>
          <w:marBottom w:val="225"/>
          <w:divBdr>
            <w:top w:val="none" w:sz="0" w:space="0" w:color="auto"/>
            <w:left w:val="none" w:sz="0" w:space="0" w:color="auto"/>
            <w:bottom w:val="none" w:sz="0" w:space="0" w:color="auto"/>
            <w:right w:val="none" w:sz="0" w:space="0" w:color="auto"/>
          </w:divBdr>
        </w:div>
        <w:div w:id="1382049975">
          <w:marLeft w:val="0"/>
          <w:marRight w:val="0"/>
          <w:marTop w:val="0"/>
          <w:marBottom w:val="225"/>
          <w:divBdr>
            <w:top w:val="none" w:sz="0" w:space="0" w:color="auto"/>
            <w:left w:val="none" w:sz="0" w:space="0" w:color="auto"/>
            <w:bottom w:val="none" w:sz="0" w:space="0" w:color="auto"/>
            <w:right w:val="none" w:sz="0" w:space="0" w:color="auto"/>
          </w:divBdr>
        </w:div>
        <w:div w:id="1245990443">
          <w:marLeft w:val="0"/>
          <w:marRight w:val="0"/>
          <w:marTop w:val="0"/>
          <w:marBottom w:val="225"/>
          <w:divBdr>
            <w:top w:val="none" w:sz="0" w:space="0" w:color="auto"/>
            <w:left w:val="none" w:sz="0" w:space="0" w:color="auto"/>
            <w:bottom w:val="none" w:sz="0" w:space="0" w:color="auto"/>
            <w:right w:val="none" w:sz="0" w:space="0" w:color="auto"/>
          </w:divBdr>
        </w:div>
        <w:div w:id="1926452891">
          <w:marLeft w:val="0"/>
          <w:marRight w:val="0"/>
          <w:marTop w:val="0"/>
          <w:marBottom w:val="225"/>
          <w:divBdr>
            <w:top w:val="none" w:sz="0" w:space="0" w:color="auto"/>
            <w:left w:val="none" w:sz="0" w:space="0" w:color="auto"/>
            <w:bottom w:val="none" w:sz="0" w:space="0" w:color="auto"/>
            <w:right w:val="none" w:sz="0" w:space="0" w:color="auto"/>
          </w:divBdr>
        </w:div>
      </w:divsChild>
    </w:div>
    <w:div w:id="1398437922">
      <w:bodyDiv w:val="1"/>
      <w:marLeft w:val="0"/>
      <w:marRight w:val="0"/>
      <w:marTop w:val="0"/>
      <w:marBottom w:val="0"/>
      <w:divBdr>
        <w:top w:val="none" w:sz="0" w:space="0" w:color="auto"/>
        <w:left w:val="none" w:sz="0" w:space="0" w:color="auto"/>
        <w:bottom w:val="none" w:sz="0" w:space="0" w:color="auto"/>
        <w:right w:val="none" w:sz="0" w:space="0" w:color="auto"/>
      </w:divBdr>
    </w:div>
    <w:div w:id="1451390714">
      <w:bodyDiv w:val="1"/>
      <w:marLeft w:val="0"/>
      <w:marRight w:val="0"/>
      <w:marTop w:val="0"/>
      <w:marBottom w:val="0"/>
      <w:divBdr>
        <w:top w:val="none" w:sz="0" w:space="0" w:color="auto"/>
        <w:left w:val="none" w:sz="0" w:space="0" w:color="auto"/>
        <w:bottom w:val="none" w:sz="0" w:space="0" w:color="auto"/>
        <w:right w:val="none" w:sz="0" w:space="0" w:color="auto"/>
      </w:divBdr>
    </w:div>
    <w:div w:id="1478305833">
      <w:bodyDiv w:val="1"/>
      <w:marLeft w:val="0"/>
      <w:marRight w:val="0"/>
      <w:marTop w:val="0"/>
      <w:marBottom w:val="0"/>
      <w:divBdr>
        <w:top w:val="none" w:sz="0" w:space="0" w:color="auto"/>
        <w:left w:val="none" w:sz="0" w:space="0" w:color="auto"/>
        <w:bottom w:val="none" w:sz="0" w:space="0" w:color="auto"/>
        <w:right w:val="none" w:sz="0" w:space="0" w:color="auto"/>
      </w:divBdr>
    </w:div>
    <w:div w:id="184327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cid/article-abstract/65/7/1174/4067376/Safety-and-Immunogenicity-of-Inactivated-Varicella?redirectedFrom=fulltext" TargetMode="External"/><Relationship Id="rId13" Type="http://schemas.openxmlformats.org/officeDocument/2006/relationships/hyperlink" Target="http://www.nejm.org/action/doSecureKeyLogin?uuid=11521308&amp;dateTime=201709141615&amp;key=jeEoXYKyMsjwCYZdX0lAPPOXgkOZEF4UwUpJHums1Ys%3D&amp;uri=/doi/full/10.1056/NEJMoa1616011?query=endocrinology" TargetMode="External"/><Relationship Id="rId18" Type="http://schemas.openxmlformats.org/officeDocument/2006/relationships/hyperlink" Target="https://www.ncbi.nlm.nih.gov/pubmed/28902593" TargetMode="External"/><Relationship Id="rId26" Type="http://schemas.openxmlformats.org/officeDocument/2006/relationships/hyperlink" Target="https://www.ncbi.nlm.nih.gov/pubmed/28892457" TargetMode="External"/><Relationship Id="rId3" Type="http://schemas.openxmlformats.org/officeDocument/2006/relationships/settings" Target="settings.xml"/><Relationship Id="rId21" Type="http://schemas.openxmlformats.org/officeDocument/2006/relationships/hyperlink" Target="https://www.ncbi.nlm.nih.gov/pubmed/?term=EVALUATION+OF+A+RAPID+MOLECULAR+DRUG-SUSCEPTIBILITY+TEST+FOR+TUBERCULOSIS" TargetMode="External"/><Relationship Id="rId7" Type="http://schemas.openxmlformats.org/officeDocument/2006/relationships/hyperlink" Target="https://www.ncbi.nlm.nih.gov/pubmed/28765251" TargetMode="External"/><Relationship Id="rId12" Type="http://schemas.openxmlformats.org/officeDocument/2006/relationships/image" Target="media/image3.png"/><Relationship Id="rId17" Type="http://schemas.openxmlformats.org/officeDocument/2006/relationships/hyperlink" Target="https://www.ncbi.nlm.nih.gov/pubmed/28847206" TargetMode="External"/><Relationship Id="rId25" Type="http://schemas.openxmlformats.org/officeDocument/2006/relationships/hyperlink" Target="https://www.ncbi.nlm.nih.gov/pubmed/28889792" TargetMode="External"/><Relationship Id="rId2" Type="http://schemas.openxmlformats.org/officeDocument/2006/relationships/styles" Target="styles.xml"/><Relationship Id="rId16" Type="http://schemas.openxmlformats.org/officeDocument/2006/relationships/hyperlink" Target="http://response.nejm.org/t?r=3962&amp;c=12802&amp;l=2&amp;ctl=2AAD9:3D01FB3A6181836791FB1230EABD270A961CAA5EB78719DF&amp;uuid=11521308&amp;dateTime=201709230000&amp;key=IPb%2F7F2IsLqSO6QF0ojcAP%2FEvRwrnB0nIuBp49bxFOY%3D" TargetMode="External"/><Relationship Id="rId20" Type="http://schemas.openxmlformats.org/officeDocument/2006/relationships/hyperlink" Target="http://response.nejm.org/t?r=3962&amp;c=12802&amp;l=2&amp;ctl=2AAD9:3D01FB3A6181836791FB1230EABD270A961CAA5EB78719DF&amp;uuid=11521308&amp;dateTime=201709230000&amp;key=IPb%2F7F2IsLqSO6QF0ojcAP%2FEvRwrnB0nIuBp49bxFOY%3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ubmed/?term=SYSTEMIC+LUPUS+ERYTHEMATOSUS+AND+LYMPHOPENIA%3A+CLINICAL+AND+PATHOPHYSIOLOGICAL+FEATURES" TargetMode="External"/><Relationship Id="rId11" Type="http://schemas.openxmlformats.org/officeDocument/2006/relationships/image" Target="media/image2.png"/><Relationship Id="rId24" Type="http://schemas.openxmlformats.org/officeDocument/2006/relationships/hyperlink" Target="https://www.ncbi.nlm.nih.gov/pubmed/?term=ADJUVANT+DABRAFENIB+PLUS+TRAMETINIB+IN+STAGE+III+BRAF-MUTATED+MELANOMA" TargetMode="External"/><Relationship Id="rId5" Type="http://schemas.openxmlformats.org/officeDocument/2006/relationships/hyperlink" Target="https://www.ncbi.nlm.nih.gov/pubmed/?term=TAKAYASU+ARTERITIS+AND+PREGNANCY%3A+A+POPULATION-BASED+STUDY+ON+OUTCOMES+AND+MOTHER%2FCHILD-RELATED+CONCERNS" TargetMode="External"/><Relationship Id="rId15" Type="http://schemas.openxmlformats.org/officeDocument/2006/relationships/hyperlink" Target="http://response.nejm.org/t?r=3962&amp;c=12802&amp;l=2&amp;ctl=2AAE0:3D01FB3A6181836791FB1230EABD270A961CAA5EB78719DF&amp;uuid=11521308&amp;dateTime=201709230000&amp;key=IPb%2F7F2IsLqSO6QF0ojcAP%2FEvRwrnB0nIuBp49bxFOY%3D" TargetMode="External"/><Relationship Id="rId23" Type="http://schemas.openxmlformats.org/officeDocument/2006/relationships/hyperlink" Target="https://www.ncbi.nlm.nih.gov/pubmed/28891423"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ncbi.nlm.nih.gov/pubmed/28845751" TargetMode="External"/><Relationship Id="rId4" Type="http://schemas.openxmlformats.org/officeDocument/2006/relationships/webSettings" Target="webSettings.xml"/><Relationship Id="rId9" Type="http://schemas.openxmlformats.org/officeDocument/2006/relationships/hyperlink" Target="https://www.ncbi.nlm.nih.gov/pubmed/?term=EFFECT%C2%A0OF%C2%A0METHOTREXATE%C2%A0DISCONTINUATION%C2%A0ON%C2%A0EFFICACY%C2%A0OF%C2%A0SEASONAL%C2%A0INFLUENZA+VACCINATION+IN+PATIENTS+WITH+RHEUMATOID+ARTHRITIS%3A+A+RANDOMISED+CLINICAL+TRIAL" TargetMode="External"/><Relationship Id="rId14" Type="http://schemas.openxmlformats.org/officeDocument/2006/relationships/hyperlink" Target="https://www.ncbi.nlm.nih.gov/pubmed/?term=LIRAGLUTIDE+AND+RENAL+OUTCOMES+IN+TYPE+2+DIABETES" TargetMode="External"/><Relationship Id="rId22" Type="http://schemas.openxmlformats.org/officeDocument/2006/relationships/hyperlink" Target="https://www.ncbi.nlm.nih.gov/pubmed/?term=DURVALUMAB+AFTER+CHEMORADIOTHERAPY+IN+STAGE+III+NON&#8211;SMALL-CELL+LUNG+CANCER" TargetMode="External"/><Relationship Id="rId27" Type="http://schemas.openxmlformats.org/officeDocument/2006/relationships/hyperlink" Target="https://www.ncbi.nlm.nih.gov/pubmed/2889313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25</Pages>
  <Words>9438</Words>
  <Characters>51911</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benbonne</dc:creator>
  <cp:keywords/>
  <dc:description/>
  <cp:lastModifiedBy>AUDE</cp:lastModifiedBy>
  <cp:revision>15</cp:revision>
  <dcterms:created xsi:type="dcterms:W3CDTF">2017-10-13T06:39:00Z</dcterms:created>
  <dcterms:modified xsi:type="dcterms:W3CDTF">2017-10-15T11:38:00Z</dcterms:modified>
</cp:coreProperties>
</file>