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line="276" w:lineRule="auto"/>
        <w:rPr>
          <w:rFonts w:ascii="Times New Roman" w:hAnsi="Times New Roman" w:eastAsia="Times New Roman" w:cs="Times New Roman"/>
          <w:sz w:val="24"/>
          <w:szCs w:val="24"/>
        </w:rPr>
      </w:pPr>
      <w:bookmarkStart w:id="0" w:name="_GoBack"/>
      <w:bookmarkEnd w:id="0"/>
    </w:p>
    <w:p w14:paraId="00000002">
      <w:pPr>
        <w:spacing w:line="276" w:lineRule="auto"/>
        <w:rPr>
          <w:rFonts w:ascii="Times New Roman" w:hAnsi="Times New Roman" w:eastAsia="Times New Roman" w:cs="Times New Roman"/>
          <w:sz w:val="24"/>
          <w:szCs w:val="24"/>
        </w:rPr>
      </w:pPr>
    </w:p>
    <w:p w14:paraId="00000003">
      <w:pPr>
        <w:spacing w:line="276" w:lineRule="auto"/>
        <w:rPr>
          <w:rFonts w:ascii="Times New Roman" w:hAnsi="Times New Roman" w:eastAsia="Times New Roman" w:cs="Times New Roman"/>
          <w:b/>
          <w:bCs/>
          <w:sz w:val="40"/>
          <w:szCs w:val="40"/>
        </w:rPr>
      </w:pPr>
    </w:p>
    <w:p w14:paraId="00000004">
      <w:pPr>
        <w:spacing w:line="276" w:lineRule="auto"/>
        <w:jc w:val="center"/>
        <w:rPr>
          <w:rFonts w:ascii="Times New Roman" w:hAnsi="Times New Roman" w:eastAsia="Times New Roman" w:cs="Times New Roman"/>
          <w:b/>
          <w:bCs/>
          <w:sz w:val="40"/>
          <w:szCs w:val="40"/>
        </w:rPr>
      </w:pPr>
    </w:p>
    <w:p w14:paraId="00000006">
      <w:pPr>
        <w:spacing w:line="276" w:lineRule="auto"/>
        <w:jc w:val="center"/>
        <w:rPr>
          <w:rFonts w:ascii="Times New Roman" w:hAnsi="Times New Roman" w:eastAsia="Times New Roman" w:cs="Times New Roman"/>
          <w:b/>
          <w:bCs/>
          <w:sz w:val="40"/>
          <w:szCs w:val="40"/>
        </w:rPr>
      </w:pPr>
    </w:p>
    <w:p w14:paraId="00000007">
      <w:pPr>
        <w:spacing w:line="276" w:lineRule="auto"/>
        <w:jc w:val="both"/>
        <w:rPr>
          <w:rFonts w:ascii="Times New Roman" w:hAnsi="Times New Roman" w:eastAsia="Times New Roman" w:cs="Times New Roman"/>
          <w:b/>
          <w:bCs/>
          <w:sz w:val="40"/>
          <w:szCs w:val="40"/>
        </w:rPr>
      </w:pPr>
    </w:p>
    <w:p w14:paraId="00000008">
      <w:pPr>
        <w:spacing w:line="276" w:lineRule="auto"/>
        <w:jc w:val="center"/>
        <w:rPr>
          <w:rFonts w:ascii="Times New Roman" w:hAnsi="Times New Roman" w:eastAsia="Times New Roman" w:cs="Times New Roman"/>
          <w:b/>
          <w:bCs/>
          <w:sz w:val="40"/>
          <w:szCs w:val="40"/>
          <w:rtl w:val="0"/>
        </w:rPr>
      </w:pPr>
      <w:r>
        <w:rPr>
          <w:rFonts w:ascii="Times New Roman" w:hAnsi="Times New Roman" w:eastAsia="Times New Roman" w:cs="Times New Roman"/>
          <w:b/>
          <w:bCs/>
          <w:sz w:val="40"/>
          <w:szCs w:val="40"/>
          <w:rtl w:val="0"/>
        </w:rPr>
        <w:t>To what extent are modern economies shaped by networks rather than markets? In a world increasingly influenced by artificial intelligence, will human connections become more or less economically important?</w:t>
      </w:r>
    </w:p>
    <w:p w14:paraId="41564090">
      <w:pPr>
        <w:spacing w:line="276" w:lineRule="auto"/>
        <w:jc w:val="center"/>
        <w:rPr>
          <w:rFonts w:ascii="Times New Roman" w:hAnsi="Times New Roman" w:eastAsia="Times New Roman" w:cs="Times New Roman"/>
          <w:b/>
          <w:bCs/>
          <w:sz w:val="40"/>
          <w:szCs w:val="40"/>
          <w:rtl w:val="0"/>
        </w:rPr>
      </w:pPr>
    </w:p>
    <w:p w14:paraId="717B5020">
      <w:pPr>
        <w:keepNext w:val="0"/>
        <w:keepLines w:val="0"/>
        <w:pageBreakBefore w:val="0"/>
        <w:widowControl/>
        <w:kinsoku/>
        <w:wordWrap/>
        <w:overflowPunct/>
        <w:topLinePunct w:val="0"/>
        <w:autoSpaceDE/>
        <w:autoSpaceDN/>
        <w:bidi w:val="0"/>
        <w:adjustRightInd/>
        <w:snapToGrid/>
        <w:spacing w:line="480" w:lineRule="auto"/>
        <w:jc w:val="center"/>
        <w:textAlignment w:val="auto"/>
        <w:rPr>
          <w:rFonts w:hint="default" w:ascii="Times New Roman" w:hAnsi="Times New Roman" w:eastAsia="Times New Roman" w:cs="Times New Roman"/>
          <w:b/>
          <w:sz w:val="24"/>
          <w:szCs w:val="24"/>
          <w:rtl w:val="0"/>
          <w:lang w:val="en-US" w:eastAsia="zh-CN"/>
        </w:rPr>
      </w:pPr>
      <w:r>
        <w:rPr>
          <w:rFonts w:hint="default" w:ascii="Times New Roman" w:hAnsi="Times New Roman" w:eastAsia="Times New Roman" w:cs="Times New Roman"/>
          <w:b/>
          <w:sz w:val="24"/>
          <w:szCs w:val="24"/>
          <w:rtl w:val="0"/>
          <w:lang w:val="en-US" w:eastAsia="zh-CN"/>
        </w:rPr>
        <w:t>Sining Zhang</w:t>
      </w:r>
    </w:p>
    <w:p w14:paraId="67868FDE">
      <w:pPr>
        <w:spacing w:line="276" w:lineRule="auto"/>
        <w:jc w:val="center"/>
        <w:rPr>
          <w:rFonts w:ascii="Times New Roman" w:hAnsi="Times New Roman" w:eastAsia="Times New Roman" w:cs="Times New Roman"/>
          <w:b/>
          <w:bCs/>
          <w:sz w:val="40"/>
          <w:szCs w:val="40"/>
          <w:rtl w:val="0"/>
        </w:rPr>
      </w:pPr>
    </w:p>
    <w:p w14:paraId="00000009">
      <w:pPr>
        <w:spacing w:line="276" w:lineRule="auto"/>
        <w:rPr>
          <w:rFonts w:ascii="Times New Roman" w:hAnsi="Times New Roman" w:eastAsia="Times New Roman" w:cs="Times New Roman"/>
          <w:b/>
          <w:bCs/>
          <w:sz w:val="40"/>
          <w:szCs w:val="40"/>
        </w:rPr>
      </w:pPr>
    </w:p>
    <w:p w14:paraId="0000000A">
      <w:pPr>
        <w:spacing w:line="276" w:lineRule="auto"/>
        <w:rPr>
          <w:rFonts w:ascii="Times New Roman" w:hAnsi="Times New Roman" w:eastAsia="Times New Roman" w:cs="Times New Roman"/>
          <w:b/>
          <w:bCs/>
          <w:sz w:val="40"/>
          <w:szCs w:val="40"/>
        </w:rPr>
      </w:pPr>
    </w:p>
    <w:p w14:paraId="0000000B">
      <w:pPr>
        <w:spacing w:line="276" w:lineRule="auto"/>
        <w:rPr>
          <w:rFonts w:ascii="Times New Roman" w:hAnsi="Times New Roman" w:eastAsia="Times New Roman" w:cs="Times New Roman"/>
          <w:b/>
          <w:bCs/>
          <w:sz w:val="40"/>
          <w:szCs w:val="40"/>
        </w:rPr>
      </w:pPr>
    </w:p>
    <w:p w14:paraId="0000000C">
      <w:pPr>
        <w:spacing w:line="276" w:lineRule="auto"/>
        <w:rPr>
          <w:rFonts w:ascii="Times New Roman" w:hAnsi="Times New Roman" w:eastAsia="Times New Roman" w:cs="Times New Roman"/>
          <w:b/>
          <w:bCs/>
          <w:sz w:val="40"/>
          <w:szCs w:val="40"/>
        </w:rPr>
      </w:pPr>
    </w:p>
    <w:p w14:paraId="0000000D">
      <w:pPr>
        <w:spacing w:line="276" w:lineRule="auto"/>
        <w:rPr>
          <w:rFonts w:ascii="Times New Roman" w:hAnsi="Times New Roman" w:eastAsia="Times New Roman" w:cs="Times New Roman"/>
          <w:b/>
          <w:bCs/>
          <w:sz w:val="40"/>
          <w:szCs w:val="40"/>
        </w:rPr>
      </w:pPr>
    </w:p>
    <w:p w14:paraId="0000000E">
      <w:pPr>
        <w:spacing w:line="276" w:lineRule="auto"/>
        <w:rPr>
          <w:rFonts w:ascii="Times New Roman" w:hAnsi="Times New Roman" w:eastAsia="Times New Roman" w:cs="Times New Roman"/>
          <w:b/>
          <w:bCs/>
          <w:sz w:val="40"/>
          <w:szCs w:val="40"/>
        </w:rPr>
      </w:pPr>
    </w:p>
    <w:p w14:paraId="0000000F">
      <w:pPr>
        <w:spacing w:line="276" w:lineRule="auto"/>
        <w:rPr>
          <w:rFonts w:ascii="Times New Roman" w:hAnsi="Times New Roman" w:eastAsia="Times New Roman" w:cs="Times New Roman"/>
          <w:b/>
          <w:bCs/>
          <w:sz w:val="40"/>
          <w:szCs w:val="40"/>
        </w:rPr>
      </w:pPr>
    </w:p>
    <w:p w14:paraId="00000010">
      <w:pPr>
        <w:spacing w:line="276" w:lineRule="auto"/>
        <w:rPr>
          <w:rFonts w:ascii="Times New Roman" w:hAnsi="Times New Roman" w:eastAsia="Times New Roman" w:cs="Times New Roman"/>
          <w:b/>
          <w:bCs/>
          <w:sz w:val="40"/>
          <w:szCs w:val="40"/>
        </w:rPr>
      </w:pPr>
    </w:p>
    <w:p w14:paraId="00000015">
      <w:pPr>
        <w:spacing w:line="276" w:lineRule="auto"/>
        <w:rPr>
          <w:rFonts w:ascii="Times New Roman" w:hAnsi="Times New Roman" w:eastAsia="Times New Roman" w:cs="Times New Roman"/>
          <w:b/>
          <w:bCs/>
          <w:sz w:val="40"/>
          <w:szCs w:val="40"/>
        </w:rPr>
      </w:pPr>
    </w:p>
    <w:p w14:paraId="77B2F65E">
      <w:pPr>
        <w:spacing w:line="276" w:lineRule="auto"/>
        <w:rPr>
          <w:rFonts w:ascii="Times New Roman" w:hAnsi="Times New Roman" w:eastAsia="Times New Roman" w:cs="Times New Roman"/>
          <w:b/>
          <w:bCs/>
          <w:sz w:val="40"/>
          <w:szCs w:val="40"/>
        </w:rPr>
      </w:pPr>
    </w:p>
    <w:p w14:paraId="5F3CC5E7">
      <w:pPr>
        <w:spacing w:line="276" w:lineRule="auto"/>
        <w:rPr>
          <w:rFonts w:ascii="Times New Roman" w:hAnsi="Times New Roman" w:eastAsia="Times New Roman" w:cs="Times New Roman"/>
          <w:b/>
          <w:bCs/>
          <w:sz w:val="40"/>
          <w:szCs w:val="40"/>
        </w:rPr>
      </w:pPr>
    </w:p>
    <w:p w14:paraId="00000016">
      <w:pPr>
        <w:spacing w:line="276"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Abstract</w:t>
      </w:r>
    </w:p>
    <w:p w14:paraId="00000017">
      <w:pPr>
        <w:spacing w:line="276" w:lineRule="auto"/>
        <w:rPr>
          <w:rFonts w:ascii="Times New Roman" w:hAnsi="Times New Roman" w:eastAsia="Times New Roman" w:cs="Times New Roman"/>
          <w:sz w:val="24"/>
          <w:szCs w:val="24"/>
        </w:rPr>
      </w:pPr>
    </w:p>
    <w:p w14:paraId="00000018">
      <w:pPr>
        <w:keepNext w:val="0"/>
        <w:keepLines w:val="0"/>
        <w:pageBreakBefore w:val="0"/>
        <w:widowControl/>
        <w:kinsoku/>
        <w:wordWrap/>
        <w:overflowPunct/>
        <w:topLinePunct w:val="0"/>
        <w:autoSpaceDE/>
        <w:autoSpaceDN/>
        <w:bidi w:val="0"/>
        <w:adjustRightInd/>
        <w:snapToGrid/>
        <w:spacing w:after="120" w:line="480" w:lineRule="auto"/>
        <w:jc w:val="both"/>
        <w:textAlignment w:val="auto"/>
        <w:rPr>
          <w:rFonts w:hint="default"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rPr>
        <w:t>Despite being described as markets, modern economies essentially operate as networks. Markets determine prices but are not responsible for distributing access; networks do. When the value is not apparent and there is high risk of losses such as in jobs, lending, and contracts, it is the relationships that decide who gets the opportunity and prices just confirm it. The equilibrium is determined by transaction costs, however now artificial intelligence is altering that equilibrium. Goldfarb and Tucker illustrate that digitisation simultaneously reduced five different costs among them search and verification. Cheap verification made possible the rating systems that enable strangers to trade with confidence which explains why for thirty years it seemed like markets were absorbing networks. Generative AI reverses that equilibrium, making search costs almost nothing while at the same time verification is made costly by the fact that it has become cheap to falsify credentials, identities, and portfolios.</w:t>
      </w:r>
    </w:p>
    <w:p w14:paraId="00000019">
      <w:pPr>
        <w:keepNext w:val="0"/>
        <w:keepLines w:val="0"/>
        <w:pageBreakBefore w:val="0"/>
        <w:widowControl/>
        <w:kinsoku/>
        <w:wordWrap/>
        <w:overflowPunct/>
        <w:topLinePunct w:val="0"/>
        <w:autoSpaceDE/>
        <w:autoSpaceDN/>
        <w:bidi w:val="0"/>
        <w:adjustRightInd/>
        <w:snapToGrid/>
        <w:spacing w:after="120" w:line="480" w:lineRule="auto"/>
        <w:jc w:val="both"/>
        <w:textAlignment w:val="auto"/>
        <w:rPr>
          <w:rFonts w:hint="default" w:ascii="Times New Roman" w:hAnsi="Times New Roman" w:eastAsia="Times New Roman" w:cs="Times New Roman"/>
          <w:sz w:val="24"/>
          <w:szCs w:val="24"/>
          <w:rtl w:val="0"/>
        </w:rPr>
      </w:pPr>
    </w:p>
    <w:p w14:paraId="0000001A">
      <w:pPr>
        <w:keepNext w:val="0"/>
        <w:keepLines w:val="0"/>
        <w:pageBreakBefore w:val="0"/>
        <w:widowControl/>
        <w:kinsoku/>
        <w:wordWrap/>
        <w:overflowPunct/>
        <w:topLinePunct w:val="0"/>
        <w:autoSpaceDE/>
        <w:autoSpaceDN/>
        <w:bidi w:val="0"/>
        <w:adjustRightInd/>
        <w:snapToGrid/>
        <w:spacing w:after="120" w:line="480" w:lineRule="auto"/>
        <w:jc w:val="both"/>
        <w:textAlignment w:val="auto"/>
        <w:rPr>
          <w:rFonts w:hint="default"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rPr>
        <w:t>The 2025 indictment of a North Korean remote-work scheme, that had operatives working inside over a hundred American companies under stolen identities, demonstrates what is going to be the result. Faced with each digital signal being created, firms moved back to doing expensive and lengthy relationship-based check ups. Therefore a human connection is becoming economically more significant, though its role now is restricted to trust attestation (which AI cannot) while AI is able to replace information channeling. Because relationships are inherited, this change is regressive. The article suggests Portable Attestation Commons based on the Account Aggregator model of India.</w:t>
      </w:r>
    </w:p>
    <w:p w14:paraId="0F7E5DA2">
      <w:pPr>
        <w:spacing w:line="276" w:lineRule="auto"/>
        <w:rPr>
          <w:rFonts w:ascii="Times New Roman" w:hAnsi="Times New Roman" w:eastAsia="Times New Roman" w:cs="Times New Roman"/>
          <w:sz w:val="24"/>
          <w:szCs w:val="24"/>
          <w:rtl w:val="0"/>
        </w:rPr>
      </w:pPr>
    </w:p>
    <w:p w14:paraId="6AA32D63">
      <w:pPr>
        <w:spacing w:line="276" w:lineRule="auto"/>
        <w:rPr>
          <w:rFonts w:ascii="Times New Roman" w:hAnsi="Times New Roman" w:eastAsia="Times New Roman" w:cs="Times New Roman"/>
          <w:sz w:val="24"/>
          <w:szCs w:val="24"/>
          <w:rtl w:val="0"/>
        </w:rPr>
      </w:pPr>
    </w:p>
    <w:p w14:paraId="0000001B">
      <w:pPr>
        <w:spacing w:line="276" w:lineRule="auto"/>
        <w:rPr>
          <w:rFonts w:ascii="Times New Roman" w:hAnsi="Times New Roman" w:eastAsia="Times New Roman" w:cs="Times New Roman"/>
          <w:sz w:val="24"/>
          <w:szCs w:val="24"/>
        </w:rPr>
      </w:pPr>
    </w:p>
    <w:p w14:paraId="0000001D">
      <w:pPr>
        <w:keepNext w:val="0"/>
        <w:keepLines w:val="0"/>
        <w:pageBreakBefore w:val="0"/>
        <w:widowControl/>
        <w:kinsoku/>
        <w:wordWrap/>
        <w:overflowPunct/>
        <w:topLinePunct w:val="0"/>
        <w:autoSpaceDE/>
        <w:autoSpaceDN/>
        <w:bidi w:val="0"/>
        <w:adjustRightInd/>
        <w:snapToGrid/>
        <w:spacing w:after="120" w:line="480" w:lineRule="auto"/>
        <w:jc w:val="both"/>
        <w:textAlignment w:val="auto"/>
        <w:rPr>
          <w:rFonts w:ascii="Times New Roman" w:hAnsi="Times New Roman" w:eastAsia="Times New Roman" w:cs="Times New Roman"/>
          <w:b/>
          <w:bCs/>
          <w:sz w:val="24"/>
          <w:szCs w:val="24"/>
        </w:rPr>
      </w:pPr>
      <w:r>
        <w:rPr>
          <w:rFonts w:hint="default" w:ascii="Times New Roman" w:hAnsi="Times New Roman" w:eastAsia="Times New Roman" w:cs="Times New Roman"/>
          <w:b/>
          <w:sz w:val="24"/>
          <w:szCs w:val="24"/>
          <w:rtl w:val="0"/>
        </w:rPr>
        <w:t>Introduction</w:t>
      </w:r>
    </w:p>
    <w:p w14:paraId="0000001F">
      <w:pPr>
        <w:keepNext w:val="0"/>
        <w:keepLines w:val="0"/>
        <w:pageBreakBefore w:val="0"/>
        <w:widowControl/>
        <w:kinsoku/>
        <w:wordWrap/>
        <w:overflowPunct/>
        <w:topLinePunct w:val="0"/>
        <w:autoSpaceDE/>
        <w:autoSpaceDN/>
        <w:bidi w:val="0"/>
        <w:adjustRightInd/>
        <w:snapToGrid/>
        <w:spacing w:after="120" w:line="480" w:lineRule="auto"/>
        <w:jc w:val="both"/>
        <w:textAlignment w:val="auto"/>
        <w:rPr>
          <w:rFonts w:hint="default"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rPr>
        <w:t>In June 2025, US federal agents conducted a search at 29 houses in 16 states, seeking laptops. These were company-issued laptops left by former employees, found in a couple of American suburb homes, still signed in for jobs in different places remotely. The Justice Department referred to the places as laptop farms. From 2021 to 2024, North Korean hackers stole the identities of over 80 American citizens to secure remote jobs with more than 100 US companies, some of them Fortune 500 ones ("Justice Department"). The CVs, the references, and the letters of appointment were all made up; front companies that were incorporated vouched for the workers they claimed not to know. Everything except for being physically in America could be faked in Pyongyang: the American worker was the one left out. Therefore, they had to book a flat.</w:t>
      </w:r>
    </w:p>
    <w:p w14:paraId="00000021">
      <w:pPr>
        <w:keepNext w:val="0"/>
        <w:keepLines w:val="0"/>
        <w:pageBreakBefore w:val="0"/>
        <w:widowControl/>
        <w:kinsoku/>
        <w:wordWrap/>
        <w:overflowPunct/>
        <w:topLinePunct w:val="0"/>
        <w:autoSpaceDE/>
        <w:autoSpaceDN/>
        <w:bidi w:val="0"/>
        <w:adjustRightInd/>
        <w:snapToGrid/>
        <w:spacing w:after="120" w:line="480" w:lineRule="auto"/>
        <w:jc w:val="both"/>
        <w:textAlignment w:val="auto"/>
        <w:rPr>
          <w:rFonts w:hint="default" w:ascii="Times New Roman" w:hAnsi="Times New Roman" w:eastAsia="Times New Roman" w:cs="Times New Roman"/>
          <w:b/>
          <w:sz w:val="24"/>
          <w:szCs w:val="24"/>
          <w:rtl w:val="0"/>
        </w:rPr>
      </w:pPr>
      <w:r>
        <w:rPr>
          <w:rFonts w:hint="default" w:ascii="Times New Roman" w:hAnsi="Times New Roman" w:eastAsia="Times New Roman" w:cs="Times New Roman"/>
          <w:sz w:val="24"/>
          <w:szCs w:val="24"/>
          <w:rtl w:val="0"/>
        </w:rPr>
        <w:t>Although this event resembles a cybersecurity issue, it is primarily a tale of what limitations the market has and how far it can check.</w:t>
      </w:r>
    </w:p>
    <w:p w14:paraId="00000022">
      <w:pPr>
        <w:keepNext w:val="0"/>
        <w:keepLines w:val="0"/>
        <w:pageBreakBefore w:val="0"/>
        <w:widowControl/>
        <w:kinsoku/>
        <w:wordWrap/>
        <w:overflowPunct/>
        <w:topLinePunct w:val="0"/>
        <w:autoSpaceDE/>
        <w:autoSpaceDN/>
        <w:bidi w:val="0"/>
        <w:adjustRightInd/>
        <w:snapToGrid/>
        <w:spacing w:after="120" w:line="480" w:lineRule="auto"/>
        <w:jc w:val="both"/>
        <w:textAlignment w:val="auto"/>
        <w:rPr>
          <w:rFonts w:hint="default" w:ascii="Times New Roman" w:hAnsi="Times New Roman" w:eastAsia="Times New Roman" w:cs="Times New Roman"/>
          <w:b/>
          <w:sz w:val="24"/>
          <w:szCs w:val="24"/>
          <w:rtl w:val="0"/>
        </w:rPr>
      </w:pPr>
      <w:r>
        <w:rPr>
          <w:rFonts w:hint="default" w:ascii="Times New Roman" w:hAnsi="Times New Roman" w:eastAsia="Times New Roman" w:cs="Times New Roman"/>
          <w:b/>
          <w:sz w:val="24"/>
          <w:szCs w:val="24"/>
          <w:rtl w:val="0"/>
        </w:rPr>
        <w:t>Markets Clear Prices: Networks Allocate Access</w:t>
      </w:r>
    </w:p>
    <w:p w14:paraId="42768BF5">
      <w:pPr>
        <w:keepNext w:val="0"/>
        <w:keepLines w:val="0"/>
        <w:pageBreakBefore w:val="0"/>
        <w:widowControl/>
        <w:kinsoku/>
        <w:wordWrap/>
        <w:overflowPunct/>
        <w:topLinePunct w:val="0"/>
        <w:autoSpaceDE/>
        <w:autoSpaceDN/>
        <w:bidi w:val="0"/>
        <w:adjustRightInd/>
        <w:snapToGrid/>
        <w:spacing w:after="120" w:line="480" w:lineRule="auto"/>
        <w:jc w:val="both"/>
        <w:textAlignment w:val="auto"/>
        <w:rPr>
          <w:rFonts w:hint="default"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rPr>
        <w:t>Who needs an introduction to buy rice as rice can be seen before buying but for products where the quality isn’t obvious and the stakes are very high, relationships do the allocating and the prices ratify. Chetty and others analysing over twenty-one billion friendships discovered that economic connectedness, i.e., the share of high-income friends one has among low-income friends is a major predictor of mobility, about two billion in adult incomes for poor children (Chetty et al. 108). Rajkumar and co-authors who demonstrated experimentally that such a relationship is indeed the mechanism that transmits the jobs across people, about twenty million LinkedIn users and over six hundred thousand job changes (Rajkumar et al. 1304).</w:t>
      </w:r>
    </w:p>
    <w:p w14:paraId="00000026">
      <w:pPr>
        <w:keepNext w:val="0"/>
        <w:keepLines w:val="0"/>
        <w:pageBreakBefore w:val="0"/>
        <w:widowControl/>
        <w:kinsoku/>
        <w:wordWrap/>
        <w:overflowPunct/>
        <w:topLinePunct w:val="0"/>
        <w:autoSpaceDE/>
        <w:autoSpaceDN/>
        <w:bidi w:val="0"/>
        <w:adjustRightInd/>
        <w:snapToGrid/>
        <w:spacing w:after="120" w:line="480" w:lineRule="auto"/>
        <w:jc w:val="both"/>
        <w:textAlignment w:val="auto"/>
        <w:rPr>
          <w:rFonts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In conclusion, how much of modern economies are being molded by networks, as opposed to markets? Nowhere, perhaps, but exactly where it makes the difference: markets indicate the price; networks determine who may complete.</w:t>
      </w:r>
    </w:p>
    <w:p w14:paraId="00000028">
      <w:pPr>
        <w:keepNext w:val="0"/>
        <w:keepLines w:val="0"/>
        <w:pageBreakBefore w:val="0"/>
        <w:widowControl/>
        <w:kinsoku/>
        <w:wordWrap/>
        <w:overflowPunct/>
        <w:topLinePunct w:val="0"/>
        <w:autoSpaceDE/>
        <w:autoSpaceDN/>
        <w:bidi w:val="0"/>
        <w:adjustRightInd/>
        <w:snapToGrid/>
        <w:spacing w:after="120" w:line="480" w:lineRule="auto"/>
        <w:jc w:val="both"/>
        <w:textAlignment w:val="auto"/>
        <w:rPr>
          <w:rFonts w:ascii="Times New Roman" w:hAnsi="Times New Roman" w:eastAsia="Times New Roman" w:cs="Times New Roman"/>
          <w:sz w:val="24"/>
          <w:szCs w:val="24"/>
        </w:rPr>
      </w:pPr>
      <w:r>
        <w:rPr>
          <w:rFonts w:hint="default" w:ascii="Times New Roman" w:hAnsi="Times New Roman" w:eastAsia="Times New Roman" w:cs="Times New Roman"/>
          <w:b/>
          <w:sz w:val="24"/>
          <w:szCs w:val="24"/>
          <w:rtl w:val="0"/>
        </w:rPr>
        <w:t>Why the Costs Came Apart</w:t>
      </w:r>
    </w:p>
    <w:p w14:paraId="0000002A">
      <w:pPr>
        <w:keepNext w:val="0"/>
        <w:keepLines w:val="0"/>
        <w:pageBreakBefore w:val="0"/>
        <w:widowControl/>
        <w:kinsoku/>
        <w:wordWrap/>
        <w:overflowPunct/>
        <w:topLinePunct w:val="0"/>
        <w:autoSpaceDE/>
        <w:autoSpaceDN/>
        <w:bidi w:val="0"/>
        <w:adjustRightInd/>
        <w:snapToGrid/>
        <w:spacing w:after="120" w:line="480" w:lineRule="auto"/>
        <w:jc w:val="both"/>
        <w:textAlignment w:val="auto"/>
        <w:rPr>
          <w:rFonts w:hint="default"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rPr>
        <w:t>For thirty years, it seemed solvable, with time. Goldfarb and Tucker, in fact, have boiled down the digital revolution as lowering simultaneously five economic costs including search and verification (Goldfarb and Tucker 3). Cheap search has given us price comparison; cheap verification has given us the ratings and reputation systems that let strangers hand one another money. Coordination that once demanded a personal introduction was delegated to a five-star average, and the network came to look residual, a pre-modern fallback awaiting obsolescence.</w:t>
      </w:r>
    </w:p>
    <w:p w14:paraId="0000002B">
      <w:pPr>
        <w:keepNext w:val="0"/>
        <w:keepLines w:val="0"/>
        <w:pageBreakBefore w:val="0"/>
        <w:widowControl/>
        <w:kinsoku/>
        <w:wordWrap/>
        <w:overflowPunct/>
        <w:topLinePunct w:val="0"/>
        <w:autoSpaceDE/>
        <w:autoSpaceDN/>
        <w:bidi w:val="0"/>
        <w:adjustRightInd/>
        <w:snapToGrid/>
        <w:spacing w:after="120" w:line="480" w:lineRule="auto"/>
        <w:jc w:val="both"/>
        <w:textAlignment w:val="auto"/>
        <w:rPr>
          <w:rFonts w:hint="default"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rPr>
        <w:t>Two of those costs define the boundary. Search cost is the expense of finding the other party; verification cost is confirming their authenticity. Markets are healthy when prices carry the load because verification is cheap whereas, where it is expensive, networks take over because a tie bundles a repeated game, a reputational stake, and an option of recourse. Thus, a relationship isn’t just emotion but it also is a verification technology. However, Goldfarb and Tucker see their five costs as being inter-related and yet, actually, two costs are quite different. Essentially, search is a scarcity problem, it is reduced with abundant information, whereas verification is an adversarial problem that is resolved only when it becomes hard to fake the credibility signal. Generative AI, therefore, is the first technology that gives us search and cheap verification at the same time, i.e., it can separate them.</w:t>
      </w:r>
    </w:p>
    <w:p w14:paraId="0000002E">
      <w:pPr>
        <w:keepNext w:val="0"/>
        <w:keepLines w:val="0"/>
        <w:pageBreakBefore w:val="0"/>
        <w:widowControl/>
        <w:kinsoku/>
        <w:wordWrap/>
        <w:overflowPunct/>
        <w:topLinePunct w:val="0"/>
        <w:autoSpaceDE/>
        <w:autoSpaceDN/>
        <w:bidi w:val="0"/>
        <w:adjustRightInd/>
        <w:snapToGrid/>
        <w:spacing w:after="120" w:line="480" w:lineRule="auto"/>
        <w:jc w:val="both"/>
        <w:textAlignment w:val="auto"/>
        <w:rPr>
          <w:rFonts w:hint="default"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rPr>
        <w:t>When a signal discriminates between the strong and the weak only if the weak have to spend more to produce it, a portfolio is the most logical choice. Brynjolfsson, Li and Raymond observed that customer-support productivity was raised overall by a small fifteen per cent using generative AI but for beginners alone it was a big thirty-four per cent and hardly there for the experts (Brynjolfsson et al. 889), narrowing the expert-beginner gap. The former expert indicators were no longer distinguished after the integration.</w:t>
      </w:r>
    </w:p>
    <w:p w14:paraId="0000002F">
      <w:pPr>
        <w:keepNext w:val="0"/>
        <w:keepLines w:val="0"/>
        <w:pageBreakBefore w:val="0"/>
        <w:widowControl/>
        <w:kinsoku/>
        <w:wordWrap/>
        <w:overflowPunct/>
        <w:topLinePunct w:val="0"/>
        <w:autoSpaceDE/>
        <w:autoSpaceDN/>
        <w:bidi w:val="0"/>
        <w:adjustRightInd/>
        <w:snapToGrid/>
        <w:spacing w:after="120" w:line="480" w:lineRule="auto"/>
        <w:jc w:val="both"/>
        <w:textAlignment w:val="auto"/>
        <w:rPr>
          <w:rFonts w:hint="default"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rPr>
        <w:t>The value of a tie changes. When jobs are communicated through weak ties, weak ties help by spreading news of jobs otherwise missed; that is essentially the job for which a new AI can provide information to the user instantaneously and for free, hence the price of weak tie network collapses. However, strong ties are involved in something different. They vouch for their reputation as collateral. The credibility of a pledge comes precisely from its ability to cost. Hence, AI cannot simulate this because the cost isn’t just a matter of the signal being made. The cost is part and parcel of the signal.</w:t>
      </w:r>
    </w:p>
    <w:p w14:paraId="00000030">
      <w:pPr>
        <w:keepNext w:val="0"/>
        <w:keepLines w:val="0"/>
        <w:pageBreakBefore w:val="0"/>
        <w:widowControl/>
        <w:kinsoku/>
        <w:wordWrap/>
        <w:overflowPunct/>
        <w:topLinePunct w:val="0"/>
        <w:autoSpaceDE/>
        <w:autoSpaceDN/>
        <w:bidi w:val="0"/>
        <w:adjustRightInd/>
        <w:snapToGrid/>
        <w:spacing w:after="120" w:line="480" w:lineRule="auto"/>
        <w:jc w:val="both"/>
        <w:textAlignment w:val="auto"/>
        <w:rPr>
          <w:rFonts w:hint="default" w:ascii="Times New Roman" w:hAnsi="Times New Roman" w:eastAsia="Times New Roman" w:cs="Times New Roman"/>
          <w:b/>
          <w:sz w:val="24"/>
          <w:szCs w:val="24"/>
          <w:rtl w:val="0"/>
        </w:rPr>
      </w:pPr>
      <w:r>
        <w:rPr>
          <w:rFonts w:hint="default" w:ascii="Times New Roman" w:hAnsi="Times New Roman" w:eastAsia="Times New Roman" w:cs="Times New Roman"/>
          <w:b/>
          <w:sz w:val="24"/>
          <w:szCs w:val="24"/>
          <w:rtl w:val="0"/>
        </w:rPr>
        <w:t>The Laptop Farm, Revisited</w:t>
      </w:r>
    </w:p>
    <w:p w14:paraId="00000031">
      <w:pPr>
        <w:keepNext w:val="0"/>
        <w:keepLines w:val="0"/>
        <w:pageBreakBefore w:val="0"/>
        <w:widowControl/>
        <w:kinsoku/>
        <w:wordWrap/>
        <w:overflowPunct/>
        <w:topLinePunct w:val="0"/>
        <w:autoSpaceDE/>
        <w:autoSpaceDN/>
        <w:bidi w:val="0"/>
        <w:adjustRightInd/>
        <w:snapToGrid/>
        <w:spacing w:after="120" w:line="480" w:lineRule="auto"/>
        <w:jc w:val="both"/>
        <w:textAlignment w:val="auto"/>
        <w:rPr>
          <w:rFonts w:hint="default"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rPr>
        <w:t>Clearly, renting the house was a good move. Every signal in the market was falsified: the identity, the résumé, the employer reference, websites even to the people who, in reality, they never existed. That's what the plan lacked the sharpness of the screening but the geography basically a presence.</w:t>
      </w:r>
    </w:p>
    <w:p w14:paraId="00000032">
      <w:pPr>
        <w:keepNext w:val="0"/>
        <w:keepLines w:val="0"/>
        <w:pageBreakBefore w:val="0"/>
        <w:widowControl/>
        <w:kinsoku/>
        <w:wordWrap/>
        <w:overflowPunct/>
        <w:topLinePunct w:val="0"/>
        <w:autoSpaceDE/>
        <w:autoSpaceDN/>
        <w:bidi w:val="0"/>
        <w:adjustRightInd/>
        <w:snapToGrid/>
        <w:spacing w:after="120" w:line="480" w:lineRule="auto"/>
        <w:jc w:val="both"/>
        <w:textAlignment w:val="auto"/>
        <w:rPr>
          <w:rFonts w:hint="default"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rPr>
        <w:t>The laptop farm is verification cost turned into material things, genuine signals that's being measured through the monthly rent.</w:t>
      </w:r>
    </w:p>
    <w:p w14:paraId="00000033">
      <w:pPr>
        <w:keepNext w:val="0"/>
        <w:keepLines w:val="0"/>
        <w:pageBreakBefore w:val="0"/>
        <w:widowControl/>
        <w:kinsoku/>
        <w:wordWrap/>
        <w:overflowPunct/>
        <w:topLinePunct w:val="0"/>
        <w:autoSpaceDE/>
        <w:autoSpaceDN/>
        <w:bidi w:val="0"/>
        <w:adjustRightInd/>
        <w:snapToGrid/>
        <w:spacing w:after="120" w:line="480" w:lineRule="auto"/>
        <w:jc w:val="both"/>
        <w:textAlignment w:val="auto"/>
        <w:rPr>
          <w:rFonts w:hint="default"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rPr>
        <w:t>As of April 2024 Amazon has blocked 1, 800 suspicious NK applicants. The candidate profiles are the fake one in four globally; Gartner predicts 2028; notably, sixty-two per cent of applicants believe that if interviews are held face-to-face, they will be more likely to apply. ("Gartner Survey") They both are willingly choosing the slower, more expensive and therefore harder-to-copies pathway: a verification premium which is revealed not just as an opinion but as willingness to pay.</w:t>
      </w:r>
    </w:p>
    <w:p w14:paraId="00000034">
      <w:pPr>
        <w:keepNext w:val="0"/>
        <w:keepLines w:val="0"/>
        <w:pageBreakBefore w:val="0"/>
        <w:widowControl/>
        <w:kinsoku/>
        <w:wordWrap/>
        <w:overflowPunct/>
        <w:topLinePunct w:val="0"/>
        <w:autoSpaceDE/>
        <w:autoSpaceDN/>
        <w:bidi w:val="0"/>
        <w:adjustRightInd/>
        <w:snapToGrid/>
        <w:spacing w:after="120" w:line="480" w:lineRule="auto"/>
        <w:jc w:val="both"/>
        <w:textAlignment w:val="auto"/>
        <w:rPr>
          <w:rFonts w:hint="default"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rPr>
        <w:t>The retreat is the only logic, yet, it is going to be a bit more corrosive if the access to a referral system is one of inheritance, not merit (Chetty et al.). So, every step backward to the network gives opportunity to the already connected ones. Also, this phenomenon isn’t confined only to hiring: there is even an organisation market for the fake reviews, and the misinformation has remained top of the World Economic Forum's short-term risk register for two consecutive years (He et al. 896; World Economic Forum). A problem related to information is quietly becoming a problem of inequality.</w:t>
      </w:r>
    </w:p>
    <w:p w14:paraId="00000035">
      <w:pPr>
        <w:keepNext w:val="0"/>
        <w:keepLines w:val="0"/>
        <w:pageBreakBefore w:val="0"/>
        <w:widowControl/>
        <w:kinsoku/>
        <w:wordWrap/>
        <w:overflowPunct/>
        <w:topLinePunct w:val="0"/>
        <w:autoSpaceDE/>
        <w:autoSpaceDN/>
        <w:bidi w:val="0"/>
        <w:adjustRightInd/>
        <w:snapToGrid/>
        <w:spacing w:after="120" w:line="480" w:lineRule="auto"/>
        <w:jc w:val="both"/>
        <w:textAlignment w:val="auto"/>
        <w:rPr>
          <w:rFonts w:hint="default" w:ascii="Times New Roman" w:hAnsi="Times New Roman" w:eastAsia="Times New Roman" w:cs="Times New Roman"/>
          <w:b/>
          <w:sz w:val="24"/>
          <w:szCs w:val="24"/>
          <w:rtl w:val="0"/>
        </w:rPr>
      </w:pPr>
      <w:r>
        <w:rPr>
          <w:rFonts w:hint="default" w:ascii="Times New Roman" w:hAnsi="Times New Roman" w:eastAsia="Times New Roman" w:cs="Times New Roman"/>
          <w:b/>
          <w:sz w:val="24"/>
          <w:szCs w:val="24"/>
          <w:rtl w:val="0"/>
        </w:rPr>
        <w:t>A Portable Attestation Commons</w:t>
      </w:r>
    </w:p>
    <w:p w14:paraId="00000036">
      <w:pPr>
        <w:keepNext w:val="0"/>
        <w:keepLines w:val="0"/>
        <w:pageBreakBefore w:val="0"/>
        <w:widowControl/>
        <w:kinsoku/>
        <w:wordWrap/>
        <w:overflowPunct/>
        <w:topLinePunct w:val="0"/>
        <w:autoSpaceDE/>
        <w:autoSpaceDN/>
        <w:bidi w:val="0"/>
        <w:adjustRightInd/>
        <w:snapToGrid/>
        <w:spacing w:after="120" w:line="480" w:lineRule="auto"/>
        <w:jc w:val="both"/>
        <w:textAlignment w:val="auto"/>
        <w:rPr>
          <w:rFonts w:hint="default"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rPr>
        <w:t>Each solution must first look at the issue from the perspectives of economics. Verification is essentially a public good; it is non-rivalrous, positive in its externalities, and insufficiently supplied for the simple reason that each platform conceals its reputation behind its own proprietary wall. Therefore, attestations cannot be transferred from one space to another: a rating obtained by a person in one environment cannot be transferred beyond that platform, which is why one only has a portable trust through one's personal contact as the birth-right asset. A Portable Attestation Commons would make the silos of the platform-transparent by letting accredited institutions issue cryptographically signed and revocable attestation which the individuals can carry and selectively disclose.</w:t>
      </w:r>
    </w:p>
    <w:p w14:paraId="00000037">
      <w:pPr>
        <w:keepNext w:val="0"/>
        <w:keepLines w:val="0"/>
        <w:pageBreakBefore w:val="0"/>
        <w:widowControl/>
        <w:kinsoku/>
        <w:wordWrap/>
        <w:overflowPunct/>
        <w:topLinePunct w:val="0"/>
        <w:autoSpaceDE/>
        <w:autoSpaceDN/>
        <w:bidi w:val="0"/>
        <w:adjustRightInd/>
        <w:snapToGrid/>
        <w:spacing w:after="120" w:line="480" w:lineRule="auto"/>
        <w:jc w:val="both"/>
        <w:textAlignment w:val="auto"/>
        <w:rPr>
          <w:rFonts w:hint="default"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rPr>
        <w:t>There is already a technical base for it since C2PA's Content Credentials tie tamper-evident provenance on the digital artefact (C2PA Specifications) and even the legal one supports this; the EU AI Act (Article 50(2)) makes it mandatory for providers to put a marker on synthetic outputs with the machine readable format ("Article 50").</w:t>
      </w:r>
    </w:p>
    <w:p w14:paraId="00000038">
      <w:pPr>
        <w:keepNext w:val="0"/>
        <w:keepLines w:val="0"/>
        <w:pageBreakBefore w:val="0"/>
        <w:widowControl/>
        <w:kinsoku/>
        <w:wordWrap/>
        <w:overflowPunct/>
        <w:topLinePunct w:val="0"/>
        <w:autoSpaceDE/>
        <w:autoSpaceDN/>
        <w:bidi w:val="0"/>
        <w:adjustRightInd/>
        <w:snapToGrid/>
        <w:spacing w:after="120" w:line="480" w:lineRule="auto"/>
        <w:jc w:val="both"/>
        <w:textAlignment w:val="auto"/>
        <w:rPr>
          <w:rFonts w:hint="default"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rPr>
        <w:t>A suitable model of governance could well be inspired from the Indian Account Aggregator framework. It is RBI regulated, needs to be on the bases of consent and through design, data-blindness is ensured, thus the aggregator is neither in a position to read nor to profit out of the data that it conveys. In March 2026, it had opened 2.88 billion accounts and connected 284.6 million (India, Department of Financial Services), which had brought the family-oriented credit decision making of an in-depth bank branch from the old days as an item that is portable. Risks, in fact, are real: the omission of people without legal documentation, surveillance becoming common, capture of the registry operator, attestations being manipulated which is the case even with a fake product review.</w:t>
      </w:r>
    </w:p>
    <w:p w14:paraId="00000039">
      <w:pPr>
        <w:keepNext w:val="0"/>
        <w:keepLines w:val="0"/>
        <w:pageBreakBefore w:val="0"/>
        <w:widowControl/>
        <w:kinsoku/>
        <w:wordWrap/>
        <w:overflowPunct/>
        <w:topLinePunct w:val="0"/>
        <w:autoSpaceDE/>
        <w:autoSpaceDN/>
        <w:bidi w:val="0"/>
        <w:adjustRightInd/>
        <w:snapToGrid/>
        <w:spacing w:after="120" w:line="480" w:lineRule="auto"/>
        <w:jc w:val="both"/>
        <w:textAlignment w:val="auto"/>
        <w:rPr>
          <w:rFonts w:hint="default"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rPr>
        <w:t>Audit of such measures, of course, remains the same. One of the honest limits is that the commons can reduce the cost of verification and it will not totally do away with them. The framework offers its own solutions which involve data-blindness, revocable consent, federation rather than a single registry, and open standards.</w:t>
      </w:r>
    </w:p>
    <w:p w14:paraId="0000003A">
      <w:pPr>
        <w:keepNext w:val="0"/>
        <w:keepLines w:val="0"/>
        <w:pageBreakBefore w:val="0"/>
        <w:widowControl/>
        <w:kinsoku/>
        <w:wordWrap/>
        <w:overflowPunct/>
        <w:topLinePunct w:val="0"/>
        <w:autoSpaceDE/>
        <w:autoSpaceDN/>
        <w:bidi w:val="0"/>
        <w:adjustRightInd/>
        <w:snapToGrid/>
        <w:spacing w:after="120" w:line="480" w:lineRule="auto"/>
        <w:jc w:val="both"/>
        <w:textAlignment w:val="auto"/>
        <w:rPr>
          <w:rFonts w:hint="default" w:ascii="Times New Roman" w:hAnsi="Times New Roman" w:eastAsia="Times New Roman" w:cs="Times New Roman"/>
          <w:b/>
          <w:sz w:val="24"/>
          <w:szCs w:val="24"/>
          <w:rtl w:val="0"/>
        </w:rPr>
      </w:pPr>
      <w:r>
        <w:rPr>
          <w:rFonts w:hint="default" w:ascii="Times New Roman" w:hAnsi="Times New Roman" w:eastAsia="Times New Roman" w:cs="Times New Roman"/>
          <w:b/>
          <w:sz w:val="24"/>
          <w:szCs w:val="24"/>
          <w:rtl w:val="0"/>
        </w:rPr>
        <w:t>Conclusion</w:t>
      </w:r>
    </w:p>
    <w:p w14:paraId="0000003B">
      <w:pPr>
        <w:keepNext w:val="0"/>
        <w:keepLines w:val="0"/>
        <w:pageBreakBefore w:val="0"/>
        <w:widowControl/>
        <w:kinsoku/>
        <w:wordWrap/>
        <w:overflowPunct/>
        <w:topLinePunct w:val="0"/>
        <w:autoSpaceDE/>
        <w:autoSpaceDN/>
        <w:bidi w:val="0"/>
        <w:adjustRightInd/>
        <w:snapToGrid/>
        <w:spacing w:after="120" w:line="480" w:lineRule="auto"/>
        <w:jc w:val="both"/>
        <w:textAlignment w:val="auto"/>
        <w:rPr>
          <w:rFonts w:hint="default"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rPr>
        <w:t>Markets are in charge of finding prices, networks are in charge of determining who gets access and how, and the degree to which they do that is precisely determined by how much verification costs exceed search costs. For thirty years the two were one and the same and markets seemed to be getting their way. Generative AI broke that parity, and the laptop farm has emerged as a new type of equilibrium where one can be seen as microcosm: a place that created every diploma contained in the file yet crashed at verifying the one thing still really expensive to fudge human being in the office. The importance of human contact will hence increase, but they will be reprioritized from being merely a link between you and a piece of information to serving as an endorsement. In such a scenario, the result is that you just inherit trust from others. That, however, is not a given.</w:t>
      </w:r>
    </w:p>
    <w:p w14:paraId="05F2A594">
      <w:pPr>
        <w:spacing w:before="240" w:line="276" w:lineRule="auto"/>
        <w:rPr>
          <w:rFonts w:ascii="Times New Roman" w:hAnsi="Times New Roman" w:eastAsia="Times New Roman" w:cs="Times New Roman"/>
          <w:sz w:val="24"/>
          <w:szCs w:val="24"/>
          <w:rtl w:val="0"/>
        </w:rPr>
      </w:pPr>
    </w:p>
    <w:p w14:paraId="4C60426B">
      <w:pPr>
        <w:spacing w:before="240" w:line="276" w:lineRule="auto"/>
        <w:rPr>
          <w:rFonts w:ascii="Times New Roman" w:hAnsi="Times New Roman" w:eastAsia="Times New Roman" w:cs="Times New Roman"/>
          <w:sz w:val="24"/>
          <w:szCs w:val="24"/>
          <w:rtl w:val="0"/>
        </w:rPr>
      </w:pPr>
    </w:p>
    <w:p w14:paraId="6750E42A">
      <w:pPr>
        <w:spacing w:before="240" w:line="276" w:lineRule="auto"/>
        <w:rPr>
          <w:rFonts w:ascii="Times New Roman" w:hAnsi="Times New Roman" w:eastAsia="Times New Roman" w:cs="Times New Roman"/>
          <w:sz w:val="24"/>
          <w:szCs w:val="24"/>
          <w:rtl w:val="0"/>
        </w:rPr>
      </w:pPr>
    </w:p>
    <w:p w14:paraId="639285E7">
      <w:pPr>
        <w:spacing w:before="240" w:line="276" w:lineRule="auto"/>
        <w:rPr>
          <w:rFonts w:ascii="Times New Roman" w:hAnsi="Times New Roman" w:eastAsia="Times New Roman" w:cs="Times New Roman"/>
          <w:sz w:val="24"/>
          <w:szCs w:val="24"/>
          <w:rtl w:val="0"/>
        </w:rPr>
      </w:pPr>
    </w:p>
    <w:p w14:paraId="44451999">
      <w:pPr>
        <w:spacing w:before="240" w:line="276" w:lineRule="auto"/>
        <w:rPr>
          <w:rFonts w:ascii="Times New Roman" w:hAnsi="Times New Roman" w:eastAsia="Times New Roman" w:cs="Times New Roman"/>
          <w:sz w:val="24"/>
          <w:szCs w:val="24"/>
          <w:rtl w:val="0"/>
        </w:rPr>
      </w:pPr>
    </w:p>
    <w:p w14:paraId="52D969D1">
      <w:pPr>
        <w:spacing w:before="240" w:line="276" w:lineRule="auto"/>
        <w:rPr>
          <w:rFonts w:ascii="Times New Roman" w:hAnsi="Times New Roman" w:eastAsia="Times New Roman" w:cs="Times New Roman"/>
          <w:sz w:val="24"/>
          <w:szCs w:val="24"/>
          <w:rtl w:val="0"/>
        </w:rPr>
      </w:pPr>
    </w:p>
    <w:p w14:paraId="23309BAB">
      <w:pPr>
        <w:spacing w:before="240" w:line="276" w:lineRule="auto"/>
        <w:rPr>
          <w:rFonts w:ascii="Times New Roman" w:hAnsi="Times New Roman" w:eastAsia="Times New Roman" w:cs="Times New Roman"/>
          <w:sz w:val="24"/>
          <w:szCs w:val="24"/>
          <w:rtl w:val="0"/>
        </w:rPr>
      </w:pPr>
    </w:p>
    <w:p w14:paraId="14E79498">
      <w:pPr>
        <w:spacing w:before="240" w:line="276" w:lineRule="auto"/>
        <w:rPr>
          <w:rFonts w:ascii="Times New Roman" w:hAnsi="Times New Roman" w:eastAsia="Times New Roman" w:cs="Times New Roman"/>
          <w:sz w:val="24"/>
          <w:szCs w:val="24"/>
          <w:rtl w:val="0"/>
        </w:rPr>
      </w:pPr>
    </w:p>
    <w:p w14:paraId="3FBB67A4">
      <w:pPr>
        <w:spacing w:before="240" w:line="276" w:lineRule="auto"/>
        <w:rPr>
          <w:rFonts w:ascii="Times New Roman" w:hAnsi="Times New Roman" w:eastAsia="Times New Roman" w:cs="Times New Roman"/>
          <w:sz w:val="24"/>
          <w:szCs w:val="24"/>
          <w:rtl w:val="0"/>
        </w:rPr>
      </w:pPr>
    </w:p>
    <w:p w14:paraId="55118747">
      <w:pPr>
        <w:spacing w:before="240" w:line="276" w:lineRule="auto"/>
        <w:rPr>
          <w:rFonts w:ascii="Times New Roman" w:hAnsi="Times New Roman" w:eastAsia="Times New Roman" w:cs="Times New Roman"/>
          <w:sz w:val="24"/>
          <w:szCs w:val="24"/>
          <w:rtl w:val="0"/>
        </w:rPr>
      </w:pPr>
    </w:p>
    <w:p w14:paraId="09A03000">
      <w:pPr>
        <w:spacing w:before="240" w:line="276" w:lineRule="auto"/>
        <w:rPr>
          <w:rFonts w:ascii="Times New Roman" w:hAnsi="Times New Roman" w:eastAsia="Times New Roman" w:cs="Times New Roman"/>
          <w:sz w:val="24"/>
          <w:szCs w:val="24"/>
          <w:rtl w:val="0"/>
        </w:rPr>
      </w:pPr>
    </w:p>
    <w:p w14:paraId="7A568581">
      <w:pPr>
        <w:spacing w:before="240" w:line="276" w:lineRule="auto"/>
        <w:rPr>
          <w:rFonts w:ascii="Times New Roman" w:hAnsi="Times New Roman" w:eastAsia="Times New Roman" w:cs="Times New Roman"/>
          <w:sz w:val="24"/>
          <w:szCs w:val="24"/>
          <w:rtl w:val="0"/>
        </w:rPr>
      </w:pPr>
    </w:p>
    <w:p w14:paraId="7A4114EA">
      <w:pPr>
        <w:spacing w:before="240" w:line="276" w:lineRule="auto"/>
        <w:rPr>
          <w:rFonts w:ascii="Times New Roman" w:hAnsi="Times New Roman" w:eastAsia="Times New Roman" w:cs="Times New Roman"/>
          <w:sz w:val="24"/>
          <w:szCs w:val="24"/>
          <w:rtl w:val="0"/>
        </w:rPr>
      </w:pPr>
    </w:p>
    <w:p w14:paraId="4B2DCB70">
      <w:pPr>
        <w:spacing w:before="240" w:line="276" w:lineRule="auto"/>
        <w:rPr>
          <w:rFonts w:ascii="Times New Roman" w:hAnsi="Times New Roman" w:eastAsia="Times New Roman" w:cs="Times New Roman"/>
          <w:sz w:val="24"/>
          <w:szCs w:val="24"/>
          <w:rtl w:val="0"/>
        </w:rPr>
      </w:pPr>
    </w:p>
    <w:p w14:paraId="19309B3F">
      <w:pPr>
        <w:spacing w:before="240" w:line="276" w:lineRule="auto"/>
        <w:rPr>
          <w:rFonts w:ascii="Times New Roman" w:hAnsi="Times New Roman" w:eastAsia="Times New Roman" w:cs="Times New Roman"/>
          <w:sz w:val="24"/>
          <w:szCs w:val="24"/>
          <w:rtl w:val="0"/>
        </w:rPr>
      </w:pPr>
    </w:p>
    <w:p w14:paraId="28FB6851">
      <w:pPr>
        <w:spacing w:before="240" w:line="276" w:lineRule="auto"/>
        <w:rPr>
          <w:rFonts w:ascii="Times New Roman" w:hAnsi="Times New Roman" w:eastAsia="Times New Roman" w:cs="Times New Roman"/>
          <w:sz w:val="24"/>
          <w:szCs w:val="24"/>
          <w:rtl w:val="0"/>
        </w:rPr>
      </w:pPr>
    </w:p>
    <w:p w14:paraId="5F52948A">
      <w:pPr>
        <w:spacing w:before="240" w:line="276" w:lineRule="auto"/>
        <w:rPr>
          <w:rFonts w:ascii="Times New Roman" w:hAnsi="Times New Roman" w:eastAsia="Times New Roman" w:cs="Times New Roman"/>
          <w:sz w:val="24"/>
          <w:szCs w:val="24"/>
          <w:rtl w:val="0"/>
        </w:rPr>
      </w:pPr>
    </w:p>
    <w:p w14:paraId="55C661A1">
      <w:pPr>
        <w:spacing w:before="240" w:line="276" w:lineRule="auto"/>
        <w:rPr>
          <w:rFonts w:ascii="Times New Roman" w:hAnsi="Times New Roman" w:eastAsia="Times New Roman" w:cs="Times New Roman"/>
          <w:sz w:val="24"/>
          <w:szCs w:val="24"/>
          <w:rtl w:val="0"/>
        </w:rPr>
      </w:pPr>
    </w:p>
    <w:p w14:paraId="47435F99">
      <w:pPr>
        <w:spacing w:before="240" w:line="276" w:lineRule="auto"/>
        <w:rPr>
          <w:rFonts w:ascii="Times New Roman" w:hAnsi="Times New Roman" w:eastAsia="Times New Roman" w:cs="Times New Roman"/>
          <w:sz w:val="24"/>
          <w:szCs w:val="24"/>
          <w:rtl w:val="0"/>
        </w:rPr>
      </w:pPr>
    </w:p>
    <w:p w14:paraId="77F70DEA">
      <w:pPr>
        <w:spacing w:before="240" w:line="276" w:lineRule="auto"/>
        <w:rPr>
          <w:rFonts w:ascii="Times New Roman" w:hAnsi="Times New Roman" w:eastAsia="Times New Roman" w:cs="Times New Roman"/>
          <w:sz w:val="24"/>
          <w:szCs w:val="24"/>
          <w:rtl w:val="0"/>
        </w:rPr>
      </w:pPr>
    </w:p>
    <w:p w14:paraId="20E83956">
      <w:pPr>
        <w:spacing w:before="240" w:line="276" w:lineRule="auto"/>
        <w:rPr>
          <w:rFonts w:ascii="Times New Roman" w:hAnsi="Times New Roman" w:eastAsia="Times New Roman" w:cs="Times New Roman"/>
          <w:sz w:val="24"/>
          <w:szCs w:val="24"/>
          <w:rtl w:val="0"/>
        </w:rPr>
      </w:pPr>
    </w:p>
    <w:p w14:paraId="494A496F">
      <w:pPr>
        <w:keepNext w:val="0"/>
        <w:keepLines w:val="0"/>
        <w:pageBreakBefore w:val="0"/>
        <w:widowControl/>
        <w:kinsoku/>
        <w:wordWrap/>
        <w:overflowPunct/>
        <w:topLinePunct w:val="0"/>
        <w:autoSpaceDE/>
        <w:autoSpaceDN/>
        <w:bidi w:val="0"/>
        <w:adjustRightInd/>
        <w:snapToGrid/>
        <w:spacing w:before="280" w:line="480" w:lineRule="auto"/>
        <w:ind w:left="480" w:hanging="480" w:hangingChars="200"/>
        <w:jc w:val="center"/>
        <w:textAlignment w:val="auto"/>
        <w:rPr>
          <w:rFonts w:hint="eastAsia" w:ascii="Times New Roman" w:hAnsi="Times New Roman" w:eastAsia="宋体" w:cs="Times New Roman"/>
          <w:b w:val="0"/>
          <w:bCs/>
          <w:sz w:val="24"/>
          <w:szCs w:val="24"/>
          <w:rtl w:val="0"/>
          <w:lang w:val="en-US" w:eastAsia="zh-CN"/>
        </w:rPr>
      </w:pPr>
      <w:r>
        <w:rPr>
          <w:rFonts w:hint="eastAsia" w:ascii="Times New Roman" w:hAnsi="Times New Roman" w:eastAsia="宋体" w:cs="Times New Roman"/>
          <w:b w:val="0"/>
          <w:bCs/>
          <w:sz w:val="24"/>
          <w:szCs w:val="24"/>
          <w:rtl w:val="0"/>
          <w:lang w:val="en-US" w:eastAsia="zh-CN"/>
        </w:rPr>
        <w:t>Works Cited</w:t>
      </w:r>
    </w:p>
    <w:p w14:paraId="596980D4">
      <w:pPr>
        <w:keepNext w:val="0"/>
        <w:keepLines w:val="0"/>
        <w:pageBreakBefore w:val="0"/>
        <w:widowControl/>
        <w:kinsoku/>
        <w:wordWrap/>
        <w:overflowPunct/>
        <w:topLinePunct w:val="0"/>
        <w:autoSpaceDE/>
        <w:autoSpaceDN/>
        <w:bidi w:val="0"/>
        <w:adjustRightInd/>
        <w:snapToGrid/>
        <w:spacing w:before="240" w:after="240" w:line="480" w:lineRule="auto"/>
        <w:ind w:left="480" w:hanging="480" w:hangingChars="200"/>
        <w:jc w:val="both"/>
        <w:textAlignment w:val="auto"/>
        <w:rPr>
          <w:rFonts w:hint="default"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lang w:val="en-US"/>
        </w:rPr>
        <w:t>“</w:t>
      </w:r>
      <w:r>
        <w:rPr>
          <w:rFonts w:hint="default" w:ascii="Times New Roman" w:hAnsi="Times New Roman" w:eastAsia="Times New Roman" w:cs="Times New Roman"/>
          <w:sz w:val="24"/>
          <w:szCs w:val="24"/>
          <w:rtl w:val="0"/>
        </w:rPr>
        <w:t>Amazon Blocked 1,800 Suspected North Korean Scammers Seeking Jobs.</w:t>
      </w:r>
      <w:r>
        <w:rPr>
          <w:rFonts w:hint="default" w:ascii="Times New Roman" w:hAnsi="Times New Roman" w:eastAsia="Times New Roman" w:cs="Times New Roman"/>
          <w:sz w:val="24"/>
          <w:szCs w:val="24"/>
          <w:rtl w:val="0"/>
          <w:lang w:val="en-US"/>
        </w:rPr>
        <w:t>”</w:t>
      </w:r>
      <w:r>
        <w:rPr>
          <w:rFonts w:hint="default" w:ascii="Times New Roman" w:hAnsi="Times New Roman" w:eastAsia="Times New Roman" w:cs="Times New Roman"/>
          <w:sz w:val="24"/>
          <w:szCs w:val="24"/>
          <w:rtl w:val="0"/>
        </w:rPr>
        <w:t xml:space="preserve"> </w:t>
      </w:r>
      <w:r>
        <w:rPr>
          <w:rFonts w:hint="default" w:ascii="Times New Roman Italic" w:hAnsi="Times New Roman Italic" w:eastAsia="Times New Roman" w:cs="Times New Roman Italic"/>
          <w:i/>
          <w:iCs/>
          <w:sz w:val="24"/>
          <w:szCs w:val="24"/>
          <w:rtl w:val="0"/>
        </w:rPr>
        <w:t>The Register</w:t>
      </w:r>
      <w:r>
        <w:rPr>
          <w:rFonts w:hint="default" w:ascii="Times New Roman" w:hAnsi="Times New Roman" w:eastAsia="Times New Roman" w:cs="Times New Roman"/>
          <w:sz w:val="24"/>
          <w:szCs w:val="24"/>
          <w:rtl w:val="0"/>
        </w:rPr>
        <w:t xml:space="preserve">, 18 Dec. 2025, </w:t>
      </w:r>
      <w:r>
        <w:rPr>
          <w:rFonts w:hint="default" w:ascii="Times New Roman" w:hAnsi="Times New Roman" w:eastAsia="Times New Roman" w:cs="Times New Roman"/>
          <w:sz w:val="24"/>
          <w:szCs w:val="24"/>
        </w:rPr>
        <w:fldChar w:fldCharType="begin"/>
      </w:r>
      <w:r>
        <w:rPr>
          <w:rFonts w:hint="default" w:ascii="Times New Roman" w:hAnsi="Times New Roman" w:eastAsia="Times New Roman" w:cs="Times New Roman"/>
          <w:sz w:val="24"/>
          <w:szCs w:val="24"/>
        </w:rPr>
        <w:instrText xml:space="preserve"> HYPERLINK "https://www.theregister.com/2025/12/18/amazon_blocked_fake_dprk_workers/." </w:instrText>
      </w:r>
      <w:r>
        <w:rPr>
          <w:rFonts w:hint="default" w:ascii="Times New Roman" w:hAnsi="Times New Roman" w:eastAsia="Times New Roman" w:cs="Times New Roman"/>
          <w:sz w:val="24"/>
          <w:szCs w:val="24"/>
        </w:rPr>
        <w:fldChar w:fldCharType="separate"/>
      </w:r>
      <w:r>
        <w:rPr>
          <w:rStyle w:val="12"/>
          <w:rFonts w:hint="default" w:ascii="Times New Roman" w:hAnsi="Times New Roman" w:eastAsia="Times New Roman" w:cs="Times New Roman"/>
          <w:sz w:val="24"/>
          <w:szCs w:val="24"/>
          <w:rtl w:val="0"/>
        </w:rPr>
        <w:t>https://www.theregister.com/2025/12/18/amazon_blocked_fake_dprk_workers/.</w:t>
      </w:r>
      <w:r>
        <w:rPr>
          <w:rFonts w:hint="default" w:ascii="Times New Roman" w:hAnsi="Times New Roman" w:eastAsia="Times New Roman" w:cs="Times New Roman"/>
          <w:sz w:val="24"/>
          <w:szCs w:val="24"/>
        </w:rPr>
        <w:fldChar w:fldCharType="end"/>
      </w:r>
    </w:p>
    <w:p w14:paraId="13103BBF">
      <w:pPr>
        <w:keepNext w:val="0"/>
        <w:keepLines w:val="0"/>
        <w:pageBreakBefore w:val="0"/>
        <w:widowControl/>
        <w:kinsoku/>
        <w:wordWrap/>
        <w:overflowPunct/>
        <w:topLinePunct w:val="0"/>
        <w:autoSpaceDE/>
        <w:autoSpaceDN/>
        <w:bidi w:val="0"/>
        <w:adjustRightInd/>
        <w:snapToGrid/>
        <w:spacing w:before="240" w:after="240" w:line="480" w:lineRule="auto"/>
        <w:ind w:left="480" w:hanging="480" w:hangingChars="200"/>
        <w:jc w:val="both"/>
        <w:textAlignment w:val="auto"/>
        <w:rPr>
          <w:rFonts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lang w:val="en-US"/>
        </w:rPr>
        <w:t>“</w:t>
      </w:r>
      <w:r>
        <w:rPr>
          <w:rFonts w:ascii="Times New Roman" w:hAnsi="Times New Roman" w:eastAsia="Times New Roman" w:cs="Times New Roman"/>
          <w:sz w:val="24"/>
          <w:szCs w:val="24"/>
          <w:rtl w:val="0"/>
        </w:rPr>
        <w:t>Article 50: Transparency Obligations for Providers and Deployers of Certain AI Systems.</w:t>
      </w:r>
      <w:r>
        <w:rPr>
          <w:rFonts w:hint="default" w:ascii="Times New Roman" w:hAnsi="Times New Roman" w:eastAsia="Times New Roman" w:cs="Times New Roman"/>
          <w:sz w:val="24"/>
          <w:szCs w:val="24"/>
          <w:rtl w:val="0"/>
          <w:lang w:val="en-US"/>
        </w:rPr>
        <w:t>”</w:t>
      </w:r>
      <w:r>
        <w:rPr>
          <w:rFonts w:ascii="Times New Roman" w:hAnsi="Times New Roman" w:eastAsia="Times New Roman" w:cs="Times New Roman"/>
          <w:sz w:val="24"/>
          <w:szCs w:val="24"/>
          <w:rtl w:val="0"/>
        </w:rPr>
        <w:t xml:space="preserve"> </w:t>
      </w:r>
      <w:r>
        <w:rPr>
          <w:rFonts w:ascii="Times New Roman" w:hAnsi="Times New Roman" w:eastAsia="Times New Roman" w:cs="Times New Roman"/>
          <w:i/>
          <w:iCs/>
          <w:sz w:val="24"/>
          <w:szCs w:val="24"/>
          <w:rtl w:val="0"/>
        </w:rPr>
        <w:t>EU Artificial Intelligence Act</w:t>
      </w:r>
      <w:r>
        <w:rPr>
          <w:rFonts w:ascii="Times New Roman" w:hAnsi="Times New Roman" w:eastAsia="Times New Roman" w:cs="Times New Roman"/>
          <w:sz w:val="24"/>
          <w:szCs w:val="24"/>
          <w:rtl w:val="0"/>
        </w:rPr>
        <w:t>, artificialintelligenceact.eu/article/50/. Accessed 17 July 2026.</w:t>
      </w:r>
    </w:p>
    <w:p w14:paraId="3CF40D55">
      <w:pPr>
        <w:keepNext w:val="0"/>
        <w:keepLines w:val="0"/>
        <w:pageBreakBefore w:val="0"/>
        <w:widowControl/>
        <w:kinsoku/>
        <w:wordWrap/>
        <w:overflowPunct/>
        <w:topLinePunct w:val="0"/>
        <w:autoSpaceDE/>
        <w:autoSpaceDN/>
        <w:bidi w:val="0"/>
        <w:adjustRightInd/>
        <w:snapToGrid/>
        <w:spacing w:before="240" w:after="240" w:line="480" w:lineRule="auto"/>
        <w:ind w:left="480" w:hanging="480" w:hangingChars="200"/>
        <w:jc w:val="both"/>
        <w:textAlignment w:val="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Brynjolfsson, Erik, et al. </w:t>
      </w:r>
      <w:r>
        <w:rPr>
          <w:rFonts w:hint="default" w:ascii="Times New Roman" w:hAnsi="Times New Roman" w:eastAsia="Times New Roman" w:cs="Times New Roman"/>
          <w:sz w:val="24"/>
          <w:szCs w:val="24"/>
          <w:rtl w:val="0"/>
          <w:lang w:val="en-US"/>
        </w:rPr>
        <w:t>“</w:t>
      </w:r>
      <w:r>
        <w:rPr>
          <w:rFonts w:ascii="Times New Roman" w:hAnsi="Times New Roman" w:eastAsia="Times New Roman" w:cs="Times New Roman"/>
          <w:sz w:val="24"/>
          <w:szCs w:val="24"/>
          <w:rtl w:val="0"/>
        </w:rPr>
        <w:t>Generative AI at Work.</w:t>
      </w:r>
      <w:r>
        <w:rPr>
          <w:rFonts w:hint="default" w:ascii="Times New Roman" w:hAnsi="Times New Roman" w:eastAsia="Times New Roman" w:cs="Times New Roman"/>
          <w:sz w:val="24"/>
          <w:szCs w:val="24"/>
          <w:rtl w:val="0"/>
          <w:lang w:val="en-US"/>
        </w:rPr>
        <w:t>”</w:t>
      </w:r>
      <w:r>
        <w:rPr>
          <w:rFonts w:ascii="Times New Roman" w:hAnsi="Times New Roman" w:eastAsia="Times New Roman" w:cs="Times New Roman"/>
          <w:sz w:val="24"/>
          <w:szCs w:val="24"/>
          <w:rtl w:val="0"/>
        </w:rPr>
        <w:t xml:space="preserve"> </w:t>
      </w:r>
      <w:r>
        <w:rPr>
          <w:rFonts w:ascii="Times New Roman" w:hAnsi="Times New Roman" w:eastAsia="Times New Roman" w:cs="Times New Roman"/>
          <w:i/>
          <w:iCs/>
          <w:sz w:val="24"/>
          <w:szCs w:val="24"/>
          <w:rtl w:val="0"/>
        </w:rPr>
        <w:t>The Quarterly Journal of Economics</w:t>
      </w:r>
      <w:r>
        <w:rPr>
          <w:rFonts w:ascii="Times New Roman" w:hAnsi="Times New Roman" w:eastAsia="Times New Roman" w:cs="Times New Roman"/>
          <w:sz w:val="24"/>
          <w:szCs w:val="24"/>
          <w:rtl w:val="0"/>
        </w:rPr>
        <w:t xml:space="preserve">, vol. 140, no. 2, 2025, pp. 889–942, </w:t>
      </w:r>
      <w:r>
        <w:rPr>
          <w:rFonts w:ascii="Times New Roman" w:hAnsi="Times New Roman" w:eastAsia="Times New Roman" w:cs="Times New Roman"/>
          <w:sz w:val="24"/>
          <w:szCs w:val="24"/>
        </w:rPr>
        <w:fldChar w:fldCharType="begin"/>
      </w:r>
      <w:r>
        <w:rPr>
          <w:rFonts w:ascii="Times New Roman" w:hAnsi="Times New Roman" w:eastAsia="Times New Roman" w:cs="Times New Roman"/>
          <w:sz w:val="24"/>
          <w:szCs w:val="24"/>
        </w:rPr>
        <w:instrText xml:space="preserve"> HYPERLINK "https://doi.org/10.1093/qje/qjae044." </w:instrText>
      </w:r>
      <w:r>
        <w:rPr>
          <w:rFonts w:ascii="Times New Roman" w:hAnsi="Times New Roman" w:eastAsia="Times New Roman" w:cs="Times New Roman"/>
          <w:sz w:val="24"/>
          <w:szCs w:val="24"/>
        </w:rPr>
        <w:fldChar w:fldCharType="separate"/>
      </w:r>
      <w:r>
        <w:rPr>
          <w:rStyle w:val="12"/>
          <w:rFonts w:ascii="Times New Roman" w:hAnsi="Times New Roman" w:eastAsia="Times New Roman" w:cs="Times New Roman"/>
          <w:sz w:val="24"/>
          <w:szCs w:val="24"/>
          <w:rtl w:val="0"/>
        </w:rPr>
        <w:t>https://doi.org/10.1093/qje/qjae044.</w:t>
      </w:r>
      <w:r>
        <w:rPr>
          <w:rFonts w:ascii="Times New Roman" w:hAnsi="Times New Roman" w:eastAsia="Times New Roman" w:cs="Times New Roman"/>
          <w:sz w:val="24"/>
          <w:szCs w:val="24"/>
        </w:rPr>
        <w:fldChar w:fldCharType="end"/>
      </w:r>
    </w:p>
    <w:p w14:paraId="2535E133">
      <w:pPr>
        <w:keepNext w:val="0"/>
        <w:keepLines w:val="0"/>
        <w:pageBreakBefore w:val="0"/>
        <w:widowControl/>
        <w:kinsoku/>
        <w:wordWrap/>
        <w:overflowPunct/>
        <w:topLinePunct w:val="0"/>
        <w:autoSpaceDE/>
        <w:autoSpaceDN/>
        <w:bidi w:val="0"/>
        <w:adjustRightInd/>
        <w:snapToGrid/>
        <w:spacing w:before="240" w:after="240" w:line="480" w:lineRule="auto"/>
        <w:ind w:left="480" w:hanging="480" w:hangingChars="200"/>
        <w:jc w:val="both"/>
        <w:textAlignment w:val="auto"/>
        <w:rPr>
          <w:rFonts w:ascii="Times New Roman" w:hAnsi="Times New Roman" w:eastAsia="Times New Roman" w:cs="Times New Roman"/>
          <w:sz w:val="24"/>
          <w:szCs w:val="24"/>
          <w:rtl w:val="0"/>
        </w:rPr>
      </w:pPr>
      <w:r>
        <w:rPr>
          <w:rFonts w:ascii="Times New Roman" w:hAnsi="Times New Roman" w:eastAsia="Times New Roman" w:cs="Times New Roman"/>
          <w:i/>
          <w:iCs/>
          <w:sz w:val="24"/>
          <w:szCs w:val="24"/>
          <w:rtl w:val="0"/>
        </w:rPr>
        <w:t>C2PA Specifications, Version 2.4</w:t>
      </w:r>
      <w:r>
        <w:rPr>
          <w:rFonts w:ascii="Times New Roman" w:hAnsi="Times New Roman" w:eastAsia="Times New Roman" w:cs="Times New Roman"/>
          <w:sz w:val="24"/>
          <w:szCs w:val="24"/>
          <w:rtl w:val="0"/>
        </w:rPr>
        <w:t xml:space="preserve">. Coalition for Content Provenance and Authenticity, 2025, </w:t>
      </w:r>
      <w:r>
        <w:rPr>
          <w:rFonts w:ascii="Times New Roman" w:hAnsi="Times New Roman" w:eastAsia="Times New Roman" w:cs="Times New Roman"/>
          <w:sz w:val="24"/>
          <w:szCs w:val="24"/>
        </w:rPr>
        <w:fldChar w:fldCharType="begin"/>
      </w:r>
      <w:r>
        <w:rPr>
          <w:rFonts w:ascii="Times New Roman" w:hAnsi="Times New Roman" w:eastAsia="Times New Roman" w:cs="Times New Roman"/>
          <w:sz w:val="24"/>
          <w:szCs w:val="24"/>
        </w:rPr>
        <w:instrText xml:space="preserve"> HYPERLINK "https://spec.c2pa.org/specifications/specifications/2.4/index.html." </w:instrText>
      </w:r>
      <w:r>
        <w:rPr>
          <w:rFonts w:ascii="Times New Roman" w:hAnsi="Times New Roman" w:eastAsia="Times New Roman" w:cs="Times New Roman"/>
          <w:sz w:val="24"/>
          <w:szCs w:val="24"/>
        </w:rPr>
        <w:fldChar w:fldCharType="separate"/>
      </w:r>
      <w:r>
        <w:rPr>
          <w:rStyle w:val="12"/>
          <w:rFonts w:ascii="Times New Roman" w:hAnsi="Times New Roman" w:eastAsia="Times New Roman" w:cs="Times New Roman"/>
          <w:sz w:val="24"/>
          <w:szCs w:val="24"/>
          <w:rtl w:val="0"/>
        </w:rPr>
        <w:t>https://spec.c2pa.org/specifications/specifications/2.4/index.html.</w:t>
      </w:r>
      <w:r>
        <w:rPr>
          <w:rFonts w:ascii="Times New Roman" w:hAnsi="Times New Roman" w:eastAsia="Times New Roman" w:cs="Times New Roman"/>
          <w:sz w:val="24"/>
          <w:szCs w:val="24"/>
        </w:rPr>
        <w:fldChar w:fldCharType="end"/>
      </w:r>
    </w:p>
    <w:p w14:paraId="4BC422F5">
      <w:pPr>
        <w:keepNext w:val="0"/>
        <w:keepLines w:val="0"/>
        <w:pageBreakBefore w:val="0"/>
        <w:widowControl/>
        <w:kinsoku/>
        <w:wordWrap/>
        <w:overflowPunct/>
        <w:topLinePunct w:val="0"/>
        <w:autoSpaceDE/>
        <w:autoSpaceDN/>
        <w:bidi w:val="0"/>
        <w:adjustRightInd/>
        <w:snapToGrid/>
        <w:spacing w:before="240" w:after="240" w:line="480" w:lineRule="auto"/>
        <w:ind w:left="480" w:hanging="480" w:hangingChars="200"/>
        <w:jc w:val="both"/>
        <w:textAlignment w:val="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Chetty, Raj, et al. </w:t>
      </w:r>
      <w:r>
        <w:rPr>
          <w:rFonts w:hint="default" w:ascii="Times New Roman" w:hAnsi="Times New Roman" w:eastAsia="Times New Roman" w:cs="Times New Roman"/>
          <w:sz w:val="24"/>
          <w:szCs w:val="24"/>
          <w:rtl w:val="0"/>
          <w:lang w:val="en-US"/>
        </w:rPr>
        <w:t>“</w:t>
      </w:r>
      <w:r>
        <w:rPr>
          <w:rFonts w:ascii="Times New Roman" w:hAnsi="Times New Roman" w:eastAsia="Times New Roman" w:cs="Times New Roman"/>
          <w:sz w:val="24"/>
          <w:szCs w:val="24"/>
          <w:rtl w:val="0"/>
        </w:rPr>
        <w:t>Social Capital I: Measurement and Associations with Economic Mobility.</w:t>
      </w:r>
      <w:r>
        <w:rPr>
          <w:rFonts w:hint="default" w:ascii="Times New Roman" w:hAnsi="Times New Roman" w:eastAsia="Times New Roman" w:cs="Times New Roman"/>
          <w:sz w:val="24"/>
          <w:szCs w:val="24"/>
          <w:rtl w:val="0"/>
          <w:lang w:val="en-US"/>
        </w:rPr>
        <w:t>”</w:t>
      </w:r>
      <w:r>
        <w:rPr>
          <w:rFonts w:ascii="Times New Roman" w:hAnsi="Times New Roman" w:eastAsia="Times New Roman" w:cs="Times New Roman"/>
          <w:sz w:val="24"/>
          <w:szCs w:val="24"/>
          <w:rtl w:val="0"/>
        </w:rPr>
        <w:t xml:space="preserve"> </w:t>
      </w:r>
      <w:r>
        <w:rPr>
          <w:rFonts w:ascii="Times New Roman" w:hAnsi="Times New Roman" w:eastAsia="Times New Roman" w:cs="Times New Roman"/>
          <w:i/>
          <w:iCs/>
          <w:sz w:val="24"/>
          <w:szCs w:val="24"/>
          <w:rtl w:val="0"/>
        </w:rPr>
        <w:t>Nature</w:t>
      </w:r>
      <w:r>
        <w:rPr>
          <w:rFonts w:ascii="Times New Roman" w:hAnsi="Times New Roman" w:eastAsia="Times New Roman" w:cs="Times New Roman"/>
          <w:sz w:val="24"/>
          <w:szCs w:val="24"/>
          <w:rtl w:val="0"/>
        </w:rPr>
        <w:t xml:space="preserve">, vol. 608, no. 7921, 2022, pp. 108–21, </w:t>
      </w:r>
      <w:r>
        <w:rPr>
          <w:rFonts w:ascii="Times New Roman" w:hAnsi="Times New Roman" w:eastAsia="Times New Roman" w:cs="Times New Roman"/>
          <w:sz w:val="24"/>
          <w:szCs w:val="24"/>
        </w:rPr>
        <w:fldChar w:fldCharType="begin"/>
      </w:r>
      <w:r>
        <w:rPr>
          <w:rFonts w:ascii="Times New Roman" w:hAnsi="Times New Roman" w:eastAsia="Times New Roman" w:cs="Times New Roman"/>
          <w:sz w:val="24"/>
          <w:szCs w:val="24"/>
        </w:rPr>
        <w:instrText xml:space="preserve"> HYPERLINK "https://doi.org/10.1038/s41586-022-04996-4." </w:instrText>
      </w:r>
      <w:r>
        <w:rPr>
          <w:rFonts w:ascii="Times New Roman" w:hAnsi="Times New Roman" w:eastAsia="Times New Roman" w:cs="Times New Roman"/>
          <w:sz w:val="24"/>
          <w:szCs w:val="24"/>
        </w:rPr>
        <w:fldChar w:fldCharType="separate"/>
      </w:r>
      <w:r>
        <w:rPr>
          <w:rStyle w:val="12"/>
          <w:rFonts w:ascii="Times New Roman" w:hAnsi="Times New Roman" w:eastAsia="Times New Roman" w:cs="Times New Roman"/>
          <w:sz w:val="24"/>
          <w:szCs w:val="24"/>
          <w:rtl w:val="0"/>
        </w:rPr>
        <w:t>https://doi.org/10.1038/s41586-022-04996-4.</w:t>
      </w:r>
      <w:r>
        <w:rPr>
          <w:rFonts w:ascii="Times New Roman" w:hAnsi="Times New Roman" w:eastAsia="Times New Roman" w:cs="Times New Roman"/>
          <w:sz w:val="24"/>
          <w:szCs w:val="24"/>
        </w:rPr>
        <w:fldChar w:fldCharType="end"/>
      </w:r>
    </w:p>
    <w:p w14:paraId="0E7694D1">
      <w:pPr>
        <w:keepNext w:val="0"/>
        <w:keepLines w:val="0"/>
        <w:pageBreakBefore w:val="0"/>
        <w:widowControl/>
        <w:kinsoku/>
        <w:wordWrap/>
        <w:overflowPunct/>
        <w:topLinePunct w:val="0"/>
        <w:autoSpaceDE/>
        <w:autoSpaceDN/>
        <w:bidi w:val="0"/>
        <w:adjustRightInd/>
        <w:snapToGrid/>
        <w:spacing w:before="240" w:after="240" w:line="480" w:lineRule="auto"/>
        <w:ind w:left="480" w:hanging="480" w:hangingChars="200"/>
        <w:jc w:val="both"/>
        <w:textAlignment w:val="auto"/>
        <w:rPr>
          <w:rFonts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lang w:val="en-US"/>
        </w:rPr>
        <w:t>“</w:t>
      </w:r>
      <w:r>
        <w:rPr>
          <w:rFonts w:ascii="Times New Roman" w:hAnsi="Times New Roman" w:eastAsia="Times New Roman" w:cs="Times New Roman"/>
          <w:sz w:val="24"/>
          <w:szCs w:val="24"/>
          <w:rtl w:val="0"/>
        </w:rPr>
        <w:t>Gartner Survey Shows Just 26% of Job Applicants Trust AI Will Fairly Evaluate Them.</w:t>
      </w:r>
      <w:r>
        <w:rPr>
          <w:rFonts w:hint="default" w:ascii="Times New Roman" w:hAnsi="Times New Roman" w:eastAsia="Times New Roman" w:cs="Times New Roman"/>
          <w:sz w:val="24"/>
          <w:szCs w:val="24"/>
          <w:rtl w:val="0"/>
          <w:lang w:val="en-US"/>
        </w:rPr>
        <w:t>”</w:t>
      </w:r>
      <w:r>
        <w:rPr>
          <w:rFonts w:ascii="Times New Roman" w:hAnsi="Times New Roman" w:eastAsia="Times New Roman" w:cs="Times New Roman"/>
          <w:sz w:val="24"/>
          <w:szCs w:val="24"/>
          <w:rtl w:val="0"/>
        </w:rPr>
        <w:t xml:space="preserve"> </w:t>
      </w:r>
      <w:r>
        <w:rPr>
          <w:rFonts w:ascii="Times New Roman" w:hAnsi="Times New Roman" w:eastAsia="Times New Roman" w:cs="Times New Roman"/>
          <w:i/>
          <w:iCs/>
          <w:sz w:val="24"/>
          <w:szCs w:val="24"/>
          <w:rtl w:val="0"/>
        </w:rPr>
        <w:t>Gartner</w:t>
      </w:r>
      <w:r>
        <w:rPr>
          <w:rFonts w:ascii="Times New Roman" w:hAnsi="Times New Roman" w:eastAsia="Times New Roman" w:cs="Times New Roman"/>
          <w:sz w:val="24"/>
          <w:szCs w:val="24"/>
          <w:rtl w:val="0"/>
        </w:rPr>
        <w:t xml:space="preserve">, 31 July 2025, </w:t>
      </w:r>
      <w:r>
        <w:rPr>
          <w:rFonts w:ascii="Times New Roman" w:hAnsi="Times New Roman" w:eastAsia="Times New Roman" w:cs="Times New Roman"/>
          <w:sz w:val="24"/>
          <w:szCs w:val="24"/>
        </w:rPr>
        <w:fldChar w:fldCharType="begin"/>
      </w:r>
      <w:r>
        <w:rPr>
          <w:rFonts w:ascii="Times New Roman" w:hAnsi="Times New Roman" w:eastAsia="Times New Roman" w:cs="Times New Roman"/>
          <w:sz w:val="24"/>
          <w:szCs w:val="24"/>
        </w:rPr>
        <w:instrText xml:space="preserve"> HYPERLINK "https://www.gartner.com/en/newsroom/press-releases/2025-07-31-gartner-survey-shows-just-26-percent-of-job-applicants-trust-ai-will-fairly-evaluate-them." </w:instrText>
      </w:r>
      <w:r>
        <w:rPr>
          <w:rFonts w:ascii="Times New Roman" w:hAnsi="Times New Roman" w:eastAsia="Times New Roman" w:cs="Times New Roman"/>
          <w:sz w:val="24"/>
          <w:szCs w:val="24"/>
        </w:rPr>
        <w:fldChar w:fldCharType="separate"/>
      </w:r>
      <w:r>
        <w:rPr>
          <w:rStyle w:val="12"/>
          <w:rFonts w:ascii="Times New Roman" w:hAnsi="Times New Roman" w:eastAsia="Times New Roman" w:cs="Times New Roman"/>
          <w:sz w:val="24"/>
          <w:szCs w:val="24"/>
          <w:rtl w:val="0"/>
        </w:rPr>
        <w:t>https://www.gartner.com/en/newsroom/press-releases/2025-07-31-gartner-survey-shows-just-26-percent-of-job-applicants-trust-ai-will-fairly-evaluate-them.</w:t>
      </w:r>
      <w:r>
        <w:rPr>
          <w:rFonts w:ascii="Times New Roman" w:hAnsi="Times New Roman" w:eastAsia="Times New Roman" w:cs="Times New Roman"/>
          <w:sz w:val="24"/>
          <w:szCs w:val="24"/>
        </w:rPr>
        <w:fldChar w:fldCharType="end"/>
      </w:r>
    </w:p>
    <w:p w14:paraId="15F6A98C">
      <w:pPr>
        <w:keepNext w:val="0"/>
        <w:keepLines w:val="0"/>
        <w:pageBreakBefore w:val="0"/>
        <w:widowControl/>
        <w:kinsoku/>
        <w:wordWrap/>
        <w:overflowPunct/>
        <w:topLinePunct w:val="0"/>
        <w:autoSpaceDE/>
        <w:autoSpaceDN/>
        <w:bidi w:val="0"/>
        <w:adjustRightInd/>
        <w:snapToGrid/>
        <w:spacing w:before="240" w:after="240" w:line="480" w:lineRule="auto"/>
        <w:ind w:left="480" w:hanging="480" w:hangingChars="200"/>
        <w:jc w:val="both"/>
        <w:textAlignment w:val="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Goldfarb, Avi, and Catherine Tucker. </w:t>
      </w:r>
      <w:r>
        <w:rPr>
          <w:rFonts w:hint="default" w:ascii="Times New Roman" w:hAnsi="Times New Roman" w:eastAsia="Times New Roman" w:cs="Times New Roman"/>
          <w:sz w:val="24"/>
          <w:szCs w:val="24"/>
          <w:rtl w:val="0"/>
          <w:lang w:val="en-US"/>
        </w:rPr>
        <w:t>“</w:t>
      </w:r>
      <w:r>
        <w:rPr>
          <w:rFonts w:ascii="Times New Roman" w:hAnsi="Times New Roman" w:eastAsia="Times New Roman" w:cs="Times New Roman"/>
          <w:sz w:val="24"/>
          <w:szCs w:val="24"/>
          <w:rtl w:val="0"/>
        </w:rPr>
        <w:t>Digital Economics.</w:t>
      </w:r>
      <w:r>
        <w:rPr>
          <w:rFonts w:hint="default" w:ascii="Times New Roman" w:hAnsi="Times New Roman" w:eastAsia="Times New Roman" w:cs="Times New Roman"/>
          <w:sz w:val="24"/>
          <w:szCs w:val="24"/>
          <w:rtl w:val="0"/>
          <w:lang w:val="en-US"/>
        </w:rPr>
        <w:t>”</w:t>
      </w:r>
      <w:r>
        <w:rPr>
          <w:rFonts w:ascii="Times New Roman" w:hAnsi="Times New Roman" w:eastAsia="Times New Roman" w:cs="Times New Roman"/>
          <w:sz w:val="24"/>
          <w:szCs w:val="24"/>
          <w:rtl w:val="0"/>
        </w:rPr>
        <w:t xml:space="preserve"> </w:t>
      </w:r>
      <w:r>
        <w:rPr>
          <w:rFonts w:ascii="Times New Roman" w:hAnsi="Times New Roman" w:eastAsia="Times New Roman" w:cs="Times New Roman"/>
          <w:i/>
          <w:iCs/>
          <w:sz w:val="24"/>
          <w:szCs w:val="24"/>
          <w:rtl w:val="0"/>
        </w:rPr>
        <w:t>Journal of Economic Literature</w:t>
      </w:r>
      <w:r>
        <w:rPr>
          <w:rFonts w:ascii="Times New Roman" w:hAnsi="Times New Roman" w:eastAsia="Times New Roman" w:cs="Times New Roman"/>
          <w:sz w:val="24"/>
          <w:szCs w:val="24"/>
          <w:rtl w:val="0"/>
        </w:rPr>
        <w:t xml:space="preserve">, vol. 57, no. 1, 2019, pp. 3–43, </w:t>
      </w:r>
      <w:r>
        <w:rPr>
          <w:rFonts w:ascii="Times New Roman" w:hAnsi="Times New Roman" w:eastAsia="Times New Roman" w:cs="Times New Roman"/>
          <w:sz w:val="24"/>
          <w:szCs w:val="24"/>
        </w:rPr>
        <w:fldChar w:fldCharType="begin"/>
      </w:r>
      <w:r>
        <w:rPr>
          <w:rFonts w:ascii="Times New Roman" w:hAnsi="Times New Roman" w:eastAsia="Times New Roman" w:cs="Times New Roman"/>
          <w:sz w:val="24"/>
          <w:szCs w:val="24"/>
        </w:rPr>
        <w:instrText xml:space="preserve"> HYPERLINK "https://doi.org/10.1257/jel.20171452." </w:instrText>
      </w:r>
      <w:r>
        <w:rPr>
          <w:rFonts w:ascii="Times New Roman" w:hAnsi="Times New Roman" w:eastAsia="Times New Roman" w:cs="Times New Roman"/>
          <w:sz w:val="24"/>
          <w:szCs w:val="24"/>
        </w:rPr>
        <w:fldChar w:fldCharType="separate"/>
      </w:r>
      <w:r>
        <w:rPr>
          <w:rStyle w:val="12"/>
          <w:rFonts w:ascii="Times New Roman" w:hAnsi="Times New Roman" w:eastAsia="Times New Roman" w:cs="Times New Roman"/>
          <w:sz w:val="24"/>
          <w:szCs w:val="24"/>
          <w:rtl w:val="0"/>
        </w:rPr>
        <w:t>https://doi.org/10.1257/jel.20171452.</w:t>
      </w:r>
      <w:r>
        <w:rPr>
          <w:rFonts w:ascii="Times New Roman" w:hAnsi="Times New Roman" w:eastAsia="Times New Roman" w:cs="Times New Roman"/>
          <w:sz w:val="24"/>
          <w:szCs w:val="24"/>
        </w:rPr>
        <w:fldChar w:fldCharType="end"/>
      </w:r>
    </w:p>
    <w:p w14:paraId="57BF1A5F">
      <w:pPr>
        <w:keepNext w:val="0"/>
        <w:keepLines w:val="0"/>
        <w:pageBreakBefore w:val="0"/>
        <w:widowControl/>
        <w:kinsoku/>
        <w:wordWrap/>
        <w:overflowPunct/>
        <w:topLinePunct w:val="0"/>
        <w:autoSpaceDE/>
        <w:autoSpaceDN/>
        <w:bidi w:val="0"/>
        <w:adjustRightInd/>
        <w:snapToGrid/>
        <w:spacing w:before="240" w:after="240" w:line="480" w:lineRule="auto"/>
        <w:ind w:left="480" w:hanging="480" w:hangingChars="200"/>
        <w:jc w:val="both"/>
        <w:textAlignment w:val="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He, Sherry, et al. </w:t>
      </w:r>
      <w:r>
        <w:rPr>
          <w:rFonts w:hint="default" w:ascii="Times New Roman" w:hAnsi="Times New Roman" w:eastAsia="Times New Roman" w:cs="Times New Roman"/>
          <w:sz w:val="24"/>
          <w:szCs w:val="24"/>
          <w:rtl w:val="0"/>
          <w:lang w:val="en-US"/>
        </w:rPr>
        <w:t>“</w:t>
      </w:r>
      <w:r>
        <w:rPr>
          <w:rFonts w:ascii="Times New Roman" w:hAnsi="Times New Roman" w:eastAsia="Times New Roman" w:cs="Times New Roman"/>
          <w:sz w:val="24"/>
          <w:szCs w:val="24"/>
          <w:rtl w:val="0"/>
        </w:rPr>
        <w:t>The Market for Fake Reviews.</w:t>
      </w:r>
      <w:r>
        <w:rPr>
          <w:rFonts w:hint="default" w:ascii="Times New Roman" w:hAnsi="Times New Roman" w:eastAsia="Times New Roman" w:cs="Times New Roman"/>
          <w:sz w:val="24"/>
          <w:szCs w:val="24"/>
          <w:rtl w:val="0"/>
          <w:lang w:val="en-US"/>
        </w:rPr>
        <w:t>”</w:t>
      </w:r>
      <w:r>
        <w:rPr>
          <w:rFonts w:ascii="Times New Roman" w:hAnsi="Times New Roman" w:eastAsia="Times New Roman" w:cs="Times New Roman"/>
          <w:sz w:val="24"/>
          <w:szCs w:val="24"/>
          <w:rtl w:val="0"/>
        </w:rPr>
        <w:t xml:space="preserve"> </w:t>
      </w:r>
      <w:r>
        <w:rPr>
          <w:rFonts w:ascii="Times New Roman" w:hAnsi="Times New Roman" w:eastAsia="Times New Roman" w:cs="Times New Roman"/>
          <w:i/>
          <w:iCs/>
          <w:sz w:val="24"/>
          <w:szCs w:val="24"/>
          <w:rtl w:val="0"/>
        </w:rPr>
        <w:t>Marketing Science</w:t>
      </w:r>
      <w:r>
        <w:rPr>
          <w:rFonts w:ascii="Times New Roman" w:hAnsi="Times New Roman" w:eastAsia="Times New Roman" w:cs="Times New Roman"/>
          <w:sz w:val="24"/>
          <w:szCs w:val="24"/>
          <w:rtl w:val="0"/>
        </w:rPr>
        <w:t xml:space="preserve">, vol. 41, no. 5, 2022, pp. 896–921, </w:t>
      </w:r>
      <w:r>
        <w:rPr>
          <w:rFonts w:ascii="Times New Roman" w:hAnsi="Times New Roman" w:eastAsia="Times New Roman" w:cs="Times New Roman"/>
          <w:sz w:val="24"/>
          <w:szCs w:val="24"/>
        </w:rPr>
        <w:fldChar w:fldCharType="begin"/>
      </w:r>
      <w:r>
        <w:rPr>
          <w:rFonts w:ascii="Times New Roman" w:hAnsi="Times New Roman" w:eastAsia="Times New Roman" w:cs="Times New Roman"/>
          <w:sz w:val="24"/>
          <w:szCs w:val="24"/>
        </w:rPr>
        <w:instrText xml:space="preserve"> HYPERLINK "https://doi.org/10.1287/mksc.2022.1353." </w:instrText>
      </w:r>
      <w:r>
        <w:rPr>
          <w:rFonts w:ascii="Times New Roman" w:hAnsi="Times New Roman" w:eastAsia="Times New Roman" w:cs="Times New Roman"/>
          <w:sz w:val="24"/>
          <w:szCs w:val="24"/>
        </w:rPr>
        <w:fldChar w:fldCharType="separate"/>
      </w:r>
      <w:r>
        <w:rPr>
          <w:rStyle w:val="12"/>
          <w:rFonts w:ascii="Times New Roman" w:hAnsi="Times New Roman" w:eastAsia="Times New Roman" w:cs="Times New Roman"/>
          <w:sz w:val="24"/>
          <w:szCs w:val="24"/>
          <w:rtl w:val="0"/>
        </w:rPr>
        <w:t>https://doi.org/10.1287/mksc.2022.1353.</w:t>
      </w:r>
      <w:r>
        <w:rPr>
          <w:rFonts w:ascii="Times New Roman" w:hAnsi="Times New Roman" w:eastAsia="Times New Roman" w:cs="Times New Roman"/>
          <w:sz w:val="24"/>
          <w:szCs w:val="24"/>
        </w:rPr>
        <w:fldChar w:fldCharType="end"/>
      </w:r>
    </w:p>
    <w:p w14:paraId="1D6FD674">
      <w:pPr>
        <w:keepNext w:val="0"/>
        <w:keepLines w:val="0"/>
        <w:pageBreakBefore w:val="0"/>
        <w:widowControl/>
        <w:kinsoku/>
        <w:wordWrap/>
        <w:overflowPunct/>
        <w:topLinePunct w:val="0"/>
        <w:autoSpaceDE/>
        <w:autoSpaceDN/>
        <w:bidi w:val="0"/>
        <w:adjustRightInd/>
        <w:snapToGrid/>
        <w:spacing w:before="240" w:after="240" w:line="480" w:lineRule="auto"/>
        <w:ind w:left="480" w:hanging="480" w:hangingChars="200"/>
        <w:jc w:val="both"/>
        <w:textAlignment w:val="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India, Department of Financial Services, Ministry of Finance. </w:t>
      </w:r>
      <w:r>
        <w:rPr>
          <w:rFonts w:hint="default" w:ascii="Times New Roman" w:hAnsi="Times New Roman" w:eastAsia="Times New Roman" w:cs="Times New Roman"/>
          <w:sz w:val="24"/>
          <w:szCs w:val="24"/>
          <w:rtl w:val="0"/>
          <w:lang w:val="en-US"/>
        </w:rPr>
        <w:t>“</w:t>
      </w:r>
      <w:r>
        <w:rPr>
          <w:rFonts w:ascii="Times New Roman" w:hAnsi="Times New Roman" w:eastAsia="Times New Roman" w:cs="Times New Roman"/>
          <w:sz w:val="24"/>
          <w:szCs w:val="24"/>
          <w:rtl w:val="0"/>
        </w:rPr>
        <w:t>Account Aggregator Framework.</w:t>
      </w:r>
      <w:r>
        <w:rPr>
          <w:rFonts w:hint="default" w:ascii="Times New Roman" w:hAnsi="Times New Roman" w:eastAsia="Times New Roman" w:cs="Times New Roman"/>
          <w:sz w:val="24"/>
          <w:szCs w:val="24"/>
          <w:rtl w:val="0"/>
          <w:lang w:val="en-US"/>
        </w:rPr>
        <w:t>”</w:t>
      </w:r>
      <w:r>
        <w:rPr>
          <w:rFonts w:ascii="Times New Roman" w:hAnsi="Times New Roman" w:eastAsia="Times New Roman" w:cs="Times New Roman"/>
          <w:sz w:val="24"/>
          <w:szCs w:val="24"/>
          <w:rtl w:val="0"/>
        </w:rPr>
        <w:t xml:space="preserve"> </w:t>
      </w:r>
      <w:r>
        <w:rPr>
          <w:rFonts w:ascii="Times New Roman" w:hAnsi="Times New Roman" w:eastAsia="Times New Roman" w:cs="Times New Roman"/>
          <w:i/>
          <w:iCs/>
          <w:sz w:val="24"/>
          <w:szCs w:val="24"/>
          <w:rtl w:val="0"/>
        </w:rPr>
        <w:t>Government of India</w:t>
      </w:r>
      <w:r>
        <w:rPr>
          <w:rFonts w:ascii="Times New Roman" w:hAnsi="Times New Roman" w:eastAsia="Times New Roman" w:cs="Times New Roman"/>
          <w:sz w:val="24"/>
          <w:szCs w:val="24"/>
          <w:rtl w:val="0"/>
        </w:rPr>
        <w:t>, financialservices.gov.in/beta/en/account-aggregator-framework. Accessed 17 July 2026.</w:t>
      </w:r>
    </w:p>
    <w:p w14:paraId="33FDF3D8">
      <w:pPr>
        <w:keepNext w:val="0"/>
        <w:keepLines w:val="0"/>
        <w:pageBreakBefore w:val="0"/>
        <w:widowControl/>
        <w:kinsoku/>
        <w:wordWrap/>
        <w:overflowPunct/>
        <w:topLinePunct w:val="0"/>
        <w:autoSpaceDE/>
        <w:autoSpaceDN/>
        <w:bidi w:val="0"/>
        <w:adjustRightInd/>
        <w:snapToGrid/>
        <w:spacing w:before="240" w:after="240" w:line="480" w:lineRule="auto"/>
        <w:ind w:left="480" w:hanging="480" w:hangingChars="200"/>
        <w:jc w:val="both"/>
        <w:textAlignment w:val="auto"/>
        <w:rPr>
          <w:rFonts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lang w:val="en-US"/>
        </w:rPr>
        <w:t>“</w:t>
      </w:r>
      <w:r>
        <w:rPr>
          <w:rFonts w:ascii="Times New Roman" w:hAnsi="Times New Roman" w:eastAsia="Times New Roman" w:cs="Times New Roman"/>
          <w:sz w:val="24"/>
          <w:szCs w:val="24"/>
          <w:rtl w:val="0"/>
        </w:rPr>
        <w:t>Justice Department Announces Coordinated, Nationwide Actions to Combat North Korean Remote Information Technology Workers’ Illicit Revenue Generation Schemes.</w:t>
      </w:r>
      <w:r>
        <w:rPr>
          <w:rFonts w:hint="default" w:ascii="Times New Roman" w:hAnsi="Times New Roman" w:eastAsia="Times New Roman" w:cs="Times New Roman"/>
          <w:sz w:val="24"/>
          <w:szCs w:val="24"/>
          <w:rtl w:val="0"/>
          <w:lang w:val="en-US"/>
        </w:rPr>
        <w:t xml:space="preserve">” </w:t>
      </w:r>
      <w:r>
        <w:rPr>
          <w:rFonts w:ascii="Times New Roman" w:hAnsi="Times New Roman" w:eastAsia="Times New Roman" w:cs="Times New Roman"/>
          <w:i/>
          <w:iCs/>
          <w:sz w:val="24"/>
          <w:szCs w:val="24"/>
          <w:rtl w:val="0"/>
        </w:rPr>
        <w:t>Office of Public Affairs, United States Department of Justice</w:t>
      </w:r>
      <w:r>
        <w:rPr>
          <w:rFonts w:ascii="Times New Roman" w:hAnsi="Times New Roman" w:eastAsia="Times New Roman" w:cs="Times New Roman"/>
          <w:sz w:val="24"/>
          <w:szCs w:val="24"/>
          <w:rtl w:val="0"/>
        </w:rPr>
        <w:t xml:space="preserve">, 30 June 2025, </w:t>
      </w:r>
      <w:r>
        <w:rPr>
          <w:rFonts w:ascii="Times New Roman" w:hAnsi="Times New Roman" w:eastAsia="Times New Roman" w:cs="Times New Roman"/>
          <w:sz w:val="24"/>
          <w:szCs w:val="24"/>
        </w:rPr>
        <w:fldChar w:fldCharType="begin"/>
      </w:r>
      <w:r>
        <w:rPr>
          <w:rFonts w:ascii="Times New Roman" w:hAnsi="Times New Roman" w:eastAsia="Times New Roman" w:cs="Times New Roman"/>
          <w:sz w:val="24"/>
          <w:szCs w:val="24"/>
        </w:rPr>
        <w:instrText xml:space="preserve"> HYPERLINK "https://www.justice.gov/opa/pr/justice-department-announces-coordinated-nationwide-actions-combat-north-korean-remote." </w:instrText>
      </w:r>
      <w:r>
        <w:rPr>
          <w:rFonts w:ascii="Times New Roman" w:hAnsi="Times New Roman" w:eastAsia="Times New Roman" w:cs="Times New Roman"/>
          <w:sz w:val="24"/>
          <w:szCs w:val="24"/>
        </w:rPr>
        <w:fldChar w:fldCharType="separate"/>
      </w:r>
      <w:r>
        <w:rPr>
          <w:rStyle w:val="12"/>
          <w:rFonts w:ascii="Times New Roman" w:hAnsi="Times New Roman" w:eastAsia="Times New Roman" w:cs="Times New Roman"/>
          <w:sz w:val="24"/>
          <w:szCs w:val="24"/>
          <w:rtl w:val="0"/>
        </w:rPr>
        <w:t>https://www.justice.gov/opa/pr/justice-department-announces-coordinated-nationwide-actions-combat-north-korean-remote.</w:t>
      </w:r>
      <w:r>
        <w:rPr>
          <w:rFonts w:ascii="Times New Roman" w:hAnsi="Times New Roman" w:eastAsia="Times New Roman" w:cs="Times New Roman"/>
          <w:sz w:val="24"/>
          <w:szCs w:val="24"/>
        </w:rPr>
        <w:fldChar w:fldCharType="end"/>
      </w:r>
    </w:p>
    <w:p w14:paraId="089FE351">
      <w:pPr>
        <w:keepNext w:val="0"/>
        <w:keepLines w:val="0"/>
        <w:pageBreakBefore w:val="0"/>
        <w:widowControl/>
        <w:kinsoku/>
        <w:wordWrap/>
        <w:overflowPunct/>
        <w:topLinePunct w:val="0"/>
        <w:autoSpaceDE/>
        <w:autoSpaceDN/>
        <w:bidi w:val="0"/>
        <w:adjustRightInd/>
        <w:snapToGrid/>
        <w:spacing w:before="240" w:after="240" w:line="480" w:lineRule="auto"/>
        <w:ind w:left="480" w:hanging="480" w:hangingChars="200"/>
        <w:jc w:val="both"/>
        <w:textAlignment w:val="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Rajkumar, Karthik, et al. </w:t>
      </w:r>
      <w:r>
        <w:rPr>
          <w:rFonts w:hint="default" w:ascii="Times New Roman" w:hAnsi="Times New Roman" w:eastAsia="Times New Roman" w:cs="Times New Roman"/>
          <w:sz w:val="24"/>
          <w:szCs w:val="24"/>
          <w:rtl w:val="0"/>
          <w:lang w:val="en-US"/>
        </w:rPr>
        <w:t>“</w:t>
      </w:r>
      <w:r>
        <w:rPr>
          <w:rFonts w:ascii="Times New Roman" w:hAnsi="Times New Roman" w:eastAsia="Times New Roman" w:cs="Times New Roman"/>
          <w:sz w:val="24"/>
          <w:szCs w:val="24"/>
          <w:rtl w:val="0"/>
        </w:rPr>
        <w:t>A Causal Test of the Strength of Weak Ties.</w:t>
      </w:r>
      <w:r>
        <w:rPr>
          <w:rFonts w:hint="default" w:ascii="Times New Roman" w:hAnsi="Times New Roman" w:eastAsia="Times New Roman" w:cs="Times New Roman"/>
          <w:sz w:val="24"/>
          <w:szCs w:val="24"/>
          <w:rtl w:val="0"/>
          <w:lang w:val="en-US"/>
        </w:rPr>
        <w:t>”</w:t>
      </w:r>
      <w:r>
        <w:rPr>
          <w:rFonts w:ascii="Times New Roman" w:hAnsi="Times New Roman" w:eastAsia="Times New Roman" w:cs="Times New Roman"/>
          <w:sz w:val="24"/>
          <w:szCs w:val="24"/>
          <w:rtl w:val="0"/>
        </w:rPr>
        <w:t xml:space="preserve"> </w:t>
      </w:r>
      <w:r>
        <w:rPr>
          <w:rFonts w:ascii="Times New Roman" w:hAnsi="Times New Roman" w:eastAsia="Times New Roman" w:cs="Times New Roman"/>
          <w:i/>
          <w:iCs/>
          <w:sz w:val="24"/>
          <w:szCs w:val="24"/>
          <w:rtl w:val="0"/>
        </w:rPr>
        <w:t>Science</w:t>
      </w:r>
      <w:r>
        <w:rPr>
          <w:rFonts w:ascii="Times New Roman" w:hAnsi="Times New Roman" w:eastAsia="Times New Roman" w:cs="Times New Roman"/>
          <w:sz w:val="24"/>
          <w:szCs w:val="24"/>
          <w:rtl w:val="0"/>
        </w:rPr>
        <w:t xml:space="preserve">, vol. 377, no. 6612, 2022, pp. 1304–10, </w:t>
      </w:r>
      <w:r>
        <w:rPr>
          <w:rFonts w:ascii="Times New Roman" w:hAnsi="Times New Roman" w:eastAsia="Times New Roman" w:cs="Times New Roman"/>
          <w:sz w:val="24"/>
          <w:szCs w:val="24"/>
        </w:rPr>
        <w:fldChar w:fldCharType="begin"/>
      </w:r>
      <w:r>
        <w:rPr>
          <w:rFonts w:ascii="Times New Roman" w:hAnsi="Times New Roman" w:eastAsia="Times New Roman" w:cs="Times New Roman"/>
          <w:sz w:val="24"/>
          <w:szCs w:val="24"/>
        </w:rPr>
        <w:instrText xml:space="preserve"> HYPERLINK "https://doi.org/10.1126/science.abl4476." </w:instrText>
      </w:r>
      <w:r>
        <w:rPr>
          <w:rFonts w:ascii="Times New Roman" w:hAnsi="Times New Roman" w:eastAsia="Times New Roman" w:cs="Times New Roman"/>
          <w:sz w:val="24"/>
          <w:szCs w:val="24"/>
        </w:rPr>
        <w:fldChar w:fldCharType="separate"/>
      </w:r>
      <w:r>
        <w:rPr>
          <w:rStyle w:val="12"/>
          <w:rFonts w:ascii="Times New Roman" w:hAnsi="Times New Roman" w:eastAsia="Times New Roman" w:cs="Times New Roman"/>
          <w:sz w:val="24"/>
          <w:szCs w:val="24"/>
          <w:rtl w:val="0"/>
        </w:rPr>
        <w:t>https://doi.org/10.1126/science.abl4476.</w:t>
      </w:r>
      <w:r>
        <w:rPr>
          <w:rFonts w:ascii="Times New Roman" w:hAnsi="Times New Roman" w:eastAsia="Times New Roman" w:cs="Times New Roman"/>
          <w:sz w:val="24"/>
          <w:szCs w:val="24"/>
        </w:rPr>
        <w:fldChar w:fldCharType="end"/>
      </w:r>
    </w:p>
    <w:p w14:paraId="00000048">
      <w:pPr>
        <w:keepNext w:val="0"/>
        <w:keepLines w:val="0"/>
        <w:pageBreakBefore w:val="0"/>
        <w:widowControl/>
        <w:kinsoku/>
        <w:wordWrap/>
        <w:overflowPunct/>
        <w:topLinePunct w:val="0"/>
        <w:autoSpaceDE/>
        <w:autoSpaceDN/>
        <w:bidi w:val="0"/>
        <w:adjustRightInd/>
        <w:snapToGrid/>
        <w:spacing w:before="240" w:after="240" w:line="480" w:lineRule="auto"/>
        <w:ind w:left="480" w:hanging="480" w:hangingChars="200"/>
        <w:jc w:val="both"/>
        <w:textAlignment w:val="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World Economic Forum. </w:t>
      </w:r>
      <w:r>
        <w:rPr>
          <w:rFonts w:ascii="Times New Roman" w:hAnsi="Times New Roman" w:eastAsia="Times New Roman" w:cs="Times New Roman"/>
          <w:i/>
          <w:iCs/>
          <w:sz w:val="24"/>
          <w:szCs w:val="24"/>
          <w:rtl w:val="0"/>
        </w:rPr>
        <w:t>Global Risks Report 2025</w:t>
      </w:r>
      <w:r>
        <w:rPr>
          <w:rFonts w:ascii="Times New Roman" w:hAnsi="Times New Roman" w:eastAsia="Times New Roman" w:cs="Times New Roman"/>
          <w:sz w:val="24"/>
          <w:szCs w:val="24"/>
          <w:rtl w:val="0"/>
        </w:rPr>
        <w:t xml:space="preserve">. World Economic Forum, Jan. 2025, </w:t>
      </w:r>
      <w:r>
        <w:rPr>
          <w:rFonts w:ascii="Times New Roman" w:hAnsi="Times New Roman" w:eastAsia="Times New Roman" w:cs="Times New Roman"/>
          <w:sz w:val="24"/>
          <w:szCs w:val="24"/>
        </w:rPr>
        <w:fldChar w:fldCharType="begin"/>
      </w:r>
      <w:r>
        <w:rPr>
          <w:rFonts w:ascii="Times New Roman" w:hAnsi="Times New Roman" w:eastAsia="Times New Roman" w:cs="Times New Roman"/>
          <w:sz w:val="24"/>
          <w:szCs w:val="24"/>
        </w:rPr>
        <w:instrText xml:space="preserve"> HYPERLINK "https://www.weforum.org/publications/global-risks-report-2025/." </w:instrText>
      </w:r>
      <w:r>
        <w:rPr>
          <w:rFonts w:ascii="Times New Roman" w:hAnsi="Times New Roman" w:eastAsia="Times New Roman" w:cs="Times New Roman"/>
          <w:sz w:val="24"/>
          <w:szCs w:val="24"/>
        </w:rPr>
        <w:fldChar w:fldCharType="separate"/>
      </w:r>
      <w:r>
        <w:rPr>
          <w:rStyle w:val="12"/>
          <w:rFonts w:ascii="Times New Roman" w:hAnsi="Times New Roman" w:eastAsia="Times New Roman" w:cs="Times New Roman"/>
          <w:sz w:val="24"/>
          <w:szCs w:val="24"/>
          <w:rtl w:val="0"/>
        </w:rPr>
        <w:t>https://www.weforum.org/publications/global-risks-report-2025/.</w:t>
      </w:r>
      <w:r>
        <w:rPr>
          <w:rFonts w:ascii="Times New Roman" w:hAnsi="Times New Roman" w:eastAsia="Times New Roman" w:cs="Times New Roman"/>
          <w:sz w:val="24"/>
          <w:szCs w:val="24"/>
        </w:rPr>
        <w:fldChar w:fldCharType="end"/>
      </w:r>
    </w:p>
    <w:p w14:paraId="15C74228">
      <w:pPr>
        <w:keepNext w:val="0"/>
        <w:keepLines w:val="0"/>
        <w:pageBreakBefore w:val="0"/>
        <w:widowControl/>
        <w:kinsoku/>
        <w:wordWrap/>
        <w:overflowPunct/>
        <w:topLinePunct w:val="0"/>
        <w:autoSpaceDE/>
        <w:autoSpaceDN/>
        <w:bidi w:val="0"/>
        <w:adjustRightInd/>
        <w:snapToGrid/>
        <w:spacing w:before="240" w:after="240" w:line="480" w:lineRule="auto"/>
        <w:ind w:left="480" w:hanging="480" w:hangingChars="200"/>
        <w:jc w:val="both"/>
        <w:textAlignment w:val="auto"/>
        <w:rPr>
          <w:rFonts w:ascii="Times New Roman" w:hAnsi="Times New Roman" w:eastAsia="Times New Roman" w:cs="Times New Roman"/>
          <w:sz w:val="24"/>
          <w:szCs w:val="24"/>
          <w:rtl w:val="0"/>
        </w:rPr>
      </w:pPr>
    </w:p>
    <w:sectPr>
      <w:pgSz w:w="12240" w:h="15840"/>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606361EB-99FB-001B-7536-966A3D4966C8}"/>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Italic">
    <w:panose1 w:val="02020503050405090304"/>
    <w:charset w:val="00"/>
    <w:family w:val="auto"/>
    <w:pitch w:val="default"/>
    <w:sig w:usb0="E0000AFF" w:usb1="00007843" w:usb2="00000001" w:usb3="00000000" w:csb0="400001BF" w:csb1="DFF70000"/>
    <w:embedRegular r:id="rId2" w:fontKey="{7E69D2D9-C2D3-182B-7536-966AE012C0A1}"/>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TrueTypeFonts/>
  <w:documentProtection w:enforcement="0"/>
  <w:defaultTabStop w:val="720"/>
  <w:footnotePr>
    <w:footnote w:id="0"/>
    <w:footnote w:id="1"/>
  </w:footnotePr>
  <w:endnotePr>
    <w:endnote w:id="0"/>
    <w:endnote w:id="1"/>
  </w:endnotePr>
  <w:compat>
    <w:useFELayout/>
    <w:compatSetting w:name="compatibilityMode" w:uri="http://schemas.microsoft.com/office/word" w:val="15"/>
  </w:compat>
  <w:rsids>
    <w:rsidRoot w:val="00000000"/>
    <w:rsid w:val="35946D00"/>
    <w:rsid w:val="5FD8A95D"/>
    <w:rsid w:val="77F68AFA"/>
    <w:rsid w:val="7FD0F714"/>
    <w:rsid w:val="FF6F2D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line="276" w:lineRule="auto"/>
    </w:pPr>
    <w:rPr>
      <w:rFonts w:ascii="Arial" w:hAnsi="Arial" w:eastAsia="Arial" w:cs="Arial"/>
      <w:sz w:val="22"/>
      <w:szCs w:val="22"/>
      <w:lang w:val="en"/>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iCs/>
      <w:color w:val="666666"/>
      <w:sz w:val="22"/>
      <w:szCs w:val="22"/>
    </w:rPr>
  </w:style>
  <w:style w:type="character" w:default="1" w:styleId="11">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8">
    <w:name w:val="Subtitle"/>
    <w:basedOn w:val="1"/>
    <w:next w:val="1"/>
    <w:uiPriority w:val="0"/>
    <w:pPr>
      <w:keepNext/>
      <w:keepLines/>
      <w:pageBreakBefore w:val="0"/>
      <w:spacing w:before="0" w:after="320"/>
    </w:pPr>
    <w:rPr>
      <w:rFonts w:ascii="Arial" w:hAnsi="Arial" w:eastAsia="Arial" w:cs="Arial"/>
      <w:color w:val="666666"/>
      <w:sz w:val="30"/>
      <w:szCs w:val="30"/>
    </w:rPr>
  </w:style>
  <w:style w:type="paragraph" w:styleId="9">
    <w:name w:val="Title"/>
    <w:basedOn w:val="1"/>
    <w:next w:val="1"/>
    <w:uiPriority w:val="0"/>
    <w:pPr>
      <w:keepNext/>
      <w:keepLines/>
      <w:pageBreakBefore w:val="0"/>
      <w:spacing w:before="0" w:after="60"/>
    </w:pPr>
    <w:rPr>
      <w:sz w:val="52"/>
      <w:szCs w:val="52"/>
    </w:rPr>
  </w:style>
  <w:style w:type="character" w:styleId="12">
    <w:name w:val="Hyperlink"/>
    <w:basedOn w:val="11"/>
    <w:uiPriority w:val="0"/>
    <w:rPr>
      <w:color w:val="0000FF"/>
      <w:u w:val="single"/>
    </w:rPr>
  </w:style>
  <w:style w:type="table" w:customStyle="1" w:styleId="13">
    <w:name w:val="TableNormal"/>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10</Pages>
  <TotalTime>66</TotalTime>
  <ScaleCrop>false</ScaleCrop>
  <LinksUpToDate>false</LinksUpToDate>
  <Application>WPS Office_7.2.1.8947_F1E327BC-269C-435d-A152-05C5408002CA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2026-07-24T11:37:00Z</dcterms:created>
  <dc:creator>Data</dc:creator>
  <cp:lastModifiedBy>Ella</cp:lastModifiedBy>
  <dcterms:modified xsi:type="dcterms:W3CDTF">2026-09-01T10:20:37Z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2052-7.2.1.8947</vt:lpwstr>
  </property>
  <property fmtid="{D5CDD505-2E9C-101B-9397-08002B2CF9AE}" pid="3" name="ICV">
    <vt:lpwstr>C8BD2238BD5513497536966AE2472A56_43</vt:lpwstr>
  </property>
</Properties>
</file>