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3D" w:rsidRDefault="00CE0D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5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670"/>
      </w:tblGrid>
      <w:tr w:rsidR="00CE0D3D" w:rsidTr="00BC304C">
        <w:trPr>
          <w:trHeight w:val="1680"/>
        </w:trPr>
        <w:tc>
          <w:tcPr>
            <w:tcW w:w="3686" w:type="dxa"/>
          </w:tcPr>
          <w:p w:rsidR="00CE0D3D" w:rsidRDefault="00BC304C" w:rsidP="00BC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220"/>
              <w:rPr>
                <w:rFonts w:ascii="ＭＳ 明朝" w:eastAsia="ＭＳ 明朝" w:hAnsi="ＭＳ 明朝" w:cs="ＭＳ 明朝"/>
                <w:b w:val="0"/>
                <w:color w:val="276B64"/>
                <w:sz w:val="48"/>
                <w:szCs w:val="48"/>
              </w:rPr>
            </w:pPr>
            <w:r>
              <w:rPr>
                <w:rFonts w:ascii="Meiryo UI" w:eastAsia="Meiryo UI" w:hAnsi="Meiryo UI" w:cs="Meiryo UI"/>
                <w:color w:val="276B64"/>
                <w:sz w:val="48"/>
                <w:szCs w:val="48"/>
              </w:rPr>
              <w:t xml:space="preserve">Cancellation of </w:t>
            </w:r>
            <w:r w:rsidR="00285B01">
              <w:rPr>
                <w:rFonts w:ascii="Meiryo UI" w:eastAsia="Meiryo UI" w:hAnsi="Meiryo UI" w:cs="Meiryo UI"/>
                <w:color w:val="276B64"/>
                <w:sz w:val="48"/>
                <w:szCs w:val="48"/>
              </w:rPr>
              <w:t>PRIC 2019</w:t>
            </w:r>
          </w:p>
        </w:tc>
        <w:tc>
          <w:tcPr>
            <w:tcW w:w="5670" w:type="dxa"/>
          </w:tcPr>
          <w:p w:rsidR="00CE0D3D" w:rsidRDefault="0028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jc w:val="right"/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>N</w:t>
            </w: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>PO Pacific Rim International student Camp</w:t>
            </w:r>
          </w:p>
          <w:p w:rsidR="00CE0D3D" w:rsidRDefault="0028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jc w:val="right"/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>Katsuyuki Tak</w:t>
            </w: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>ahara, Chairman</w:t>
            </w:r>
          </w:p>
          <w:p w:rsidR="00CE0D3D" w:rsidRDefault="0028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jc w:val="right"/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>9-12-2 Nishi-ogi Minami Suginami-ku, Tokyo</w:t>
            </w:r>
          </w:p>
          <w:p w:rsidR="00CE0D3D" w:rsidRDefault="0028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jc w:val="right"/>
              <w:rPr>
                <w:rFonts w:ascii="Times New Roman" w:eastAsia="Times New Roman" w:hAnsi="Times New Roman" w:cs="Times New Roman"/>
                <w:b w:val="0"/>
                <w:color w:val="221E1F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 w:val="0"/>
                <w:color w:val="221E1F"/>
                <w:sz w:val="24"/>
                <w:szCs w:val="24"/>
              </w:rPr>
              <w:t xml:space="preserve">E-Mail: </w:t>
            </w:r>
            <w:hyperlink r:id="rId7">
              <w:r>
                <w:rPr>
                  <w:rFonts w:ascii="Meiryo UI" w:eastAsia="Meiryo UI" w:hAnsi="Meiryo UI" w:cs="Meiryo UI"/>
                  <w:b w:val="0"/>
                  <w:color w:val="15697A"/>
                  <w:sz w:val="24"/>
                  <w:szCs w:val="24"/>
                  <w:u w:val="single"/>
                </w:rPr>
                <w:t>info1999@pric.org</w:t>
              </w:r>
            </w:hyperlink>
          </w:p>
        </w:tc>
      </w:tr>
    </w:tbl>
    <w:p w:rsidR="00BC304C" w:rsidRDefault="00BC304C">
      <w:pPr>
        <w:pBdr>
          <w:top w:val="nil"/>
          <w:left w:val="nil"/>
          <w:bottom w:val="nil"/>
          <w:right w:val="nil"/>
          <w:between w:val="nil"/>
        </w:pBdr>
        <w:spacing w:before="100" w:after="28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322C98" wp14:editId="1BE584B5">
            <wp:simplePos x="0" y="0"/>
            <wp:positionH relativeFrom="column">
              <wp:posOffset>5053764</wp:posOffset>
            </wp:positionH>
            <wp:positionV relativeFrom="paragraph">
              <wp:posOffset>61595</wp:posOffset>
            </wp:positionV>
            <wp:extent cx="751247" cy="69386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47" cy="69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0D3D" w:rsidRDefault="00BC304C">
      <w:pPr>
        <w:pBdr>
          <w:top w:val="nil"/>
          <w:left w:val="nil"/>
          <w:bottom w:val="nil"/>
          <w:right w:val="nil"/>
          <w:between w:val="nil"/>
        </w:pBdr>
        <w:spacing w:before="100" w:after="280"/>
      </w:pPr>
      <w:r>
        <w:t>April, 2019</w:t>
      </w:r>
    </w:p>
    <w:p w:rsidR="00CE0D3D" w:rsidRDefault="00285B01">
      <w:pPr>
        <w:pBdr>
          <w:top w:val="nil"/>
          <w:left w:val="nil"/>
          <w:bottom w:val="nil"/>
          <w:right w:val="nil"/>
          <w:between w:val="nil"/>
        </w:pBdr>
        <w:spacing w:after="280"/>
      </w:pPr>
      <w:r>
        <w:t>Dear</w:t>
      </w:r>
      <w:r w:rsidR="00BC304C">
        <w:t xml:space="preserve"> d</w:t>
      </w:r>
      <w:r w:rsidR="00BC304C" w:rsidRPr="00BC304C">
        <w:t>onator o</w:t>
      </w:r>
      <w:r w:rsidR="00BC304C">
        <w:t>f PRIC and the people concerned</w:t>
      </w:r>
      <w:r>
        <w:t>,</w:t>
      </w:r>
    </w:p>
    <w:p w:rsidR="00BC304C" w:rsidRDefault="00BC304C" w:rsidP="00BC304C">
      <w:pPr>
        <w:spacing w:after="0"/>
        <w:jc w:val="both"/>
      </w:pPr>
      <w:r>
        <w:tab/>
      </w:r>
      <w:r>
        <w:t>Thank you very much as always for your help and contribution for Pacific Rim</w:t>
      </w:r>
    </w:p>
    <w:p w:rsidR="00BC304C" w:rsidRDefault="00BC304C" w:rsidP="00BC304C">
      <w:pPr>
        <w:spacing w:after="0"/>
        <w:jc w:val="both"/>
      </w:pPr>
      <w:r>
        <w:t>International Camp.</w:t>
      </w:r>
    </w:p>
    <w:p w:rsidR="00BC304C" w:rsidRDefault="00BC304C" w:rsidP="00BC304C">
      <w:pPr>
        <w:spacing w:after="0"/>
        <w:ind w:firstLine="720"/>
        <w:jc w:val="both"/>
      </w:pPr>
      <w:r>
        <w:t>Unfortunately, PRIC2018 couldn’t be held last year as you know, but after the</w:t>
      </w:r>
      <w:r>
        <w:t xml:space="preserve"> </w:t>
      </w:r>
      <w:r>
        <w:t>announcement we have received warm support</w:t>
      </w:r>
      <w:r>
        <w:t>s from many of you. In addition</w:t>
      </w:r>
      <w:r>
        <w:rPr>
          <w:rFonts w:hint="eastAsia"/>
        </w:rPr>
        <w:t xml:space="preserve"> </w:t>
      </w:r>
      <w:r>
        <w:t>to personal donations from all of you, we have tried to hold PRIC2019 while</w:t>
      </w:r>
      <w:r>
        <w:t xml:space="preserve"> </w:t>
      </w:r>
      <w:r>
        <w:t>seeking partnerships with the companies and the foundations that support us.</w:t>
      </w:r>
    </w:p>
    <w:p w:rsidR="00BC304C" w:rsidRDefault="00BC304C" w:rsidP="00BC304C">
      <w:pPr>
        <w:spacing w:after="0"/>
        <w:ind w:firstLine="720"/>
        <w:jc w:val="both"/>
      </w:pPr>
      <w:r>
        <w:t>However, the funds needed to hold the camp program could not be raised, and</w:t>
      </w:r>
      <w:r>
        <w:t xml:space="preserve"> </w:t>
      </w:r>
      <w:r>
        <w:t>we decided not to hold PRIC2019 as well. We are very sorry that PRIC2019</w:t>
      </w:r>
      <w:r>
        <w:t xml:space="preserve"> </w:t>
      </w:r>
      <w:r>
        <w:t>could not be held even though all of your many supports.</w:t>
      </w:r>
    </w:p>
    <w:p w:rsidR="00CE0D3D" w:rsidRDefault="00BC304C" w:rsidP="00BC304C">
      <w:pPr>
        <w:spacing w:after="0"/>
        <w:ind w:firstLine="720"/>
        <w:jc w:val="both"/>
      </w:pPr>
      <w:r>
        <w:t>The Board of Directors are currently discussing the future of PRIC, including</w:t>
      </w:r>
      <w:r>
        <w:rPr>
          <w:rFonts w:hint="eastAsia"/>
        </w:rPr>
        <w:t xml:space="preserve"> </w:t>
      </w:r>
      <w:r>
        <w:t>any actions fro</w:t>
      </w:r>
      <w:r w:rsidR="004E22D9">
        <w:t>m 2019 and 2020 onwards. We woul</w:t>
      </w:r>
      <w:r>
        <w:t>d like to let you know as soon as</w:t>
      </w:r>
      <w:r>
        <w:t xml:space="preserve"> </w:t>
      </w:r>
      <w:r>
        <w:t>the policy and the plan would be decided. If you have any inquiries regarding</w:t>
      </w:r>
      <w:r>
        <w:t xml:space="preserve"> </w:t>
      </w:r>
      <w:r>
        <w:t>this matter, please con</w:t>
      </w:r>
      <w:r>
        <w:t>tact the email address (</w:t>
      </w:r>
      <w:hyperlink r:id="rId9" w:history="1">
        <w:r w:rsidRPr="00461390">
          <w:rPr>
            <w:rStyle w:val="a6"/>
          </w:rPr>
          <w:t>pric-sel-comm-a@pric.org</w:t>
        </w:r>
      </w:hyperlink>
      <w:r>
        <w:t>).</w:t>
      </w:r>
    </w:p>
    <w:p w:rsidR="00BC304C" w:rsidRDefault="00BC304C" w:rsidP="00BC304C">
      <w:pPr>
        <w:spacing w:after="0"/>
        <w:jc w:val="both"/>
      </w:pPr>
    </w:p>
    <w:p w:rsidR="00BC304C" w:rsidRDefault="00BC304C" w:rsidP="00BC304C">
      <w:pPr>
        <w:spacing w:after="0"/>
        <w:jc w:val="both"/>
        <w:rPr>
          <w:color w:val="54463D"/>
        </w:rPr>
      </w:pPr>
      <w:r>
        <w:t>Thanks and Regards,</w:t>
      </w:r>
      <w:bookmarkStart w:id="0" w:name="_GoBack"/>
      <w:bookmarkEnd w:id="0"/>
    </w:p>
    <w:sectPr w:rsidR="00BC304C">
      <w:footerReference w:type="default" r:id="rId10"/>
      <w:footerReference w:type="first" r:id="rId11"/>
      <w:pgSz w:w="11906" w:h="16838"/>
      <w:pgMar w:top="851" w:right="1418" w:bottom="0" w:left="1418" w:header="720" w:footer="8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01" w:rsidRDefault="00285B01">
      <w:pPr>
        <w:spacing w:after="0" w:line="240" w:lineRule="auto"/>
      </w:pPr>
      <w:r>
        <w:separator/>
      </w:r>
    </w:p>
  </w:endnote>
  <w:endnote w:type="continuationSeparator" w:id="0">
    <w:p w:rsidR="00285B01" w:rsidRDefault="0028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3D" w:rsidRDefault="00285B0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right="-720"/>
      <w:jc w:val="right"/>
      <w:rPr>
        <w:color w:val="276B64"/>
      </w:rPr>
    </w:pPr>
    <w:r>
      <w:rPr>
        <w:color w:val="276B64"/>
      </w:rPr>
      <w:t>ページ</w:t>
    </w:r>
    <w:r>
      <w:rPr>
        <w:color w:val="276B64"/>
      </w:rPr>
      <w:fldChar w:fldCharType="begin"/>
    </w:r>
    <w:r>
      <w:rPr>
        <w:color w:val="276B64"/>
      </w:rPr>
      <w:instrText>PAGE</w:instrText>
    </w:r>
    <w:r w:rsidR="00BC304C">
      <w:rPr>
        <w:color w:val="276B64"/>
      </w:rPr>
      <w:fldChar w:fldCharType="separate"/>
    </w:r>
    <w:r w:rsidR="00BC304C">
      <w:rPr>
        <w:noProof/>
        <w:color w:val="276B64"/>
      </w:rPr>
      <w:t>2</w:t>
    </w:r>
    <w:r>
      <w:rPr>
        <w:color w:val="276B6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3D" w:rsidRDefault="00CE0D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900" w:right="-720" w:firstLine="720"/>
      <w:jc w:val="right"/>
      <w:rPr>
        <w:color w:val="276B6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01" w:rsidRDefault="00285B01">
      <w:pPr>
        <w:spacing w:after="0" w:line="240" w:lineRule="auto"/>
      </w:pPr>
      <w:r>
        <w:separator/>
      </w:r>
    </w:p>
  </w:footnote>
  <w:footnote w:type="continuationSeparator" w:id="0">
    <w:p w:rsidR="00285B01" w:rsidRDefault="0028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7747"/>
    <w:multiLevelType w:val="multilevel"/>
    <w:tmpl w:val="6C94CE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D"/>
    <w:rsid w:val="00285B01"/>
    <w:rsid w:val="004E22D9"/>
    <w:rsid w:val="008B50AC"/>
    <w:rsid w:val="00BC304C"/>
    <w:rsid w:val="00C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382CC-3D89-4DFA-9062-A6E051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color w:val="55463E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76B64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Georgia" w:eastAsia="Georgia" w:hAnsi="Georgia" w:cs="Georgia"/>
      <w:color w:val="871D09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Georgia" w:eastAsia="Georgia" w:hAnsi="Georgia" w:cs="Georgia"/>
      <w:i/>
      <w:color w:val="CB2C0E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Georgia" w:eastAsia="Georgia" w:hAnsi="Georgia" w:cs="Georgia"/>
      <w:color w:val="CB2C0E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Georgia" w:eastAsia="Georgia" w:hAnsi="Georgia" w:cs="Georgia"/>
      <w:color w:val="871D0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rFonts w:ascii="Georgia" w:eastAsia="Georgia" w:hAnsi="Georgia" w:cs="Georgia"/>
      <w:color w:val="000000"/>
      <w:sz w:val="56"/>
      <w:szCs w:val="56"/>
    </w:rPr>
  </w:style>
  <w:style w:type="paragraph" w:styleId="a4">
    <w:name w:val="Subtitle"/>
    <w:basedOn w:val="a"/>
    <w:next w:val="a"/>
    <w:pPr>
      <w:spacing w:after="160"/>
    </w:pPr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6">
    <w:name w:val="Hyperlink"/>
    <w:basedOn w:val="a0"/>
    <w:uiPriority w:val="99"/>
    <w:unhideWhenUsed/>
    <w:rsid w:val="00BC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1999@pr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c-sel-comm-a@p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今住伸也</dc:creator>
  <cp:lastModifiedBy>今住 伸也</cp:lastModifiedBy>
  <cp:revision>4</cp:revision>
  <dcterms:created xsi:type="dcterms:W3CDTF">2019-04-05T13:12:00Z</dcterms:created>
  <dcterms:modified xsi:type="dcterms:W3CDTF">2019-04-05T14:39:00Z</dcterms:modified>
</cp:coreProperties>
</file>