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14083">
      <w:pPr>
        <w:spacing w:line="240" w:lineRule="auto"/>
        <w:rPr>
          <w:b/>
          <w:bCs/>
        </w:rPr>
      </w:pPr>
      <w:r>
        <w:rPr>
          <w:b/>
          <w:bCs/>
        </w:rPr>
        <w:t>Sinovation (HK) Investment Management Co., Limited</w:t>
      </w:r>
    </w:p>
    <w:p w14:paraId="5395C63F">
      <w:pPr>
        <w:spacing w:line="240" w:lineRule="auto"/>
        <w:rPr>
          <w:b/>
          <w:bCs/>
        </w:rPr>
      </w:pPr>
      <w:r>
        <w:rPr>
          <w:b/>
          <w:bCs/>
        </w:rPr>
        <w:t>2025 Climate-Related Risk Report</w:t>
      </w:r>
    </w:p>
    <w:p w14:paraId="2803FAF1">
      <w:pPr>
        <w:spacing w:line="240" w:lineRule="auto"/>
      </w:pPr>
      <w:bookmarkStart w:id="0" w:name="_GoBack"/>
      <w:bookmarkEnd w:id="0"/>
    </w:p>
    <w:p w14:paraId="1E60F41C">
      <w:pPr>
        <w:spacing w:line="240" w:lineRule="auto"/>
      </w:pPr>
      <w:r>
        <w:rPr>
          <w:rFonts w:hint="eastAsia"/>
        </w:rPr>
        <w:t>Dear Sir/Madam,</w:t>
      </w:r>
    </w:p>
    <w:p w14:paraId="70BDB910">
      <w:pPr>
        <w:spacing w:line="240" w:lineRule="auto"/>
      </w:pPr>
    </w:p>
    <w:p w14:paraId="2896EE9C">
      <w:pPr>
        <w:pStyle w:val="30"/>
        <w:numPr>
          <w:ilvl w:val="0"/>
          <w:numId w:val="1"/>
        </w:numPr>
        <w:spacing w:line="240" w:lineRule="auto"/>
      </w:pPr>
      <w:r>
        <w:t>Report Introduction</w:t>
      </w:r>
    </w:p>
    <w:p w14:paraId="53D19805">
      <w:pPr>
        <w:spacing w:line="240" w:lineRule="auto"/>
      </w:pPr>
      <w:r>
        <w:t>In accordance with the "Circular to licensed corporations - Management and disclosure of climate-related risks by fund managers" (hereinafter referred to as the "Disclosure Requirements")</w:t>
      </w:r>
      <w:r>
        <w:rPr>
          <w:rFonts w:hint="eastAsia"/>
        </w:rPr>
        <w:t xml:space="preserve"> </w:t>
      </w:r>
      <w:r>
        <w:t>issued by the Securities and Futures Commission of Hong Kong (hereinafter referred to as the "SFC") in 2021</w:t>
      </w:r>
      <w:r>
        <w:rPr>
          <w:rFonts w:hint="eastAsia"/>
        </w:rPr>
        <w:t xml:space="preserve">, </w:t>
      </w:r>
      <w:r>
        <w:t>Sinovation (HK) Investment Management Co., Limited</w:t>
      </w:r>
      <w:r>
        <w:rPr>
          <w:rFonts w:hint="eastAsia"/>
        </w:rPr>
        <w:t xml:space="preserve"> </w:t>
      </w:r>
      <w:r>
        <w:t xml:space="preserve">(hereinafter referred to as "Sinovation (HK)" or </w:t>
      </w:r>
      <w:r>
        <w:rPr>
          <w:rFonts w:hint="eastAsia"/>
        </w:rPr>
        <w:t xml:space="preserve">the </w:t>
      </w:r>
      <w:r>
        <w:t>"</w:t>
      </w:r>
      <w:r>
        <w:rPr>
          <w:rFonts w:hint="eastAsia"/>
        </w:rPr>
        <w:t>Company</w:t>
      </w:r>
      <w:r>
        <w:t>")</w:t>
      </w:r>
      <w:r>
        <w:rPr>
          <w:rFonts w:hint="eastAsia"/>
        </w:rPr>
        <w:t xml:space="preserve">, </w:t>
      </w:r>
      <w:r>
        <w:t>as a Type 9 licensed asset management company, hereby prepares and publishes the 2025 Climate-Related Risk Report (hereinafter referred to as "this Report").</w:t>
      </w:r>
      <w:r>
        <w:rPr>
          <w:rFonts w:hint="eastAsia"/>
        </w:rPr>
        <w:t xml:space="preserve"> </w:t>
      </w:r>
      <w:r>
        <w:t xml:space="preserve">This Report aims to disclose the Company's processes for assessing </w:t>
      </w:r>
      <w:r>
        <w:rPr>
          <w:rFonts w:hint="eastAsia"/>
        </w:rPr>
        <w:t xml:space="preserve">and </w:t>
      </w:r>
      <w:r>
        <w:t xml:space="preserve">managing climate-related risks in a transparent and open manner, </w:t>
      </w:r>
      <w:r>
        <w:rPr>
          <w:rFonts w:hint="eastAsia"/>
        </w:rPr>
        <w:t>in response to</w:t>
      </w:r>
      <w:r>
        <w:t xml:space="preserve"> the concerns of investors and other stakeholders.</w:t>
      </w:r>
    </w:p>
    <w:p w14:paraId="53A7569A">
      <w:pPr>
        <w:spacing w:line="240" w:lineRule="auto"/>
      </w:pPr>
    </w:p>
    <w:p w14:paraId="1D0E176A">
      <w:pPr>
        <w:pStyle w:val="30"/>
        <w:numPr>
          <w:ilvl w:val="0"/>
          <w:numId w:val="1"/>
        </w:numPr>
        <w:spacing w:line="240" w:lineRule="auto"/>
      </w:pPr>
      <w:r>
        <w:t>Report Scope</w:t>
      </w:r>
    </w:p>
    <w:p w14:paraId="2404D569">
      <w:pPr>
        <w:spacing w:line="240" w:lineRule="auto"/>
      </w:pPr>
      <w:r>
        <w:t xml:space="preserve">The reporting period of this Report </w:t>
      </w:r>
      <w:r>
        <w:rPr>
          <w:rFonts w:hint="eastAsia"/>
        </w:rPr>
        <w:t>is from</w:t>
      </w:r>
      <w:r>
        <w:t xml:space="preserve"> 1 January 2025 to 31 December 2025</w:t>
      </w:r>
      <w:r>
        <w:rPr>
          <w:rFonts w:hint="eastAsia"/>
        </w:rPr>
        <w:t xml:space="preserve"> (</w:t>
      </w:r>
      <w:r>
        <w:t>hereinafter referred to as the "Reporting Period"</w:t>
      </w:r>
      <w:r>
        <w:rPr>
          <w:rFonts w:hint="eastAsia"/>
        </w:rPr>
        <w:t>)</w:t>
      </w:r>
      <w:r>
        <w:t xml:space="preserve">. Unless otherwise stated, this Report covers the climate-related risk management of all funds managed by </w:t>
      </w:r>
      <w:r>
        <w:rPr>
          <w:rFonts w:hint="eastAsia"/>
        </w:rPr>
        <w:t>Sinovation (HK).</w:t>
      </w:r>
    </w:p>
    <w:p w14:paraId="5C0C5860">
      <w:pPr>
        <w:spacing w:line="240" w:lineRule="auto"/>
      </w:pPr>
    </w:p>
    <w:p w14:paraId="64BA4B0B">
      <w:pPr>
        <w:pStyle w:val="30"/>
        <w:numPr>
          <w:ilvl w:val="0"/>
          <w:numId w:val="1"/>
        </w:numPr>
        <w:spacing w:line="240" w:lineRule="auto"/>
      </w:pPr>
      <w:r>
        <w:t>Reporting Principles</w:t>
      </w:r>
    </w:p>
    <w:p w14:paraId="2070D587">
      <w:pPr>
        <w:spacing w:line="240" w:lineRule="auto"/>
      </w:pPr>
      <w:r>
        <w:rPr>
          <w:rFonts w:hint="eastAsia"/>
        </w:rPr>
        <w:t>Based on the</w:t>
      </w:r>
      <w:r>
        <w:t xml:space="preserve"> framework of </w:t>
      </w:r>
      <w:r>
        <w:rPr>
          <w:rFonts w:hint="eastAsia"/>
        </w:rPr>
        <w:t xml:space="preserve">the </w:t>
      </w:r>
      <w:r>
        <w:t>"Recommendations of the Task Force on Climate-related</w:t>
      </w:r>
      <w:r>
        <w:rPr>
          <w:rFonts w:hint="eastAsia"/>
        </w:rPr>
        <w:t xml:space="preserve"> Financial Disclosures (TCFD)</w:t>
      </w:r>
      <w:r>
        <w:t>" and the relevant guidelines and Disclosure Requirements of the SFC</w:t>
      </w:r>
      <w:r>
        <w:rPr>
          <w:rFonts w:hint="eastAsia"/>
        </w:rPr>
        <w:t xml:space="preserve">, the Company has </w:t>
      </w:r>
      <w:r>
        <w:t>comprehensively evaluate</w:t>
      </w:r>
      <w:r>
        <w:rPr>
          <w:rFonts w:hint="eastAsia"/>
        </w:rPr>
        <w:t>d</w:t>
      </w:r>
      <w:r>
        <w:t xml:space="preserve"> the relevance, materiality, and impact of related risks</w:t>
      </w:r>
      <w:r>
        <w:rPr>
          <w:rFonts w:hint="eastAsia"/>
        </w:rPr>
        <w:t xml:space="preserve"> based on the information currently available</w:t>
      </w:r>
      <w:r>
        <w:t>, and disclose</w:t>
      </w:r>
      <w:r>
        <w:rPr>
          <w:rFonts w:hint="eastAsia"/>
        </w:rPr>
        <w:t>d</w:t>
      </w:r>
      <w:r>
        <w:t xml:space="preserve"> the risk assessment results</w:t>
      </w:r>
      <w:r>
        <w:rPr>
          <w:rFonts w:hint="eastAsia"/>
        </w:rPr>
        <w:t xml:space="preserve">. </w:t>
      </w:r>
      <w:r>
        <w:t>The assessment methodology, disclosure scope, and disclosure principles of this Report will remain consistent and be updated on an annual basis.</w:t>
      </w:r>
    </w:p>
    <w:p w14:paraId="4D56FC8D">
      <w:pPr>
        <w:spacing w:line="240" w:lineRule="auto"/>
      </w:pPr>
    </w:p>
    <w:p w14:paraId="6A76C843">
      <w:pPr>
        <w:pStyle w:val="30"/>
        <w:numPr>
          <w:ilvl w:val="0"/>
          <w:numId w:val="1"/>
        </w:numPr>
        <w:spacing w:line="240" w:lineRule="auto"/>
      </w:pPr>
      <w:r>
        <w:t>Governance</w:t>
      </w:r>
    </w:p>
    <w:p w14:paraId="53309914">
      <w:pPr>
        <w:spacing w:line="240" w:lineRule="auto"/>
      </w:pPr>
      <w:r>
        <w:t>As of 31 December 2025</w:t>
      </w:r>
      <w:r>
        <w:rPr>
          <w:rFonts w:hint="eastAsia"/>
        </w:rPr>
        <w:t xml:space="preserve"> </w:t>
      </w:r>
      <w:r>
        <w:t xml:space="preserve">(hereinafter referred to as the "Reporting Date"), </w:t>
      </w:r>
      <w:r>
        <w:rPr>
          <w:rFonts w:hint="eastAsia"/>
        </w:rPr>
        <w:t xml:space="preserve">the </w:t>
      </w:r>
      <w:r>
        <w:t>Responsible Officer</w:t>
      </w:r>
      <w:r>
        <w:rPr>
          <w:rFonts w:hint="eastAsia"/>
        </w:rPr>
        <w:t xml:space="preserve"> is responsible for overseeing the </w:t>
      </w:r>
      <w:r>
        <w:t>climate risk management work</w:t>
      </w:r>
      <w:r>
        <w:rPr>
          <w:rFonts w:hint="eastAsia"/>
        </w:rPr>
        <w:t xml:space="preserve"> of the Company </w:t>
      </w:r>
      <w:r>
        <w:t xml:space="preserve">The Board, consisting of two directors, </w:t>
      </w:r>
      <w:r>
        <w:rPr>
          <w:rFonts w:hint="eastAsia"/>
        </w:rPr>
        <w:t>is</w:t>
      </w:r>
      <w:r>
        <w:t xml:space="preserve"> the highest governing body of the Company and bears </w:t>
      </w:r>
      <w:r>
        <w:rPr>
          <w:rFonts w:hint="eastAsia"/>
        </w:rPr>
        <w:t xml:space="preserve">the </w:t>
      </w:r>
      <w:r>
        <w:t>ultimate responsibility for the overall operations and sustainab</w:t>
      </w:r>
      <w:r>
        <w:rPr>
          <w:rFonts w:hint="eastAsia"/>
        </w:rPr>
        <w:t>le development efforts</w:t>
      </w:r>
      <w:r>
        <w:t>.</w:t>
      </w:r>
    </w:p>
    <w:p w14:paraId="203C5C72">
      <w:pPr>
        <w:spacing w:line="240" w:lineRule="auto"/>
      </w:pPr>
    </w:p>
    <w:p w14:paraId="0BB2AEAF">
      <w:pPr>
        <w:pStyle w:val="30"/>
        <w:numPr>
          <w:ilvl w:val="0"/>
          <w:numId w:val="1"/>
        </w:numPr>
        <w:spacing w:line="240" w:lineRule="auto"/>
      </w:pPr>
      <w:r>
        <w:t>Investment Management</w:t>
      </w:r>
    </w:p>
    <w:p w14:paraId="0FBFF92A">
      <w:pPr>
        <w:spacing w:line="240" w:lineRule="auto"/>
      </w:pPr>
      <w:r>
        <w:t>The Company has fully integrated</w:t>
      </w:r>
      <w:r>
        <w:rPr>
          <w:rFonts w:hint="eastAsia"/>
        </w:rPr>
        <w:t xml:space="preserve"> the assessment and monitory mechanism of</w:t>
      </w:r>
      <w:r>
        <w:t xml:space="preserve"> climate and environmental-related risks into </w:t>
      </w:r>
      <w:r>
        <w:rPr>
          <w:rFonts w:hint="eastAsia"/>
        </w:rPr>
        <w:t>our</w:t>
      </w:r>
      <w:r>
        <w:t xml:space="preserve"> investment management process.</w:t>
      </w:r>
    </w:p>
    <w:p w14:paraId="2533C301">
      <w:pPr>
        <w:pStyle w:val="30"/>
        <w:numPr>
          <w:ilvl w:val="0"/>
          <w:numId w:val="2"/>
        </w:numPr>
        <w:spacing w:line="240" w:lineRule="auto"/>
      </w:pPr>
      <w:r>
        <w:t>Pre-investment stage: The Company conducts standardized ESG due diligence on all proposed investment projects, identifying and assessing potential climate and environmental-related risks through public information searches, questionnaires, on-site visits</w:t>
      </w:r>
      <w:r>
        <w:rPr>
          <w:rFonts w:hint="eastAsia"/>
        </w:rPr>
        <w:t xml:space="preserve"> </w:t>
      </w:r>
      <w:r>
        <w:t>or management interviews</w:t>
      </w:r>
      <w:r>
        <w:rPr>
          <w:rFonts w:hint="eastAsia"/>
        </w:rPr>
        <w:t>.</w:t>
      </w:r>
    </w:p>
    <w:p w14:paraId="75EABE68">
      <w:pPr>
        <w:pStyle w:val="30"/>
        <w:spacing w:line="240" w:lineRule="auto"/>
      </w:pPr>
    </w:p>
    <w:p w14:paraId="75FE3DCF">
      <w:pPr>
        <w:pStyle w:val="30"/>
        <w:numPr>
          <w:ilvl w:val="0"/>
          <w:numId w:val="2"/>
        </w:numPr>
        <w:spacing w:line="240" w:lineRule="auto"/>
      </w:pPr>
      <w:r>
        <w:t xml:space="preserve">Post-investment stage: The Company has established a continuous post-investment monitoring mechanism. Through professional compliance information query tools, </w:t>
      </w:r>
      <w:r>
        <w:rPr>
          <w:rFonts w:hint="eastAsia"/>
        </w:rPr>
        <w:t>we</w:t>
      </w:r>
      <w:r>
        <w:t xml:space="preserve"> regularly monitor penalties, litigations, and other information related to climate and environmental matters of </w:t>
      </w:r>
      <w:r>
        <w:rPr>
          <w:rFonts w:hint="eastAsia"/>
        </w:rPr>
        <w:t>the</w:t>
      </w:r>
      <w:r>
        <w:t xml:space="preserve"> </w:t>
      </w:r>
      <w:r>
        <w:rPr>
          <w:rFonts w:hint="eastAsia"/>
        </w:rPr>
        <w:t>investment portfolios</w:t>
      </w:r>
      <w:r>
        <w:t xml:space="preserve">. By attending important meetings such as shareholders' meetings and board meetings, </w:t>
      </w:r>
      <w:r>
        <w:rPr>
          <w:rFonts w:hint="eastAsia"/>
        </w:rPr>
        <w:t>we</w:t>
      </w:r>
      <w:r>
        <w:t xml:space="preserve"> </w:t>
      </w:r>
      <w:r>
        <w:rPr>
          <w:rFonts w:hint="eastAsia"/>
        </w:rPr>
        <w:t xml:space="preserve">promptly </w:t>
      </w:r>
      <w:r>
        <w:t xml:space="preserve">provide </w:t>
      </w:r>
      <w:r>
        <w:rPr>
          <w:rFonts w:hint="eastAsia"/>
        </w:rPr>
        <w:t>suggestions</w:t>
      </w:r>
      <w:r>
        <w:t xml:space="preserve"> on climate-related risks in business decisions and urge rectification</w:t>
      </w:r>
      <w:r>
        <w:rPr>
          <w:rFonts w:hint="eastAsia"/>
        </w:rPr>
        <w:t>.</w:t>
      </w:r>
    </w:p>
    <w:p w14:paraId="43997D11">
      <w:pPr>
        <w:spacing w:line="240" w:lineRule="auto"/>
      </w:pPr>
    </w:p>
    <w:p w14:paraId="29838E05">
      <w:pPr>
        <w:pStyle w:val="30"/>
        <w:numPr>
          <w:ilvl w:val="0"/>
          <w:numId w:val="1"/>
        </w:numPr>
        <w:spacing w:line="240" w:lineRule="auto"/>
      </w:pPr>
      <w:r>
        <w:t>Risk Management</w:t>
      </w:r>
    </w:p>
    <w:p w14:paraId="7E429D18">
      <w:pPr>
        <w:spacing w:line="240" w:lineRule="auto"/>
      </w:pPr>
      <w:r>
        <w:rPr>
          <w:rFonts w:hint="eastAsia"/>
        </w:rPr>
        <w:t>Based on</w:t>
      </w:r>
      <w:r>
        <w:t xml:space="preserve"> the industry-specific evaluation criteria of the Sustainability Accounting Standards Board (SASB)</w:t>
      </w:r>
      <w:r>
        <w:rPr>
          <w:rFonts w:hint="eastAsia"/>
        </w:rPr>
        <w:t xml:space="preserve">, the Company </w:t>
      </w:r>
      <w:r>
        <w:t>conduct</w:t>
      </w:r>
      <w:r>
        <w:rPr>
          <w:rFonts w:hint="eastAsia"/>
        </w:rPr>
        <w:t>s</w:t>
      </w:r>
      <w:r>
        <w:t xml:space="preserve"> climate-related risk materiality assessments on </w:t>
      </w:r>
      <w:r>
        <w:rPr>
          <w:rFonts w:hint="eastAsia"/>
        </w:rPr>
        <w:t xml:space="preserve">the investment portfolios on an </w:t>
      </w:r>
      <w:r>
        <w:t>annual</w:t>
      </w:r>
      <w:r>
        <w:rPr>
          <w:rFonts w:hint="eastAsia"/>
        </w:rPr>
        <w:t xml:space="preserve"> basis</w:t>
      </w:r>
      <w:r>
        <w:t xml:space="preserve">. </w:t>
      </w:r>
      <w:r>
        <w:rPr>
          <w:rFonts w:hint="eastAsia"/>
        </w:rPr>
        <w:t>I</w:t>
      </w:r>
      <w:r>
        <w:t xml:space="preserve">n the event of </w:t>
      </w:r>
      <w:r>
        <w:rPr>
          <w:rFonts w:hint="eastAsia"/>
        </w:rPr>
        <w:t>material</w:t>
      </w:r>
      <w:r>
        <w:t xml:space="preserve"> climate or environmental risk incident</w:t>
      </w:r>
      <w:r>
        <w:rPr>
          <w:rFonts w:hint="eastAsia"/>
        </w:rPr>
        <w:t>s</w:t>
      </w:r>
      <w:r>
        <w:t xml:space="preserve">, the Company will promptly initiate </w:t>
      </w:r>
      <w:r>
        <w:rPr>
          <w:rFonts w:hint="eastAsia"/>
        </w:rPr>
        <w:t xml:space="preserve">procedures for </w:t>
      </w:r>
      <w:r>
        <w:t xml:space="preserve">special monitoring, risk </w:t>
      </w:r>
      <w:r>
        <w:rPr>
          <w:rFonts w:hint="eastAsia"/>
        </w:rPr>
        <w:t>mitigation</w:t>
      </w:r>
      <w:r>
        <w:t xml:space="preserve"> or </w:t>
      </w:r>
      <w:r>
        <w:rPr>
          <w:rFonts w:hint="eastAsia"/>
        </w:rPr>
        <w:t xml:space="preserve">project </w:t>
      </w:r>
      <w:r>
        <w:t>exit</w:t>
      </w:r>
      <w:r>
        <w:rPr>
          <w:rFonts w:hint="eastAsia"/>
        </w:rPr>
        <w:t>.</w:t>
      </w:r>
    </w:p>
    <w:p w14:paraId="6965E0D3">
      <w:pPr>
        <w:spacing w:line="240" w:lineRule="auto"/>
      </w:pPr>
    </w:p>
    <w:p w14:paraId="1ACDF5A9">
      <w:pPr>
        <w:pStyle w:val="30"/>
        <w:numPr>
          <w:ilvl w:val="0"/>
          <w:numId w:val="1"/>
        </w:numPr>
        <w:spacing w:line="240" w:lineRule="auto"/>
      </w:pPr>
      <w:r>
        <w:t>Assessment Results</w:t>
      </w:r>
    </w:p>
    <w:p w14:paraId="5A897A67">
      <w:pPr>
        <w:spacing w:line="240" w:lineRule="auto"/>
      </w:pPr>
      <w:r>
        <w:rPr>
          <w:rFonts w:hint="eastAsia"/>
        </w:rPr>
        <w:t>Based on the</w:t>
      </w:r>
      <w:r>
        <w:t xml:space="preserve"> assessment, during the Reporting Period</w:t>
      </w:r>
      <w:r>
        <w:rPr>
          <w:rFonts w:hint="eastAsia"/>
        </w:rPr>
        <w:t xml:space="preserve">, </w:t>
      </w:r>
      <w:r>
        <w:t xml:space="preserve">the </w:t>
      </w:r>
      <w:r>
        <w:rPr>
          <w:rFonts w:hint="eastAsia"/>
        </w:rPr>
        <w:t xml:space="preserve">investment portfolios </w:t>
      </w:r>
      <w:r>
        <w:t xml:space="preserve">managed by the Company </w:t>
      </w:r>
      <w:r>
        <w:rPr>
          <w:rFonts w:hint="eastAsia"/>
        </w:rPr>
        <w:t>are</w:t>
      </w:r>
      <w:r>
        <w:t xml:space="preserve"> primarily </w:t>
      </w:r>
      <w:r>
        <w:rPr>
          <w:rFonts w:hint="eastAsia"/>
        </w:rPr>
        <w:t>composed of</w:t>
      </w:r>
      <w:r>
        <w:t xml:space="preserve">  environmental friendly industries such as technology and healthcare. The proportion of both the number of investments and the invest</w:t>
      </w:r>
      <w:r>
        <w:rPr>
          <w:rFonts w:hint="eastAsia"/>
        </w:rPr>
        <w:t>ment</w:t>
      </w:r>
      <w:r>
        <w:t xml:space="preserve"> amount in projects with </w:t>
      </w:r>
      <w:r>
        <w:rPr>
          <w:rFonts w:hint="eastAsia"/>
        </w:rPr>
        <w:t>material</w:t>
      </w:r>
      <w:r>
        <w:t xml:space="preserve"> climate risk remains at a relatively low level. </w:t>
      </w:r>
      <w:r>
        <w:rPr>
          <w:rFonts w:hint="eastAsia"/>
        </w:rPr>
        <w:t xml:space="preserve">As </w:t>
      </w:r>
      <w:r>
        <w:t>of the Reporting Date</w:t>
      </w:r>
      <w:r>
        <w:rPr>
          <w:rFonts w:hint="eastAsia"/>
        </w:rPr>
        <w:t>,</w:t>
      </w:r>
      <w:r>
        <w:t xml:space="preserve"> </w:t>
      </w:r>
      <w:r>
        <w:rPr>
          <w:rFonts w:hint="eastAsia"/>
        </w:rPr>
        <w:t>t</w:t>
      </w:r>
      <w:r>
        <w:t xml:space="preserve">he Company's climate-related risk assessment result </w:t>
      </w:r>
      <w:r>
        <w:rPr>
          <w:rFonts w:hint="eastAsia"/>
        </w:rPr>
        <w:t xml:space="preserve">for fiscal year </w:t>
      </w:r>
      <w:r>
        <w:t xml:space="preserve">2025 is "Relevant but </w:t>
      </w:r>
      <w:r>
        <w:rPr>
          <w:rFonts w:hint="eastAsia"/>
        </w:rPr>
        <w:t>not m</w:t>
      </w:r>
      <w:r>
        <w:t xml:space="preserve">aterial", with an overall </w:t>
      </w:r>
      <w:r>
        <w:rPr>
          <w:rFonts w:hint="eastAsia"/>
        </w:rPr>
        <w:t xml:space="preserve">low </w:t>
      </w:r>
      <w:r>
        <w:t>risk level.</w:t>
      </w:r>
    </w:p>
    <w:p w14:paraId="74A991FF">
      <w:pPr>
        <w:spacing w:line="240" w:lineRule="auto"/>
      </w:pPr>
    </w:p>
    <w:p w14:paraId="3534E5B0">
      <w:pPr>
        <w:pStyle w:val="30"/>
        <w:numPr>
          <w:ilvl w:val="0"/>
          <w:numId w:val="1"/>
        </w:numPr>
        <w:spacing w:line="240" w:lineRule="auto"/>
      </w:pPr>
      <w:r>
        <w:t>Disclosure</w:t>
      </w:r>
    </w:p>
    <w:p w14:paraId="2D1F16A2">
      <w:pPr>
        <w:spacing w:line="240" w:lineRule="auto"/>
      </w:pPr>
      <w:r>
        <w:t>This Report is prepared in both Chinese and English, and will be published through the Company's official website. In the event of any discrepancy between the Chinese and English versions, the Chinese version shall prevail. The Company will review the climate-related risk assessment results annually</w:t>
      </w:r>
      <w:r>
        <w:rPr>
          <w:rFonts w:hint="eastAsia"/>
        </w:rPr>
        <w:t xml:space="preserve"> and</w:t>
      </w:r>
      <w:r>
        <w:t xml:space="preserve"> update this Report as appropriate</w:t>
      </w:r>
      <w:r>
        <w:rPr>
          <w:rFonts w:hint="eastAsia"/>
        </w:rPr>
        <w:t>.</w:t>
      </w:r>
      <w:r>
        <w:t xml:space="preserve"> For any questions, please email esg@sinovationventures.com.</w:t>
      </w:r>
    </w:p>
    <w:p w14:paraId="144BAF92">
      <w:pPr>
        <w:spacing w:line="240" w:lineRule="auto"/>
      </w:pPr>
      <w:r>
        <w:rPr>
          <w:rFonts w:hint="eastAsia"/>
        </w:rPr>
        <w:t xml:space="preserve">                                                                    </w:t>
      </w:r>
    </w:p>
    <w:p w14:paraId="6C9ECF41">
      <w:pPr>
        <w:spacing w:line="240" w:lineRule="auto"/>
      </w:pPr>
      <w:r>
        <w:rPr>
          <w:rFonts w:hint="eastAsia"/>
        </w:rPr>
        <w:t xml:space="preserve">                                                                    </w:t>
      </w:r>
      <w:r>
        <w:t>Sinovation (HK) Investment Management Co., Limited</w:t>
      </w:r>
    </w:p>
    <w:p w14:paraId="0331022E">
      <w:pPr>
        <w:spacing w:line="240" w:lineRule="auto"/>
      </w:pPr>
      <w:r>
        <w:rPr>
          <w:rFonts w:hint="eastAsia"/>
        </w:rPr>
        <w:t xml:space="preserve">                                                                                                                                           April 2026             </w:t>
      </w: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1386C"/>
    <w:multiLevelType w:val="multilevel"/>
    <w:tmpl w:val="5031386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77A377C3"/>
    <w:multiLevelType w:val="multilevel"/>
    <w:tmpl w:val="77A377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70"/>
    <w:rsid w:val="00002047"/>
    <w:rsid w:val="000026DD"/>
    <w:rsid w:val="00003E23"/>
    <w:rsid w:val="00007FB3"/>
    <w:rsid w:val="00013A63"/>
    <w:rsid w:val="000360D1"/>
    <w:rsid w:val="00040495"/>
    <w:rsid w:val="00044EE6"/>
    <w:rsid w:val="00045079"/>
    <w:rsid w:val="00051B31"/>
    <w:rsid w:val="00053A1F"/>
    <w:rsid w:val="00062A91"/>
    <w:rsid w:val="000641E7"/>
    <w:rsid w:val="00071F50"/>
    <w:rsid w:val="00074732"/>
    <w:rsid w:val="00081E9B"/>
    <w:rsid w:val="0008292D"/>
    <w:rsid w:val="00090FAC"/>
    <w:rsid w:val="00093B32"/>
    <w:rsid w:val="000A45B3"/>
    <w:rsid w:val="000A7870"/>
    <w:rsid w:val="000B7280"/>
    <w:rsid w:val="000B752C"/>
    <w:rsid w:val="000B7C5F"/>
    <w:rsid w:val="000C1276"/>
    <w:rsid w:val="000C447C"/>
    <w:rsid w:val="000E13A0"/>
    <w:rsid w:val="000E46F6"/>
    <w:rsid w:val="000E7AF2"/>
    <w:rsid w:val="000F1DD3"/>
    <w:rsid w:val="000F6461"/>
    <w:rsid w:val="00105CFC"/>
    <w:rsid w:val="00106055"/>
    <w:rsid w:val="00112C6A"/>
    <w:rsid w:val="0012054E"/>
    <w:rsid w:val="001221D1"/>
    <w:rsid w:val="00127390"/>
    <w:rsid w:val="001276A6"/>
    <w:rsid w:val="00142E56"/>
    <w:rsid w:val="001472A8"/>
    <w:rsid w:val="00151FC8"/>
    <w:rsid w:val="001612D1"/>
    <w:rsid w:val="00171540"/>
    <w:rsid w:val="00176D40"/>
    <w:rsid w:val="00177FE9"/>
    <w:rsid w:val="001839B9"/>
    <w:rsid w:val="001878FC"/>
    <w:rsid w:val="001916B9"/>
    <w:rsid w:val="00196328"/>
    <w:rsid w:val="001978AD"/>
    <w:rsid w:val="001A5B2B"/>
    <w:rsid w:val="001A5D13"/>
    <w:rsid w:val="001A6337"/>
    <w:rsid w:val="001B16DB"/>
    <w:rsid w:val="001B191A"/>
    <w:rsid w:val="001B39E4"/>
    <w:rsid w:val="001C14D2"/>
    <w:rsid w:val="001D01CE"/>
    <w:rsid w:val="001D022D"/>
    <w:rsid w:val="001E5385"/>
    <w:rsid w:val="001F0168"/>
    <w:rsid w:val="001F6118"/>
    <w:rsid w:val="00203E84"/>
    <w:rsid w:val="00206C71"/>
    <w:rsid w:val="00210C10"/>
    <w:rsid w:val="00214F5E"/>
    <w:rsid w:val="00217011"/>
    <w:rsid w:val="00220073"/>
    <w:rsid w:val="002212C4"/>
    <w:rsid w:val="002240C8"/>
    <w:rsid w:val="00225C59"/>
    <w:rsid w:val="0023769C"/>
    <w:rsid w:val="0024102D"/>
    <w:rsid w:val="00243872"/>
    <w:rsid w:val="00243CCD"/>
    <w:rsid w:val="002461DB"/>
    <w:rsid w:val="00263180"/>
    <w:rsid w:val="002639B5"/>
    <w:rsid w:val="00263C6F"/>
    <w:rsid w:val="002661E7"/>
    <w:rsid w:val="00267F5A"/>
    <w:rsid w:val="00270F8C"/>
    <w:rsid w:val="00277BC1"/>
    <w:rsid w:val="00284BC0"/>
    <w:rsid w:val="0029009D"/>
    <w:rsid w:val="00297858"/>
    <w:rsid w:val="002A3485"/>
    <w:rsid w:val="002A685C"/>
    <w:rsid w:val="002D6626"/>
    <w:rsid w:val="002E41E5"/>
    <w:rsid w:val="002E4772"/>
    <w:rsid w:val="003014C0"/>
    <w:rsid w:val="00301C6C"/>
    <w:rsid w:val="00303111"/>
    <w:rsid w:val="00303927"/>
    <w:rsid w:val="0030530F"/>
    <w:rsid w:val="0031080C"/>
    <w:rsid w:val="003154C7"/>
    <w:rsid w:val="003169BE"/>
    <w:rsid w:val="0032314C"/>
    <w:rsid w:val="00325116"/>
    <w:rsid w:val="00331BF7"/>
    <w:rsid w:val="00332CFA"/>
    <w:rsid w:val="00335FC6"/>
    <w:rsid w:val="003451B8"/>
    <w:rsid w:val="00346688"/>
    <w:rsid w:val="0034706C"/>
    <w:rsid w:val="003538F6"/>
    <w:rsid w:val="00363075"/>
    <w:rsid w:val="00364CC5"/>
    <w:rsid w:val="00366312"/>
    <w:rsid w:val="00366928"/>
    <w:rsid w:val="003805DF"/>
    <w:rsid w:val="003928F6"/>
    <w:rsid w:val="00392F81"/>
    <w:rsid w:val="003942EE"/>
    <w:rsid w:val="00396CCB"/>
    <w:rsid w:val="00396E67"/>
    <w:rsid w:val="003B2EA7"/>
    <w:rsid w:val="003B53EE"/>
    <w:rsid w:val="003B62F0"/>
    <w:rsid w:val="003B7AC3"/>
    <w:rsid w:val="003C1A76"/>
    <w:rsid w:val="003C283C"/>
    <w:rsid w:val="003C5D7E"/>
    <w:rsid w:val="003C6EAB"/>
    <w:rsid w:val="003C783B"/>
    <w:rsid w:val="003E2AEB"/>
    <w:rsid w:val="003F61B8"/>
    <w:rsid w:val="003F71C1"/>
    <w:rsid w:val="004029D1"/>
    <w:rsid w:val="00402AE5"/>
    <w:rsid w:val="0040326B"/>
    <w:rsid w:val="00403501"/>
    <w:rsid w:val="00403D6F"/>
    <w:rsid w:val="00405726"/>
    <w:rsid w:val="00407510"/>
    <w:rsid w:val="004140AD"/>
    <w:rsid w:val="00414980"/>
    <w:rsid w:val="004209C8"/>
    <w:rsid w:val="00420E8F"/>
    <w:rsid w:val="00426707"/>
    <w:rsid w:val="004278A8"/>
    <w:rsid w:val="0043043B"/>
    <w:rsid w:val="00430655"/>
    <w:rsid w:val="00435135"/>
    <w:rsid w:val="004515D7"/>
    <w:rsid w:val="004634BA"/>
    <w:rsid w:val="00463500"/>
    <w:rsid w:val="00467751"/>
    <w:rsid w:val="0047516B"/>
    <w:rsid w:val="004758B5"/>
    <w:rsid w:val="00482F0D"/>
    <w:rsid w:val="00491F16"/>
    <w:rsid w:val="004B35A5"/>
    <w:rsid w:val="004B6DCB"/>
    <w:rsid w:val="004B71C6"/>
    <w:rsid w:val="004B73FB"/>
    <w:rsid w:val="004C1E7D"/>
    <w:rsid w:val="004C2CA3"/>
    <w:rsid w:val="004C46B6"/>
    <w:rsid w:val="004D58E4"/>
    <w:rsid w:val="004D6A53"/>
    <w:rsid w:val="004F2AAF"/>
    <w:rsid w:val="004F6D04"/>
    <w:rsid w:val="0050608B"/>
    <w:rsid w:val="00506B10"/>
    <w:rsid w:val="005105F1"/>
    <w:rsid w:val="005137A6"/>
    <w:rsid w:val="00524235"/>
    <w:rsid w:val="00526582"/>
    <w:rsid w:val="00531E5E"/>
    <w:rsid w:val="00540776"/>
    <w:rsid w:val="00545A58"/>
    <w:rsid w:val="00551F71"/>
    <w:rsid w:val="00562E67"/>
    <w:rsid w:val="00566E21"/>
    <w:rsid w:val="00570B85"/>
    <w:rsid w:val="005744E7"/>
    <w:rsid w:val="005808ED"/>
    <w:rsid w:val="00581272"/>
    <w:rsid w:val="00592BBF"/>
    <w:rsid w:val="00597986"/>
    <w:rsid w:val="005A06CC"/>
    <w:rsid w:val="005A1605"/>
    <w:rsid w:val="005A3B30"/>
    <w:rsid w:val="005B2F4E"/>
    <w:rsid w:val="005C49B8"/>
    <w:rsid w:val="005C5923"/>
    <w:rsid w:val="005C7907"/>
    <w:rsid w:val="005F148A"/>
    <w:rsid w:val="005F3B72"/>
    <w:rsid w:val="006054F4"/>
    <w:rsid w:val="00611D6E"/>
    <w:rsid w:val="0062067B"/>
    <w:rsid w:val="00622C04"/>
    <w:rsid w:val="006252B1"/>
    <w:rsid w:val="00630970"/>
    <w:rsid w:val="006327EE"/>
    <w:rsid w:val="006461F7"/>
    <w:rsid w:val="00655C71"/>
    <w:rsid w:val="00655F8A"/>
    <w:rsid w:val="00660DA2"/>
    <w:rsid w:val="00665BF1"/>
    <w:rsid w:val="00671B87"/>
    <w:rsid w:val="006747CB"/>
    <w:rsid w:val="006769D7"/>
    <w:rsid w:val="0068071A"/>
    <w:rsid w:val="00682BAE"/>
    <w:rsid w:val="00683EAA"/>
    <w:rsid w:val="00686E4F"/>
    <w:rsid w:val="00687FDA"/>
    <w:rsid w:val="00691DB7"/>
    <w:rsid w:val="006960C8"/>
    <w:rsid w:val="00696894"/>
    <w:rsid w:val="006B32F7"/>
    <w:rsid w:val="006B76F0"/>
    <w:rsid w:val="006C1FF6"/>
    <w:rsid w:val="006C3451"/>
    <w:rsid w:val="006D4A02"/>
    <w:rsid w:val="006E58F7"/>
    <w:rsid w:val="006E5F0A"/>
    <w:rsid w:val="006E64CB"/>
    <w:rsid w:val="006F64C6"/>
    <w:rsid w:val="0071548A"/>
    <w:rsid w:val="00725C9A"/>
    <w:rsid w:val="0073060D"/>
    <w:rsid w:val="0074414C"/>
    <w:rsid w:val="007473EE"/>
    <w:rsid w:val="007502C0"/>
    <w:rsid w:val="00754D3F"/>
    <w:rsid w:val="00767846"/>
    <w:rsid w:val="00785B52"/>
    <w:rsid w:val="00793B18"/>
    <w:rsid w:val="007A268A"/>
    <w:rsid w:val="007A374B"/>
    <w:rsid w:val="007A42A5"/>
    <w:rsid w:val="007A47F1"/>
    <w:rsid w:val="007A5649"/>
    <w:rsid w:val="007A57EE"/>
    <w:rsid w:val="007A778A"/>
    <w:rsid w:val="007B1B6C"/>
    <w:rsid w:val="007B523D"/>
    <w:rsid w:val="007C0B0E"/>
    <w:rsid w:val="007C5CD1"/>
    <w:rsid w:val="007D53A1"/>
    <w:rsid w:val="007E1F1C"/>
    <w:rsid w:val="007E1F34"/>
    <w:rsid w:val="007E2704"/>
    <w:rsid w:val="00800F5B"/>
    <w:rsid w:val="00810786"/>
    <w:rsid w:val="0081603C"/>
    <w:rsid w:val="008315DA"/>
    <w:rsid w:val="0083634C"/>
    <w:rsid w:val="00844C6B"/>
    <w:rsid w:val="00846083"/>
    <w:rsid w:val="008468E7"/>
    <w:rsid w:val="00850219"/>
    <w:rsid w:val="008514A2"/>
    <w:rsid w:val="00851680"/>
    <w:rsid w:val="008531CD"/>
    <w:rsid w:val="00872BC1"/>
    <w:rsid w:val="00877D60"/>
    <w:rsid w:val="008802FA"/>
    <w:rsid w:val="00881364"/>
    <w:rsid w:val="008837A6"/>
    <w:rsid w:val="008873F8"/>
    <w:rsid w:val="00887839"/>
    <w:rsid w:val="008947AC"/>
    <w:rsid w:val="008A3A87"/>
    <w:rsid w:val="008B21A9"/>
    <w:rsid w:val="008C0ABC"/>
    <w:rsid w:val="008C5C55"/>
    <w:rsid w:val="008C709F"/>
    <w:rsid w:val="008E1CC7"/>
    <w:rsid w:val="008E44B0"/>
    <w:rsid w:val="008E4AF1"/>
    <w:rsid w:val="008F5371"/>
    <w:rsid w:val="009072FF"/>
    <w:rsid w:val="0091683C"/>
    <w:rsid w:val="00933793"/>
    <w:rsid w:val="0093798F"/>
    <w:rsid w:val="0094053F"/>
    <w:rsid w:val="009421DD"/>
    <w:rsid w:val="00945594"/>
    <w:rsid w:val="009557B3"/>
    <w:rsid w:val="0095694B"/>
    <w:rsid w:val="00981795"/>
    <w:rsid w:val="00987E56"/>
    <w:rsid w:val="009A4FEE"/>
    <w:rsid w:val="009B15ED"/>
    <w:rsid w:val="009B23F1"/>
    <w:rsid w:val="009C7958"/>
    <w:rsid w:val="009D1689"/>
    <w:rsid w:val="009D4A94"/>
    <w:rsid w:val="009D4D49"/>
    <w:rsid w:val="009E489B"/>
    <w:rsid w:val="009F0DC8"/>
    <w:rsid w:val="009F0E5A"/>
    <w:rsid w:val="009F7516"/>
    <w:rsid w:val="00A06BB2"/>
    <w:rsid w:val="00A21F8B"/>
    <w:rsid w:val="00A23D58"/>
    <w:rsid w:val="00A26B26"/>
    <w:rsid w:val="00A40B9A"/>
    <w:rsid w:val="00A47E23"/>
    <w:rsid w:val="00A5209B"/>
    <w:rsid w:val="00A525AD"/>
    <w:rsid w:val="00A7292A"/>
    <w:rsid w:val="00A7781C"/>
    <w:rsid w:val="00A84755"/>
    <w:rsid w:val="00A86436"/>
    <w:rsid w:val="00A90761"/>
    <w:rsid w:val="00A91B3A"/>
    <w:rsid w:val="00A93539"/>
    <w:rsid w:val="00A93A91"/>
    <w:rsid w:val="00A943E4"/>
    <w:rsid w:val="00AA7F8D"/>
    <w:rsid w:val="00AB50FA"/>
    <w:rsid w:val="00AB77EC"/>
    <w:rsid w:val="00AB7FD8"/>
    <w:rsid w:val="00AD539A"/>
    <w:rsid w:val="00AE428D"/>
    <w:rsid w:val="00AE4F39"/>
    <w:rsid w:val="00B020AF"/>
    <w:rsid w:val="00B03FB7"/>
    <w:rsid w:val="00B04D29"/>
    <w:rsid w:val="00B067C7"/>
    <w:rsid w:val="00B14B43"/>
    <w:rsid w:val="00B1781D"/>
    <w:rsid w:val="00B24389"/>
    <w:rsid w:val="00B24FDE"/>
    <w:rsid w:val="00B26D40"/>
    <w:rsid w:val="00B353D4"/>
    <w:rsid w:val="00B4306A"/>
    <w:rsid w:val="00B44F75"/>
    <w:rsid w:val="00B50C82"/>
    <w:rsid w:val="00B55C36"/>
    <w:rsid w:val="00B57C16"/>
    <w:rsid w:val="00B6156D"/>
    <w:rsid w:val="00B61AD0"/>
    <w:rsid w:val="00B61CF7"/>
    <w:rsid w:val="00B6470C"/>
    <w:rsid w:val="00B84497"/>
    <w:rsid w:val="00B8590E"/>
    <w:rsid w:val="00B90A7E"/>
    <w:rsid w:val="00B922AB"/>
    <w:rsid w:val="00BA185B"/>
    <w:rsid w:val="00BB2FEE"/>
    <w:rsid w:val="00BC1902"/>
    <w:rsid w:val="00BD5BAF"/>
    <w:rsid w:val="00BE216F"/>
    <w:rsid w:val="00BF3A54"/>
    <w:rsid w:val="00C00D6E"/>
    <w:rsid w:val="00C02019"/>
    <w:rsid w:val="00C02713"/>
    <w:rsid w:val="00C03DF7"/>
    <w:rsid w:val="00C15334"/>
    <w:rsid w:val="00C17F3D"/>
    <w:rsid w:val="00C216AA"/>
    <w:rsid w:val="00C27D70"/>
    <w:rsid w:val="00C35D89"/>
    <w:rsid w:val="00C53891"/>
    <w:rsid w:val="00C61F61"/>
    <w:rsid w:val="00C635CC"/>
    <w:rsid w:val="00C707CB"/>
    <w:rsid w:val="00C73D8C"/>
    <w:rsid w:val="00C802A8"/>
    <w:rsid w:val="00C85698"/>
    <w:rsid w:val="00C87610"/>
    <w:rsid w:val="00CA417B"/>
    <w:rsid w:val="00CA4270"/>
    <w:rsid w:val="00CA5641"/>
    <w:rsid w:val="00CB1F88"/>
    <w:rsid w:val="00CB2129"/>
    <w:rsid w:val="00CB43FA"/>
    <w:rsid w:val="00CB5C47"/>
    <w:rsid w:val="00CB630C"/>
    <w:rsid w:val="00CC6C1D"/>
    <w:rsid w:val="00CE3CA6"/>
    <w:rsid w:val="00CE6FFF"/>
    <w:rsid w:val="00D07F44"/>
    <w:rsid w:val="00D12414"/>
    <w:rsid w:val="00D16994"/>
    <w:rsid w:val="00D2781F"/>
    <w:rsid w:val="00D32ABF"/>
    <w:rsid w:val="00D339BB"/>
    <w:rsid w:val="00D442FE"/>
    <w:rsid w:val="00D443A2"/>
    <w:rsid w:val="00D44DFC"/>
    <w:rsid w:val="00D460DE"/>
    <w:rsid w:val="00D52C85"/>
    <w:rsid w:val="00D564F1"/>
    <w:rsid w:val="00D56B1D"/>
    <w:rsid w:val="00D6190C"/>
    <w:rsid w:val="00D62C1B"/>
    <w:rsid w:val="00D7081C"/>
    <w:rsid w:val="00D7401B"/>
    <w:rsid w:val="00D745F7"/>
    <w:rsid w:val="00D75DBA"/>
    <w:rsid w:val="00D75E81"/>
    <w:rsid w:val="00D76271"/>
    <w:rsid w:val="00D8287B"/>
    <w:rsid w:val="00D84715"/>
    <w:rsid w:val="00D91EAB"/>
    <w:rsid w:val="00D92807"/>
    <w:rsid w:val="00DA4CDE"/>
    <w:rsid w:val="00DB607A"/>
    <w:rsid w:val="00DC0B82"/>
    <w:rsid w:val="00DC4027"/>
    <w:rsid w:val="00DD02B6"/>
    <w:rsid w:val="00DD1A55"/>
    <w:rsid w:val="00DD50DA"/>
    <w:rsid w:val="00DD5446"/>
    <w:rsid w:val="00DD76D7"/>
    <w:rsid w:val="00DD7B89"/>
    <w:rsid w:val="00DE06B0"/>
    <w:rsid w:val="00DF1BB5"/>
    <w:rsid w:val="00DF55C5"/>
    <w:rsid w:val="00DF7C0F"/>
    <w:rsid w:val="00E03002"/>
    <w:rsid w:val="00E05B08"/>
    <w:rsid w:val="00E072DA"/>
    <w:rsid w:val="00E2100B"/>
    <w:rsid w:val="00E24DDE"/>
    <w:rsid w:val="00E25C93"/>
    <w:rsid w:val="00E36428"/>
    <w:rsid w:val="00E41AF5"/>
    <w:rsid w:val="00E43F82"/>
    <w:rsid w:val="00E4638A"/>
    <w:rsid w:val="00E521C5"/>
    <w:rsid w:val="00E56DD0"/>
    <w:rsid w:val="00E61FD9"/>
    <w:rsid w:val="00E63262"/>
    <w:rsid w:val="00E64ACC"/>
    <w:rsid w:val="00E67503"/>
    <w:rsid w:val="00E73047"/>
    <w:rsid w:val="00E74923"/>
    <w:rsid w:val="00E751A2"/>
    <w:rsid w:val="00E75709"/>
    <w:rsid w:val="00E84219"/>
    <w:rsid w:val="00E87154"/>
    <w:rsid w:val="00EA0694"/>
    <w:rsid w:val="00EA6E04"/>
    <w:rsid w:val="00EB0526"/>
    <w:rsid w:val="00EB3BFE"/>
    <w:rsid w:val="00EB3C3D"/>
    <w:rsid w:val="00EB7D71"/>
    <w:rsid w:val="00EC4F0D"/>
    <w:rsid w:val="00ED0DC3"/>
    <w:rsid w:val="00ED47F3"/>
    <w:rsid w:val="00EE4B20"/>
    <w:rsid w:val="00EF4CF7"/>
    <w:rsid w:val="00F00207"/>
    <w:rsid w:val="00F070AA"/>
    <w:rsid w:val="00F120E8"/>
    <w:rsid w:val="00F14DF4"/>
    <w:rsid w:val="00F22A67"/>
    <w:rsid w:val="00F3741C"/>
    <w:rsid w:val="00F41AAB"/>
    <w:rsid w:val="00F41E7E"/>
    <w:rsid w:val="00F426BC"/>
    <w:rsid w:val="00F42D82"/>
    <w:rsid w:val="00F54EB8"/>
    <w:rsid w:val="00F64CEF"/>
    <w:rsid w:val="00F67F93"/>
    <w:rsid w:val="00F721D5"/>
    <w:rsid w:val="00F72DE1"/>
    <w:rsid w:val="00F86B7F"/>
    <w:rsid w:val="00F94B33"/>
    <w:rsid w:val="00FA17F7"/>
    <w:rsid w:val="00FA4537"/>
    <w:rsid w:val="00FA51CB"/>
    <w:rsid w:val="00FA625C"/>
    <w:rsid w:val="00FA6B28"/>
    <w:rsid w:val="00FB4B6F"/>
    <w:rsid w:val="00FB64E1"/>
    <w:rsid w:val="00FB6A86"/>
    <w:rsid w:val="00FD4A60"/>
    <w:rsid w:val="00FD52F5"/>
    <w:rsid w:val="00FD6490"/>
    <w:rsid w:val="00FD7867"/>
    <w:rsid w:val="00FF02A9"/>
    <w:rsid w:val="00FF60A4"/>
    <w:rsid w:val="00FF669D"/>
    <w:rsid w:val="61760D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宋体"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320"/>
        <w:tab w:val="right" w:pos="8640"/>
      </w:tabs>
      <w:spacing w:after="0" w:line="240" w:lineRule="auto"/>
    </w:pPr>
  </w:style>
  <w:style w:type="paragraph" w:styleId="12">
    <w:name w:val="header"/>
    <w:basedOn w:val="1"/>
    <w:link w:val="35"/>
    <w:unhideWhenUsed/>
    <w:uiPriority w:val="99"/>
    <w:pPr>
      <w:tabs>
        <w:tab w:val="center" w:pos="4320"/>
        <w:tab w:val="right" w:pos="8640"/>
      </w:tabs>
      <w:spacing w:after="0" w:line="240" w:lineRule="auto"/>
    </w:pPr>
  </w:style>
  <w:style w:type="paragraph" w:styleId="13">
    <w:name w:val="Subtitle"/>
    <w:basedOn w:val="1"/>
    <w:next w:val="1"/>
    <w:link w:val="27"/>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6"/>
    <w:link w:val="2"/>
    <w:qFormat/>
    <w:uiPriority w:val="9"/>
    <w:rPr>
      <w:rFonts w:asciiTheme="majorHAnsi" w:hAnsiTheme="majorHAnsi" w:eastAsiaTheme="majorEastAsia" w:cstheme="majorBidi"/>
      <w:color w:val="2F5597" w:themeColor="accent1" w:themeShade="BF"/>
      <w:sz w:val="40"/>
      <w:szCs w:val="40"/>
    </w:rPr>
  </w:style>
  <w:style w:type="character" w:customStyle="1" w:styleId="18">
    <w:name w:val="Heading 2 Char"/>
    <w:basedOn w:val="16"/>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Heading 3 Char"/>
    <w:basedOn w:val="16"/>
    <w:link w:val="4"/>
    <w:semiHidden/>
    <w:qFormat/>
    <w:uiPriority w:val="9"/>
    <w:rPr>
      <w:rFonts w:asciiTheme="minorHAnsi" w:hAnsiTheme="minorHAnsi" w:eastAsiaTheme="majorEastAsia" w:cstheme="majorBidi"/>
      <w:color w:val="2F5597" w:themeColor="accent1" w:themeShade="BF"/>
      <w:sz w:val="28"/>
      <w:szCs w:val="28"/>
    </w:rPr>
  </w:style>
  <w:style w:type="character" w:customStyle="1" w:styleId="20">
    <w:name w:val="Heading 4 Char"/>
    <w:basedOn w:val="16"/>
    <w:link w:val="5"/>
    <w:semiHidden/>
    <w:qFormat/>
    <w:uiPriority w:val="9"/>
    <w:rPr>
      <w:rFonts w:asciiTheme="minorHAnsi" w:hAnsiTheme="minorHAnsi" w:eastAsiaTheme="majorEastAsia" w:cstheme="majorBidi"/>
      <w:i/>
      <w:iCs/>
      <w:color w:val="2F5597" w:themeColor="accent1" w:themeShade="BF"/>
    </w:rPr>
  </w:style>
  <w:style w:type="character" w:customStyle="1" w:styleId="21">
    <w:name w:val="Heading 5 Char"/>
    <w:basedOn w:val="16"/>
    <w:link w:val="6"/>
    <w:semiHidden/>
    <w:qFormat/>
    <w:uiPriority w:val="9"/>
    <w:rPr>
      <w:rFonts w:asciiTheme="minorHAnsi" w:hAnsiTheme="minorHAnsi" w:eastAsiaTheme="majorEastAsia" w:cstheme="majorBidi"/>
      <w:color w:val="2F5597" w:themeColor="accent1" w:themeShade="BF"/>
    </w:rPr>
  </w:style>
  <w:style w:type="character" w:customStyle="1" w:styleId="22">
    <w:name w:val="Heading 6 Char"/>
    <w:basedOn w:val="16"/>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6"/>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6"/>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6"/>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6"/>
    <w:link w:val="13"/>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Intense Quote Char"/>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Header Char"/>
    <w:basedOn w:val="16"/>
    <w:link w:val="12"/>
    <w:uiPriority w:val="99"/>
  </w:style>
  <w:style w:type="character" w:customStyle="1" w:styleId="36">
    <w:name w:val="Footer Char"/>
    <w:basedOn w:val="16"/>
    <w:link w:val="11"/>
    <w:uiPriority w:val="99"/>
  </w:style>
  <w:style w:type="paragraph" w:customStyle="1" w:styleId="37">
    <w:name w:val="Revision"/>
    <w:hidden/>
    <w:semiHidden/>
    <w:uiPriority w:val="99"/>
    <w:pPr>
      <w:spacing w:after="0" w:line="240" w:lineRule="auto"/>
    </w:pPr>
    <w:rPr>
      <w:rFonts w:ascii="Times New Roman" w:hAnsi="Times New Roman" w:eastAsia="宋体"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607</Words>
  <Characters>3815</Characters>
  <Lines>33</Lines>
  <Paragraphs>9</Paragraphs>
  <TotalTime>4350</TotalTime>
  <ScaleCrop>false</ScaleCrop>
  <LinksUpToDate>false</LinksUpToDate>
  <CharactersWithSpaces>4688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2026-04-16T10:46:00Z</dcterms:created>
  <dc:creator>李宜龙</dc:creator>
  <cp:lastModifiedBy>黄惠珍</cp:lastModifiedBy>
  <dcterms:modified xsi:type="dcterms:W3CDTF">2026-05-15T06:31:48Z</dcterms:modified>
  <cp:revision>699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A5541A7FB3CE4670B2160B95F3198AB4_13</vt:lpwstr>
  </property>
</Properties>
</file>