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7FEC0" w14:textId="77777777" w:rsidR="00004D5A" w:rsidRPr="00812A48" w:rsidRDefault="00004D5A" w:rsidP="00812A48">
      <w:pPr>
        <w:rPr>
          <w:color w:val="auto"/>
          <w:sz w:val="22"/>
          <w:szCs w:val="22"/>
        </w:rPr>
      </w:pPr>
      <w:r w:rsidRPr="00812A48">
        <w:rPr>
          <w:b/>
          <w:bCs/>
          <w:color w:val="auto"/>
          <w:sz w:val="22"/>
          <w:szCs w:val="22"/>
        </w:rPr>
        <w:t>“Canvas and copyright: Where art and intellectual property meet”</w:t>
      </w:r>
    </w:p>
    <w:p w14:paraId="4C711B20" w14:textId="2D094C48" w:rsidR="00812A48" w:rsidRPr="00812A48" w:rsidRDefault="00812A48" w:rsidP="00812A48">
      <w:pPr>
        <w:rPr>
          <w:b/>
          <w:bCs/>
          <w:color w:val="auto"/>
          <w:sz w:val="22"/>
          <w:szCs w:val="22"/>
        </w:rPr>
      </w:pPr>
      <w:r w:rsidRPr="00812A48">
        <w:rPr>
          <w:b/>
          <w:bCs/>
          <w:color w:val="auto"/>
          <w:sz w:val="22"/>
          <w:szCs w:val="22"/>
        </w:rPr>
        <w:t>BLACA / Young Art Lawyers Association (YALA) Seminar 10</w:t>
      </w:r>
      <w:r w:rsidRPr="00812A48">
        <w:rPr>
          <w:b/>
          <w:bCs/>
          <w:color w:val="auto"/>
          <w:sz w:val="22"/>
          <w:szCs w:val="22"/>
          <w:vertAlign w:val="superscript"/>
        </w:rPr>
        <w:t xml:space="preserve"> </w:t>
      </w:r>
      <w:r w:rsidRPr="00812A48">
        <w:rPr>
          <w:b/>
          <w:bCs/>
          <w:color w:val="auto"/>
          <w:sz w:val="22"/>
          <w:szCs w:val="22"/>
        </w:rPr>
        <w:t xml:space="preserve">September 2026 </w:t>
      </w:r>
    </w:p>
    <w:p w14:paraId="46FEE510" w14:textId="7858BA9C" w:rsidR="00812A48" w:rsidRPr="00812A48" w:rsidRDefault="00812A48" w:rsidP="00812A48">
      <w:pPr>
        <w:rPr>
          <w:color w:val="auto"/>
          <w:sz w:val="22"/>
          <w:szCs w:val="22"/>
        </w:rPr>
      </w:pPr>
      <w:r w:rsidRPr="00812A48">
        <w:rPr>
          <w:color w:val="auto"/>
          <w:sz w:val="22"/>
          <w:szCs w:val="22"/>
        </w:rPr>
        <w:t>This semina</w:t>
      </w:r>
      <w:r w:rsidR="004B4BD3">
        <w:rPr>
          <w:color w:val="auto"/>
          <w:sz w:val="22"/>
          <w:szCs w:val="22"/>
        </w:rPr>
        <w:t>r</w:t>
      </w:r>
      <w:r w:rsidRPr="00812A48">
        <w:rPr>
          <w:color w:val="auto"/>
          <w:sz w:val="22"/>
          <w:szCs w:val="22"/>
        </w:rPr>
        <w:t xml:space="preserve"> was held jointly by BLCA and the Young Art Lawyers Association</w:t>
      </w:r>
      <w:r w:rsidR="004B4BD3">
        <w:rPr>
          <w:color w:val="auto"/>
          <w:sz w:val="22"/>
          <w:szCs w:val="22"/>
        </w:rPr>
        <w:t>*</w:t>
      </w:r>
      <w:r w:rsidRPr="00812A48">
        <w:rPr>
          <w:color w:val="auto"/>
          <w:sz w:val="22"/>
          <w:szCs w:val="22"/>
        </w:rPr>
        <w:t xml:space="preserve">. </w:t>
      </w:r>
    </w:p>
    <w:p w14:paraId="07A02D3D" w14:textId="4C6CD43D" w:rsidR="00812A48" w:rsidRPr="00812A48" w:rsidRDefault="00812A48" w:rsidP="00812A48">
      <w:pPr>
        <w:rPr>
          <w:color w:val="auto"/>
          <w:sz w:val="22"/>
          <w:szCs w:val="22"/>
        </w:rPr>
      </w:pPr>
      <w:r w:rsidRPr="00812A48">
        <w:rPr>
          <w:color w:val="auto"/>
          <w:sz w:val="22"/>
          <w:szCs w:val="22"/>
        </w:rPr>
        <w:t>Camille Beckmann (</w:t>
      </w:r>
      <w:proofErr w:type="spellStart"/>
      <w:r w:rsidRPr="00812A48">
        <w:rPr>
          <w:color w:val="auto"/>
          <w:sz w:val="22"/>
          <w:szCs w:val="22"/>
        </w:rPr>
        <w:t>Bristows</w:t>
      </w:r>
      <w:proofErr w:type="spellEnd"/>
      <w:r w:rsidRPr="00812A48">
        <w:rPr>
          <w:color w:val="auto"/>
          <w:sz w:val="22"/>
          <w:szCs w:val="22"/>
        </w:rPr>
        <w:t xml:space="preserve">) chaired the meeting and challenged the panellists: </w:t>
      </w:r>
    </w:p>
    <w:p w14:paraId="2E21C225" w14:textId="0A9E73E8" w:rsidR="00812A48" w:rsidRPr="003E70F5" w:rsidRDefault="00812A48" w:rsidP="00812A48">
      <w:pPr>
        <w:pStyle w:val="ListParagraph"/>
        <w:numPr>
          <w:ilvl w:val="0"/>
          <w:numId w:val="1"/>
        </w:numPr>
        <w:rPr>
          <w:color w:val="auto"/>
          <w:sz w:val="22"/>
          <w:szCs w:val="22"/>
        </w:rPr>
      </w:pPr>
      <w:r w:rsidRPr="003E70F5">
        <w:rPr>
          <w:color w:val="auto"/>
          <w:sz w:val="22"/>
          <w:szCs w:val="22"/>
        </w:rPr>
        <w:t>Atalanta Xanthe (Artist)</w:t>
      </w:r>
      <w:r w:rsidR="008A11E5">
        <w:rPr>
          <w:color w:val="auto"/>
          <w:sz w:val="22"/>
          <w:szCs w:val="22"/>
        </w:rPr>
        <w:t>*</w:t>
      </w:r>
      <w:r w:rsidR="00807C75">
        <w:rPr>
          <w:color w:val="auto"/>
          <w:sz w:val="22"/>
          <w:szCs w:val="22"/>
        </w:rPr>
        <w:t>*</w:t>
      </w:r>
    </w:p>
    <w:p w14:paraId="6B999BFB" w14:textId="77777777" w:rsidR="00812A48" w:rsidRPr="003E70F5" w:rsidRDefault="00812A48" w:rsidP="00812A48">
      <w:pPr>
        <w:pStyle w:val="ListParagraph"/>
        <w:numPr>
          <w:ilvl w:val="0"/>
          <w:numId w:val="1"/>
        </w:numPr>
        <w:rPr>
          <w:color w:val="auto"/>
          <w:sz w:val="22"/>
          <w:szCs w:val="22"/>
        </w:rPr>
      </w:pPr>
      <w:r w:rsidRPr="003E70F5">
        <w:rPr>
          <w:color w:val="auto"/>
          <w:sz w:val="22"/>
          <w:szCs w:val="22"/>
        </w:rPr>
        <w:t xml:space="preserve">Celia Lloyd Davidson (Legal Director, Boodle Hatfield LLP) </w:t>
      </w:r>
    </w:p>
    <w:p w14:paraId="3D0D7C27" w14:textId="23118CB6" w:rsidR="00812A48" w:rsidRPr="003E70F5" w:rsidRDefault="00812A48" w:rsidP="00812A48">
      <w:pPr>
        <w:pStyle w:val="ListParagraph"/>
        <w:numPr>
          <w:ilvl w:val="0"/>
          <w:numId w:val="1"/>
        </w:numPr>
        <w:rPr>
          <w:color w:val="auto"/>
          <w:sz w:val="22"/>
          <w:szCs w:val="22"/>
        </w:rPr>
      </w:pPr>
      <w:r w:rsidRPr="003E70F5">
        <w:rPr>
          <w:color w:val="auto"/>
          <w:sz w:val="22"/>
          <w:szCs w:val="22"/>
        </w:rPr>
        <w:t xml:space="preserve">Toby Headdon (Of Counsel, </w:t>
      </w:r>
      <w:proofErr w:type="spellStart"/>
      <w:r w:rsidRPr="003E70F5">
        <w:rPr>
          <w:color w:val="auto"/>
          <w:sz w:val="22"/>
          <w:szCs w:val="22"/>
        </w:rPr>
        <w:t>Bristows</w:t>
      </w:r>
      <w:proofErr w:type="spellEnd"/>
      <w:r w:rsidRPr="003E70F5">
        <w:rPr>
          <w:color w:val="auto"/>
          <w:sz w:val="22"/>
          <w:szCs w:val="22"/>
        </w:rPr>
        <w:t xml:space="preserve"> LLP)</w:t>
      </w:r>
    </w:p>
    <w:p w14:paraId="5A31E956" w14:textId="77777777" w:rsidR="003E70F5" w:rsidRPr="003E70F5" w:rsidRDefault="003E70F5" w:rsidP="003E70F5">
      <w:pPr>
        <w:pStyle w:val="ListParagraph"/>
        <w:rPr>
          <w:color w:val="auto"/>
          <w:sz w:val="22"/>
          <w:szCs w:val="22"/>
        </w:rPr>
      </w:pPr>
    </w:p>
    <w:p w14:paraId="42CABE92" w14:textId="7F603E69" w:rsidR="008A11E5" w:rsidRDefault="00812A48" w:rsidP="00812A48">
      <w:pPr>
        <w:rPr>
          <w:color w:val="auto"/>
          <w:sz w:val="22"/>
          <w:szCs w:val="22"/>
        </w:rPr>
      </w:pPr>
      <w:r>
        <w:rPr>
          <w:color w:val="auto"/>
          <w:sz w:val="22"/>
          <w:szCs w:val="22"/>
        </w:rPr>
        <w:t>Initial discussion centred around authorship and the creative process of artists.</w:t>
      </w:r>
      <w:r w:rsidR="00D826E6">
        <w:rPr>
          <w:color w:val="auto"/>
          <w:sz w:val="22"/>
          <w:szCs w:val="22"/>
        </w:rPr>
        <w:t xml:space="preserve"> </w:t>
      </w:r>
      <w:r w:rsidR="00DE3315">
        <w:rPr>
          <w:color w:val="auto"/>
          <w:sz w:val="22"/>
          <w:szCs w:val="22"/>
        </w:rPr>
        <w:t>A</w:t>
      </w:r>
      <w:r>
        <w:rPr>
          <w:color w:val="auto"/>
          <w:sz w:val="22"/>
          <w:szCs w:val="22"/>
        </w:rPr>
        <w:t xml:space="preserve">rtists </w:t>
      </w:r>
      <w:r w:rsidR="00DE3315">
        <w:rPr>
          <w:color w:val="auto"/>
          <w:sz w:val="22"/>
          <w:szCs w:val="22"/>
        </w:rPr>
        <w:t>commonly</w:t>
      </w:r>
      <w:r w:rsidR="003E70F5">
        <w:rPr>
          <w:color w:val="auto"/>
          <w:sz w:val="22"/>
          <w:szCs w:val="22"/>
        </w:rPr>
        <w:t xml:space="preserve"> </w:t>
      </w:r>
      <w:r>
        <w:rPr>
          <w:color w:val="auto"/>
          <w:sz w:val="22"/>
          <w:szCs w:val="22"/>
        </w:rPr>
        <w:t xml:space="preserve">take inspiration </w:t>
      </w:r>
      <w:r w:rsidR="003E70F5">
        <w:rPr>
          <w:color w:val="auto"/>
          <w:sz w:val="22"/>
          <w:szCs w:val="22"/>
        </w:rPr>
        <w:t>from</w:t>
      </w:r>
      <w:r>
        <w:rPr>
          <w:color w:val="auto"/>
          <w:sz w:val="22"/>
          <w:szCs w:val="22"/>
        </w:rPr>
        <w:t xml:space="preserve"> </w:t>
      </w:r>
      <w:r w:rsidR="003E70F5">
        <w:rPr>
          <w:color w:val="auto"/>
          <w:sz w:val="22"/>
          <w:szCs w:val="22"/>
        </w:rPr>
        <w:t>artists</w:t>
      </w:r>
      <w:r w:rsidR="00DE3315">
        <w:rPr>
          <w:color w:val="auto"/>
          <w:sz w:val="22"/>
          <w:szCs w:val="22"/>
        </w:rPr>
        <w:t xml:space="preserve"> that have preceded them</w:t>
      </w:r>
      <w:r w:rsidR="003E70F5">
        <w:rPr>
          <w:color w:val="auto"/>
          <w:sz w:val="22"/>
          <w:szCs w:val="22"/>
        </w:rPr>
        <w:t xml:space="preserve">, focussing on the artistic inspiration before them rather than the </w:t>
      </w:r>
      <w:r w:rsidR="00D826E6">
        <w:rPr>
          <w:color w:val="auto"/>
          <w:sz w:val="22"/>
          <w:szCs w:val="22"/>
        </w:rPr>
        <w:t xml:space="preserve">copyright and </w:t>
      </w:r>
      <w:r w:rsidR="003E70F5">
        <w:rPr>
          <w:color w:val="auto"/>
          <w:sz w:val="22"/>
          <w:szCs w:val="22"/>
        </w:rPr>
        <w:t>intellectual property implications.</w:t>
      </w:r>
      <w:r w:rsidR="00DE3315">
        <w:rPr>
          <w:color w:val="auto"/>
          <w:sz w:val="22"/>
          <w:szCs w:val="22"/>
        </w:rPr>
        <w:t xml:space="preserve"> </w:t>
      </w:r>
      <w:r w:rsidR="008A11E5">
        <w:rPr>
          <w:color w:val="auto"/>
          <w:sz w:val="22"/>
          <w:szCs w:val="22"/>
        </w:rPr>
        <w:t xml:space="preserve">For example, Atalanta has recently exhibited paintings inspired by a mediaeval artist. </w:t>
      </w:r>
      <w:r w:rsidR="00DE3315">
        <w:rPr>
          <w:color w:val="auto"/>
          <w:sz w:val="22"/>
          <w:szCs w:val="22"/>
        </w:rPr>
        <w:t>There is no fixed threshold at which appropriation becomes infringement</w:t>
      </w:r>
      <w:r w:rsidR="008A11E5">
        <w:rPr>
          <w:color w:val="auto"/>
          <w:sz w:val="22"/>
          <w:szCs w:val="22"/>
        </w:rPr>
        <w:t>. T</w:t>
      </w:r>
      <w:r w:rsidR="00DE3315">
        <w:rPr>
          <w:color w:val="auto"/>
          <w:sz w:val="22"/>
          <w:szCs w:val="22"/>
        </w:rPr>
        <w:t>he line</w:t>
      </w:r>
      <w:r w:rsidR="008A11E5">
        <w:rPr>
          <w:color w:val="auto"/>
          <w:sz w:val="22"/>
          <w:szCs w:val="22"/>
        </w:rPr>
        <w:t>s</w:t>
      </w:r>
      <w:r w:rsidR="00DE3315">
        <w:rPr>
          <w:color w:val="auto"/>
          <w:sz w:val="22"/>
          <w:szCs w:val="22"/>
        </w:rPr>
        <w:t xml:space="preserve"> between an idea and its particular expression</w:t>
      </w:r>
      <w:r w:rsidR="004B4BD3">
        <w:rPr>
          <w:color w:val="auto"/>
          <w:sz w:val="22"/>
          <w:szCs w:val="22"/>
        </w:rPr>
        <w:t>,</w:t>
      </w:r>
      <w:r w:rsidR="008A11E5">
        <w:rPr>
          <w:color w:val="auto"/>
          <w:sz w:val="22"/>
          <w:szCs w:val="22"/>
        </w:rPr>
        <w:t xml:space="preserve"> or the taking of commonplace rather than original</w:t>
      </w:r>
      <w:r w:rsidR="00DE3315">
        <w:rPr>
          <w:color w:val="auto"/>
          <w:sz w:val="22"/>
          <w:szCs w:val="22"/>
        </w:rPr>
        <w:t xml:space="preserve"> </w:t>
      </w:r>
      <w:r w:rsidR="008A11E5">
        <w:rPr>
          <w:color w:val="auto"/>
          <w:sz w:val="22"/>
          <w:szCs w:val="22"/>
        </w:rPr>
        <w:t>elements</w:t>
      </w:r>
      <w:r w:rsidR="004B4BD3">
        <w:rPr>
          <w:color w:val="auto"/>
          <w:sz w:val="22"/>
          <w:szCs w:val="22"/>
        </w:rPr>
        <w:t>,</w:t>
      </w:r>
      <w:r w:rsidR="008A11E5">
        <w:rPr>
          <w:color w:val="auto"/>
          <w:sz w:val="22"/>
          <w:szCs w:val="22"/>
        </w:rPr>
        <w:t xml:space="preserve"> </w:t>
      </w:r>
      <w:r w:rsidR="00DE3315">
        <w:rPr>
          <w:color w:val="auto"/>
          <w:sz w:val="22"/>
          <w:szCs w:val="22"/>
        </w:rPr>
        <w:t>depend</w:t>
      </w:r>
      <w:r w:rsidR="008A11E5">
        <w:rPr>
          <w:color w:val="auto"/>
          <w:sz w:val="22"/>
          <w:szCs w:val="22"/>
        </w:rPr>
        <w:t>s</w:t>
      </w:r>
      <w:r w:rsidR="00DE3315">
        <w:rPr>
          <w:color w:val="auto"/>
          <w:sz w:val="22"/>
          <w:szCs w:val="22"/>
        </w:rPr>
        <w:t xml:space="preserve"> on the facts of each case</w:t>
      </w:r>
      <w:r w:rsidR="008A11E5">
        <w:rPr>
          <w:color w:val="auto"/>
          <w:sz w:val="22"/>
          <w:szCs w:val="22"/>
        </w:rPr>
        <w:t xml:space="preserve">. </w:t>
      </w:r>
      <w:r w:rsidR="00CE2BBE" w:rsidRPr="00CE2BBE">
        <w:rPr>
          <w:color w:val="auto"/>
          <w:sz w:val="22"/>
          <w:szCs w:val="22"/>
        </w:rPr>
        <w:t xml:space="preserve">The effective constraint is therefore reputational rather than legal, an </w:t>
      </w:r>
      <w:r w:rsidR="00004D5A">
        <w:rPr>
          <w:color w:val="auto"/>
          <w:sz w:val="22"/>
          <w:szCs w:val="22"/>
        </w:rPr>
        <w:t>artist’s</w:t>
      </w:r>
      <w:r w:rsidR="00CE2BBE" w:rsidRPr="00CE2BBE">
        <w:rPr>
          <w:color w:val="auto"/>
          <w:sz w:val="22"/>
          <w:szCs w:val="22"/>
        </w:rPr>
        <w:t xml:space="preserve"> </w:t>
      </w:r>
      <w:r w:rsidR="00004D5A">
        <w:rPr>
          <w:color w:val="auto"/>
          <w:sz w:val="22"/>
          <w:szCs w:val="22"/>
        </w:rPr>
        <w:t>standing or st</w:t>
      </w:r>
      <w:r w:rsidR="00CE2BBE" w:rsidRPr="00CE2BBE">
        <w:rPr>
          <w:color w:val="auto"/>
          <w:sz w:val="22"/>
          <w:szCs w:val="22"/>
        </w:rPr>
        <w:t xml:space="preserve">atus being the finite asset on which </w:t>
      </w:r>
      <w:r w:rsidR="00004D5A">
        <w:rPr>
          <w:color w:val="auto"/>
          <w:sz w:val="22"/>
          <w:szCs w:val="22"/>
        </w:rPr>
        <w:t>they</w:t>
      </w:r>
      <w:r w:rsidR="00CE2BBE" w:rsidRPr="00CE2BBE">
        <w:rPr>
          <w:color w:val="auto"/>
          <w:sz w:val="22"/>
          <w:szCs w:val="22"/>
        </w:rPr>
        <w:t xml:space="preserve"> depend. </w:t>
      </w:r>
    </w:p>
    <w:p w14:paraId="65AE8E38" w14:textId="219CB0BD" w:rsidR="003E70F5" w:rsidRDefault="00DE3315" w:rsidP="00812A48">
      <w:pPr>
        <w:rPr>
          <w:color w:val="auto"/>
          <w:sz w:val="22"/>
          <w:szCs w:val="22"/>
        </w:rPr>
      </w:pPr>
      <w:r>
        <w:rPr>
          <w:color w:val="auto"/>
          <w:sz w:val="22"/>
          <w:szCs w:val="22"/>
        </w:rPr>
        <w:t>Discussion turned to c</w:t>
      </w:r>
      <w:r w:rsidR="003E70F5">
        <w:rPr>
          <w:color w:val="auto"/>
          <w:sz w:val="22"/>
          <w:szCs w:val="22"/>
        </w:rPr>
        <w:t>ommon blind spots for artists</w:t>
      </w:r>
      <w:r>
        <w:rPr>
          <w:color w:val="auto"/>
          <w:sz w:val="22"/>
          <w:szCs w:val="22"/>
        </w:rPr>
        <w:t>. The first is that</w:t>
      </w:r>
      <w:r w:rsidR="003E70F5">
        <w:rPr>
          <w:color w:val="auto"/>
          <w:sz w:val="22"/>
          <w:szCs w:val="22"/>
        </w:rPr>
        <w:t xml:space="preserve"> </w:t>
      </w:r>
      <w:r w:rsidR="00D826E6">
        <w:rPr>
          <w:color w:val="auto"/>
          <w:sz w:val="22"/>
          <w:szCs w:val="22"/>
        </w:rPr>
        <w:t xml:space="preserve">purchasing </w:t>
      </w:r>
      <w:r w:rsidR="003E70F5">
        <w:rPr>
          <w:color w:val="auto"/>
          <w:sz w:val="22"/>
          <w:szCs w:val="22"/>
        </w:rPr>
        <w:t xml:space="preserve">physical </w:t>
      </w:r>
      <w:r w:rsidR="00D826E6">
        <w:rPr>
          <w:color w:val="auto"/>
          <w:sz w:val="22"/>
          <w:szCs w:val="22"/>
        </w:rPr>
        <w:t>works</w:t>
      </w:r>
      <w:r w:rsidR="003E70F5">
        <w:rPr>
          <w:color w:val="auto"/>
          <w:sz w:val="22"/>
          <w:szCs w:val="22"/>
        </w:rPr>
        <w:t xml:space="preserve"> </w:t>
      </w:r>
      <w:r w:rsidR="00D826E6">
        <w:rPr>
          <w:color w:val="auto"/>
          <w:sz w:val="22"/>
          <w:szCs w:val="22"/>
        </w:rPr>
        <w:t>does not automatically transfer</w:t>
      </w:r>
      <w:r w:rsidR="003E70F5">
        <w:rPr>
          <w:color w:val="auto"/>
          <w:sz w:val="22"/>
          <w:szCs w:val="22"/>
        </w:rPr>
        <w:t xml:space="preserve"> the rights attached to them. Artists may </w:t>
      </w:r>
      <w:r>
        <w:rPr>
          <w:color w:val="auto"/>
          <w:sz w:val="22"/>
          <w:szCs w:val="22"/>
        </w:rPr>
        <w:t xml:space="preserve">assign or licence rights </w:t>
      </w:r>
      <w:r w:rsidR="009C0F51">
        <w:rPr>
          <w:color w:val="auto"/>
          <w:sz w:val="22"/>
          <w:szCs w:val="22"/>
        </w:rPr>
        <w:t>inadvertently</w:t>
      </w:r>
      <w:r>
        <w:rPr>
          <w:color w:val="auto"/>
          <w:sz w:val="22"/>
          <w:szCs w:val="22"/>
        </w:rPr>
        <w:t xml:space="preserve">, whether through </w:t>
      </w:r>
      <w:r w:rsidR="003E70F5">
        <w:rPr>
          <w:color w:val="auto"/>
          <w:sz w:val="22"/>
          <w:szCs w:val="22"/>
        </w:rPr>
        <w:t>private sales</w:t>
      </w:r>
      <w:r w:rsidR="00D826E6">
        <w:rPr>
          <w:color w:val="auto"/>
          <w:sz w:val="22"/>
          <w:szCs w:val="22"/>
        </w:rPr>
        <w:t xml:space="preserve"> </w:t>
      </w:r>
      <w:r w:rsidR="00CE2BBE">
        <w:rPr>
          <w:color w:val="auto"/>
          <w:sz w:val="22"/>
          <w:szCs w:val="22"/>
        </w:rPr>
        <w:t>or</w:t>
      </w:r>
      <w:r w:rsidR="00D826E6">
        <w:rPr>
          <w:color w:val="auto"/>
          <w:sz w:val="22"/>
          <w:szCs w:val="22"/>
        </w:rPr>
        <w:t xml:space="preserve"> standard terms</w:t>
      </w:r>
      <w:r w:rsidR="00CE2BBE">
        <w:rPr>
          <w:color w:val="auto"/>
          <w:sz w:val="22"/>
          <w:szCs w:val="22"/>
        </w:rPr>
        <w:t xml:space="preserve"> and i</w:t>
      </w:r>
      <w:r>
        <w:rPr>
          <w:color w:val="auto"/>
          <w:sz w:val="22"/>
          <w:szCs w:val="22"/>
        </w:rPr>
        <w:t>n</w:t>
      </w:r>
      <w:r w:rsidR="009C0F51">
        <w:rPr>
          <w:color w:val="auto"/>
          <w:sz w:val="22"/>
          <w:szCs w:val="22"/>
        </w:rPr>
        <w:t>stitutional and charitable purchasers will frequently seek warranties of originality and non-infringement. Moral rights under</w:t>
      </w:r>
      <w:r w:rsidR="003E70F5">
        <w:rPr>
          <w:color w:val="auto"/>
          <w:sz w:val="22"/>
          <w:szCs w:val="22"/>
        </w:rPr>
        <w:t xml:space="preserve"> </w:t>
      </w:r>
      <w:r w:rsidR="009C0F51">
        <w:rPr>
          <w:color w:val="auto"/>
          <w:sz w:val="22"/>
          <w:szCs w:val="22"/>
        </w:rPr>
        <w:t>the CDPA may</w:t>
      </w:r>
      <w:r w:rsidR="00172AC8">
        <w:rPr>
          <w:color w:val="auto"/>
          <w:sz w:val="22"/>
          <w:szCs w:val="22"/>
        </w:rPr>
        <w:t xml:space="preserve"> </w:t>
      </w:r>
      <w:r w:rsidR="009C0F51">
        <w:rPr>
          <w:color w:val="auto"/>
          <w:sz w:val="22"/>
          <w:szCs w:val="22"/>
        </w:rPr>
        <w:t>be waived b</w:t>
      </w:r>
      <w:r w:rsidR="009C0F51" w:rsidRPr="009C0F51">
        <w:rPr>
          <w:color w:val="auto"/>
          <w:sz w:val="22"/>
          <w:szCs w:val="22"/>
        </w:rPr>
        <w:t xml:space="preserve">ut not assigned, and the right to object to derogatory treatment and false attribution can retain real leverage for artists and their estates after the economic rights have been alienated, the value </w:t>
      </w:r>
      <w:r w:rsidR="009C0F51">
        <w:rPr>
          <w:color w:val="auto"/>
          <w:sz w:val="22"/>
          <w:szCs w:val="22"/>
        </w:rPr>
        <w:t>in such cases being both reputational and financial</w:t>
      </w:r>
      <w:r w:rsidR="003E70F5">
        <w:rPr>
          <w:color w:val="auto"/>
          <w:sz w:val="22"/>
          <w:szCs w:val="22"/>
        </w:rPr>
        <w:t xml:space="preserve">. </w:t>
      </w:r>
      <w:r w:rsidR="00B733F9">
        <w:rPr>
          <w:color w:val="auto"/>
          <w:sz w:val="22"/>
          <w:szCs w:val="22"/>
        </w:rPr>
        <w:t>Furthermore, it</w:t>
      </w:r>
      <w:r w:rsidR="009C0F51">
        <w:rPr>
          <w:color w:val="auto"/>
          <w:sz w:val="22"/>
          <w:szCs w:val="22"/>
        </w:rPr>
        <w:t xml:space="preserve"> was emphasised that </w:t>
      </w:r>
      <w:r w:rsidR="00C32BCF">
        <w:rPr>
          <w:color w:val="auto"/>
          <w:sz w:val="22"/>
          <w:szCs w:val="22"/>
        </w:rPr>
        <w:t xml:space="preserve">the habit of keeping important contracts, gifts and licensing agreements in </w:t>
      </w:r>
      <w:r w:rsidR="009C0F51">
        <w:rPr>
          <w:color w:val="auto"/>
          <w:sz w:val="22"/>
          <w:szCs w:val="22"/>
        </w:rPr>
        <w:t xml:space="preserve">effective </w:t>
      </w:r>
      <w:r w:rsidR="00C32BCF">
        <w:rPr>
          <w:color w:val="auto"/>
          <w:sz w:val="22"/>
          <w:szCs w:val="22"/>
        </w:rPr>
        <w:t>record keeping systems</w:t>
      </w:r>
      <w:r w:rsidR="004B4BD3">
        <w:rPr>
          <w:color w:val="auto"/>
          <w:sz w:val="22"/>
          <w:szCs w:val="22"/>
        </w:rPr>
        <w:t>; this</w:t>
      </w:r>
      <w:r w:rsidR="00C32BCF">
        <w:rPr>
          <w:color w:val="auto"/>
          <w:sz w:val="22"/>
          <w:szCs w:val="22"/>
        </w:rPr>
        <w:t xml:space="preserve"> allows artists to protect thems</w:t>
      </w:r>
      <w:r w:rsidR="009C0F51">
        <w:rPr>
          <w:color w:val="auto"/>
          <w:sz w:val="22"/>
          <w:szCs w:val="22"/>
        </w:rPr>
        <w:t>elves, with benefits extending to estate planning</w:t>
      </w:r>
      <w:r w:rsidR="00B733F9">
        <w:rPr>
          <w:color w:val="auto"/>
          <w:sz w:val="22"/>
          <w:szCs w:val="22"/>
        </w:rPr>
        <w:t>.</w:t>
      </w:r>
    </w:p>
    <w:p w14:paraId="7B760C9E" w14:textId="63691769" w:rsidR="003E70F5" w:rsidRDefault="003E70F5" w:rsidP="00812A48">
      <w:pPr>
        <w:rPr>
          <w:color w:val="auto"/>
          <w:sz w:val="22"/>
          <w:szCs w:val="22"/>
        </w:rPr>
      </w:pPr>
      <w:r>
        <w:rPr>
          <w:color w:val="auto"/>
          <w:sz w:val="22"/>
          <w:szCs w:val="22"/>
        </w:rPr>
        <w:t xml:space="preserve">Discussion shifted to the rise of AI and the importance of understanding the risk of </w:t>
      </w:r>
      <w:r w:rsidR="009C0F51">
        <w:rPr>
          <w:color w:val="auto"/>
          <w:sz w:val="22"/>
          <w:szCs w:val="22"/>
        </w:rPr>
        <w:t>infringement</w:t>
      </w:r>
      <w:r w:rsidR="00B733F9">
        <w:rPr>
          <w:color w:val="auto"/>
          <w:sz w:val="22"/>
          <w:szCs w:val="22"/>
        </w:rPr>
        <w:t xml:space="preserve"> for rightsholders</w:t>
      </w:r>
      <w:r w:rsidR="00025D70">
        <w:rPr>
          <w:color w:val="auto"/>
          <w:sz w:val="22"/>
          <w:szCs w:val="22"/>
        </w:rPr>
        <w:t xml:space="preserve"> and </w:t>
      </w:r>
      <w:r w:rsidR="0045198D">
        <w:rPr>
          <w:color w:val="auto"/>
          <w:sz w:val="22"/>
          <w:szCs w:val="22"/>
        </w:rPr>
        <w:t>developers</w:t>
      </w:r>
      <w:r w:rsidR="009C0F51">
        <w:rPr>
          <w:color w:val="auto"/>
          <w:sz w:val="22"/>
          <w:szCs w:val="22"/>
        </w:rPr>
        <w:t xml:space="preserve">. The UK consultation on the </w:t>
      </w:r>
      <w:r w:rsidR="00B733F9">
        <w:rPr>
          <w:color w:val="auto"/>
          <w:sz w:val="22"/>
          <w:szCs w:val="22"/>
        </w:rPr>
        <w:t>commercial</w:t>
      </w:r>
      <w:r w:rsidR="009C0F51">
        <w:rPr>
          <w:color w:val="auto"/>
          <w:sz w:val="22"/>
          <w:szCs w:val="22"/>
        </w:rPr>
        <w:t xml:space="preserve"> text and data mining </w:t>
      </w:r>
      <w:r w:rsidR="00B733F9">
        <w:rPr>
          <w:color w:val="auto"/>
          <w:sz w:val="22"/>
          <w:szCs w:val="22"/>
        </w:rPr>
        <w:t xml:space="preserve">exception has stalled, with the bulk of training activity and consequently litigation remaining in the United States. </w:t>
      </w:r>
      <w:r w:rsidR="00CE2BBE" w:rsidRPr="00CE2BBE">
        <w:rPr>
          <w:color w:val="auto"/>
          <w:sz w:val="22"/>
          <w:szCs w:val="22"/>
        </w:rPr>
        <w:t xml:space="preserve">Licencing was not thought to offer a straightforward answer, since a model trained on millions of works cannot </w:t>
      </w:r>
      <w:r w:rsidR="00CE2BBE">
        <w:rPr>
          <w:color w:val="auto"/>
          <w:sz w:val="22"/>
          <w:szCs w:val="22"/>
        </w:rPr>
        <w:t>e</w:t>
      </w:r>
      <w:r w:rsidR="00CE2BBE" w:rsidRPr="00CE2BBE">
        <w:rPr>
          <w:color w:val="auto"/>
          <w:sz w:val="22"/>
          <w:szCs w:val="22"/>
        </w:rPr>
        <w:t xml:space="preserve">conomically pay a meaningful sum </w:t>
      </w:r>
      <w:r w:rsidR="00CE2BBE">
        <w:rPr>
          <w:color w:val="auto"/>
          <w:sz w:val="22"/>
          <w:szCs w:val="22"/>
        </w:rPr>
        <w:t>for</w:t>
      </w:r>
      <w:r w:rsidR="00CE2BBE" w:rsidRPr="00CE2BBE">
        <w:rPr>
          <w:color w:val="auto"/>
          <w:sz w:val="22"/>
          <w:szCs w:val="22"/>
        </w:rPr>
        <w:t xml:space="preserve"> them</w:t>
      </w:r>
      <w:r w:rsidR="00CE2BBE">
        <w:rPr>
          <w:color w:val="auto"/>
          <w:sz w:val="22"/>
          <w:szCs w:val="22"/>
        </w:rPr>
        <w:t>. T</w:t>
      </w:r>
      <w:r w:rsidR="00CE2BBE" w:rsidRPr="00CE2BBE">
        <w:rPr>
          <w:color w:val="auto"/>
          <w:sz w:val="22"/>
          <w:szCs w:val="22"/>
        </w:rPr>
        <w:t>he more serious prejudice to artists was highlighted to be not at the point of training</w:t>
      </w:r>
      <w:r w:rsidR="00004D5A">
        <w:rPr>
          <w:color w:val="auto"/>
          <w:sz w:val="22"/>
          <w:szCs w:val="22"/>
        </w:rPr>
        <w:t>,</w:t>
      </w:r>
      <w:r w:rsidR="00CE2BBE" w:rsidRPr="00CE2BBE">
        <w:rPr>
          <w:color w:val="auto"/>
          <w:sz w:val="22"/>
          <w:szCs w:val="22"/>
        </w:rPr>
        <w:t xml:space="preserve"> but at the point of generation,</w:t>
      </w:r>
      <w:r w:rsidR="00004D5A">
        <w:rPr>
          <w:color w:val="auto"/>
          <w:sz w:val="22"/>
          <w:szCs w:val="22"/>
        </w:rPr>
        <w:t xml:space="preserve"> namely</w:t>
      </w:r>
      <w:r w:rsidR="00CE2BBE" w:rsidRPr="00CE2BBE">
        <w:rPr>
          <w:color w:val="auto"/>
          <w:sz w:val="22"/>
          <w:szCs w:val="22"/>
        </w:rPr>
        <w:t xml:space="preserve"> an instruction to produce an image in the style of a</w:t>
      </w:r>
      <w:r w:rsidR="00CE2BBE">
        <w:rPr>
          <w:color w:val="auto"/>
          <w:sz w:val="22"/>
          <w:szCs w:val="22"/>
        </w:rPr>
        <w:t xml:space="preserve"> </w:t>
      </w:r>
      <w:r w:rsidR="00CE2BBE" w:rsidRPr="00CE2BBE">
        <w:rPr>
          <w:color w:val="auto"/>
          <w:sz w:val="22"/>
          <w:szCs w:val="22"/>
        </w:rPr>
        <w:t>named artist</w:t>
      </w:r>
      <w:r w:rsidR="00004D5A">
        <w:rPr>
          <w:color w:val="auto"/>
          <w:sz w:val="22"/>
          <w:szCs w:val="22"/>
        </w:rPr>
        <w:t xml:space="preserve"> being</w:t>
      </w:r>
      <w:r w:rsidR="00CE2BBE" w:rsidRPr="00CE2BBE">
        <w:rPr>
          <w:color w:val="auto"/>
          <w:sz w:val="22"/>
          <w:szCs w:val="22"/>
        </w:rPr>
        <w:t xml:space="preserve"> what displaces the market for that artist's work</w:t>
      </w:r>
      <w:r w:rsidR="00CE2BBE">
        <w:rPr>
          <w:color w:val="auto"/>
          <w:sz w:val="22"/>
          <w:szCs w:val="22"/>
        </w:rPr>
        <w:t xml:space="preserve">. </w:t>
      </w:r>
      <w:r w:rsidR="00CE2BBE" w:rsidRPr="00CE2BBE">
        <w:rPr>
          <w:color w:val="auto"/>
          <w:sz w:val="22"/>
          <w:szCs w:val="22"/>
        </w:rPr>
        <w:t xml:space="preserve">In the absence of </w:t>
      </w:r>
      <w:r w:rsidR="00172AC8">
        <w:rPr>
          <w:color w:val="auto"/>
          <w:sz w:val="22"/>
          <w:szCs w:val="22"/>
        </w:rPr>
        <w:t xml:space="preserve">a </w:t>
      </w:r>
      <w:r w:rsidR="00CE2BBE" w:rsidRPr="00CE2BBE">
        <w:rPr>
          <w:color w:val="auto"/>
          <w:sz w:val="22"/>
          <w:szCs w:val="22"/>
        </w:rPr>
        <w:t xml:space="preserve">legal </w:t>
      </w:r>
      <w:r w:rsidR="00004D5A" w:rsidRPr="00CE2BBE">
        <w:rPr>
          <w:color w:val="auto"/>
          <w:sz w:val="22"/>
          <w:szCs w:val="22"/>
        </w:rPr>
        <w:t>remedy,</w:t>
      </w:r>
      <w:r w:rsidR="00CE2BBE" w:rsidRPr="00CE2BBE">
        <w:rPr>
          <w:color w:val="auto"/>
          <w:sz w:val="22"/>
          <w:szCs w:val="22"/>
        </w:rPr>
        <w:t xml:space="preserve"> the market response is expected to come through authentication, by certification, or by confirmation from the artist or their estate.</w:t>
      </w:r>
    </w:p>
    <w:p w14:paraId="42167E45" w14:textId="5B882E08" w:rsidR="00B733F9" w:rsidRDefault="00B733F9" w:rsidP="00812A48">
      <w:pPr>
        <w:rPr>
          <w:color w:val="auto"/>
          <w:sz w:val="22"/>
          <w:szCs w:val="22"/>
        </w:rPr>
      </w:pPr>
      <w:r>
        <w:rPr>
          <w:color w:val="auto"/>
          <w:sz w:val="22"/>
          <w:szCs w:val="22"/>
        </w:rPr>
        <w:t>Members of the audience ra</w:t>
      </w:r>
      <w:r w:rsidR="00CE2BBE">
        <w:rPr>
          <w:color w:val="auto"/>
          <w:sz w:val="22"/>
          <w:szCs w:val="22"/>
        </w:rPr>
        <w:t>is</w:t>
      </w:r>
      <w:r>
        <w:rPr>
          <w:color w:val="auto"/>
          <w:sz w:val="22"/>
          <w:szCs w:val="22"/>
        </w:rPr>
        <w:t xml:space="preserve">ed questions leading onto discussion </w:t>
      </w:r>
      <w:r w:rsidR="00D70243">
        <w:rPr>
          <w:color w:val="auto"/>
          <w:sz w:val="22"/>
          <w:szCs w:val="22"/>
        </w:rPr>
        <w:t xml:space="preserve">of </w:t>
      </w:r>
      <w:r>
        <w:rPr>
          <w:color w:val="auto"/>
          <w:sz w:val="22"/>
          <w:szCs w:val="22"/>
        </w:rPr>
        <w:t xml:space="preserve">the availability of trademark protection for an </w:t>
      </w:r>
      <w:r w:rsidR="00CE2BBE">
        <w:rPr>
          <w:color w:val="auto"/>
          <w:sz w:val="22"/>
          <w:szCs w:val="22"/>
        </w:rPr>
        <w:t>artist’s</w:t>
      </w:r>
      <w:r>
        <w:rPr>
          <w:color w:val="auto"/>
          <w:sz w:val="22"/>
          <w:szCs w:val="22"/>
        </w:rPr>
        <w:t xml:space="preserve"> name or signature</w:t>
      </w:r>
      <w:r w:rsidR="00CE2BBE">
        <w:rPr>
          <w:color w:val="auto"/>
          <w:sz w:val="22"/>
          <w:szCs w:val="22"/>
        </w:rPr>
        <w:t xml:space="preserve">, </w:t>
      </w:r>
      <w:r w:rsidR="008A11E5">
        <w:rPr>
          <w:color w:val="auto"/>
          <w:sz w:val="22"/>
          <w:szCs w:val="22"/>
        </w:rPr>
        <w:t>t</w:t>
      </w:r>
      <w:r w:rsidR="00CE2BBE" w:rsidRPr="00CE2BBE">
        <w:rPr>
          <w:color w:val="auto"/>
          <w:sz w:val="22"/>
          <w:szCs w:val="22"/>
        </w:rPr>
        <w:t>he limits of that protection against AI outputs and the variation between jurisdictions.</w:t>
      </w:r>
    </w:p>
    <w:p w14:paraId="61D397A2" w14:textId="2EA25B6D" w:rsidR="008A11E5" w:rsidRDefault="008A11E5" w:rsidP="00812A48">
      <w:pPr>
        <w:rPr>
          <w:color w:val="auto"/>
          <w:sz w:val="22"/>
          <w:szCs w:val="22"/>
        </w:rPr>
      </w:pPr>
      <w:r>
        <w:rPr>
          <w:color w:val="auto"/>
          <w:sz w:val="22"/>
          <w:szCs w:val="22"/>
        </w:rPr>
        <w:t xml:space="preserve">The meeting </w:t>
      </w:r>
      <w:r w:rsidR="004B4BD3">
        <w:rPr>
          <w:color w:val="auto"/>
          <w:sz w:val="22"/>
          <w:szCs w:val="22"/>
        </w:rPr>
        <w:t xml:space="preserve">continued </w:t>
      </w:r>
      <w:r>
        <w:rPr>
          <w:color w:val="auto"/>
          <w:sz w:val="22"/>
          <w:szCs w:val="22"/>
        </w:rPr>
        <w:t xml:space="preserve">with informal discussion over refreshments. Members commented that to have </w:t>
      </w:r>
      <w:r w:rsidR="00807C75">
        <w:rPr>
          <w:color w:val="auto"/>
          <w:sz w:val="22"/>
          <w:szCs w:val="22"/>
        </w:rPr>
        <w:t xml:space="preserve">the viewpoint </w:t>
      </w:r>
      <w:r w:rsidR="004B4BD3">
        <w:rPr>
          <w:color w:val="auto"/>
          <w:sz w:val="22"/>
          <w:szCs w:val="22"/>
        </w:rPr>
        <w:t>o</w:t>
      </w:r>
      <w:r w:rsidR="00807C75">
        <w:rPr>
          <w:color w:val="auto"/>
          <w:sz w:val="22"/>
          <w:szCs w:val="22"/>
        </w:rPr>
        <w:t>f a practising</w:t>
      </w:r>
      <w:r>
        <w:rPr>
          <w:color w:val="auto"/>
          <w:sz w:val="22"/>
          <w:szCs w:val="22"/>
        </w:rPr>
        <w:t xml:space="preserve"> artist</w:t>
      </w:r>
      <w:r w:rsidR="00807C75">
        <w:rPr>
          <w:color w:val="auto"/>
          <w:sz w:val="22"/>
          <w:szCs w:val="22"/>
        </w:rPr>
        <w:t>,</w:t>
      </w:r>
      <w:r>
        <w:rPr>
          <w:color w:val="auto"/>
          <w:sz w:val="22"/>
          <w:szCs w:val="22"/>
        </w:rPr>
        <w:t xml:space="preserve"> </w:t>
      </w:r>
      <w:r w:rsidR="00807C75">
        <w:rPr>
          <w:color w:val="auto"/>
          <w:sz w:val="22"/>
          <w:szCs w:val="22"/>
        </w:rPr>
        <w:t xml:space="preserve">along with </w:t>
      </w:r>
      <w:r w:rsidR="004B4BD3">
        <w:rPr>
          <w:color w:val="auto"/>
          <w:sz w:val="22"/>
          <w:szCs w:val="22"/>
        </w:rPr>
        <w:t xml:space="preserve">those of </w:t>
      </w:r>
      <w:r>
        <w:rPr>
          <w:color w:val="auto"/>
          <w:sz w:val="22"/>
          <w:szCs w:val="22"/>
        </w:rPr>
        <w:t>copyright experts</w:t>
      </w:r>
      <w:r w:rsidR="00807C75">
        <w:rPr>
          <w:color w:val="auto"/>
          <w:sz w:val="22"/>
          <w:szCs w:val="22"/>
        </w:rPr>
        <w:t>,</w:t>
      </w:r>
      <w:r>
        <w:rPr>
          <w:color w:val="auto"/>
          <w:sz w:val="22"/>
          <w:szCs w:val="22"/>
        </w:rPr>
        <w:t xml:space="preserve"> was particularly interest</w:t>
      </w:r>
      <w:r w:rsidR="00807C75">
        <w:rPr>
          <w:color w:val="auto"/>
          <w:sz w:val="22"/>
          <w:szCs w:val="22"/>
        </w:rPr>
        <w:t>ing</w:t>
      </w:r>
      <w:r>
        <w:rPr>
          <w:color w:val="auto"/>
          <w:sz w:val="22"/>
          <w:szCs w:val="22"/>
        </w:rPr>
        <w:t xml:space="preserve"> a</w:t>
      </w:r>
      <w:r w:rsidR="00807C75">
        <w:rPr>
          <w:color w:val="auto"/>
          <w:sz w:val="22"/>
          <w:szCs w:val="22"/>
        </w:rPr>
        <w:t>n</w:t>
      </w:r>
      <w:r>
        <w:rPr>
          <w:color w:val="auto"/>
          <w:sz w:val="22"/>
          <w:szCs w:val="22"/>
        </w:rPr>
        <w:t>d valuable.</w:t>
      </w:r>
    </w:p>
    <w:p w14:paraId="0AEE2246" w14:textId="72AA376D" w:rsidR="00807C75" w:rsidRDefault="00807C75" w:rsidP="00812A48">
      <w:pPr>
        <w:rPr>
          <w:color w:val="auto"/>
          <w:sz w:val="22"/>
          <w:szCs w:val="22"/>
        </w:rPr>
      </w:pPr>
      <w:r>
        <w:rPr>
          <w:color w:val="auto"/>
          <w:sz w:val="22"/>
          <w:szCs w:val="22"/>
        </w:rPr>
        <w:lastRenderedPageBreak/>
        <w:t xml:space="preserve">* </w:t>
      </w:r>
      <w:r w:rsidRPr="00807C75">
        <w:rPr>
          <w:color w:val="auto"/>
          <w:sz w:val="22"/>
          <w:szCs w:val="22"/>
        </w:rPr>
        <w:t>https://www.artlawyersassociation.com/yala</w:t>
      </w:r>
    </w:p>
    <w:p w14:paraId="7DAF2C25" w14:textId="42051EF8" w:rsidR="00812A48" w:rsidRDefault="008A11E5" w:rsidP="00812A48">
      <w:pPr>
        <w:rPr>
          <w:color w:val="auto"/>
          <w:sz w:val="22"/>
          <w:szCs w:val="22"/>
        </w:rPr>
      </w:pPr>
      <w:r>
        <w:rPr>
          <w:color w:val="auto"/>
          <w:sz w:val="22"/>
          <w:szCs w:val="22"/>
        </w:rPr>
        <w:t>*</w:t>
      </w:r>
      <w:r w:rsidR="00807C75">
        <w:rPr>
          <w:color w:val="auto"/>
          <w:sz w:val="22"/>
          <w:szCs w:val="22"/>
        </w:rPr>
        <w:t xml:space="preserve">* </w:t>
      </w:r>
      <w:hyperlink r:id="rId5" w:history="1">
        <w:r w:rsidR="00660C2E" w:rsidRPr="004A3160">
          <w:rPr>
            <w:rStyle w:val="Hyperlink"/>
            <w:sz w:val="22"/>
            <w:szCs w:val="22"/>
          </w:rPr>
          <w:t>https://www.aliceblackgallery.com/ap-atalanta-xanthe</w:t>
        </w:r>
      </w:hyperlink>
    </w:p>
    <w:p w14:paraId="5BBB6538" w14:textId="77777777" w:rsidR="00660C2E" w:rsidRDefault="00660C2E" w:rsidP="00812A48">
      <w:pPr>
        <w:rPr>
          <w:color w:val="auto"/>
          <w:sz w:val="22"/>
          <w:szCs w:val="22"/>
        </w:rPr>
      </w:pPr>
    </w:p>
    <w:p w14:paraId="68AD5F59" w14:textId="19F4CC57" w:rsidR="00660C2E" w:rsidRPr="00660C2E" w:rsidRDefault="00660C2E" w:rsidP="00812A48">
      <w:pPr>
        <w:rPr>
          <w:color w:val="auto"/>
          <w:sz w:val="22"/>
          <w:szCs w:val="22"/>
        </w:rPr>
      </w:pPr>
      <w:r>
        <w:rPr>
          <w:color w:val="auto"/>
          <w:sz w:val="22"/>
          <w:szCs w:val="22"/>
        </w:rPr>
        <w:t xml:space="preserve">By </w:t>
      </w:r>
      <w:r w:rsidRPr="00660C2E">
        <w:rPr>
          <w:color w:val="auto"/>
          <w:sz w:val="22"/>
          <w:szCs w:val="22"/>
        </w:rPr>
        <w:t>Hilda Ofori-Atta, BLACA/Stationers' Company bursary holder 2026/2</w:t>
      </w:r>
      <w:r>
        <w:rPr>
          <w:color w:val="auto"/>
          <w:sz w:val="22"/>
          <w:szCs w:val="22"/>
        </w:rPr>
        <w:t>0</w:t>
      </w:r>
      <w:r w:rsidRPr="00660C2E">
        <w:rPr>
          <w:color w:val="auto"/>
          <w:sz w:val="22"/>
          <w:szCs w:val="22"/>
        </w:rPr>
        <w:t>27</w:t>
      </w:r>
    </w:p>
    <w:p w14:paraId="588E7D65" w14:textId="77777777" w:rsidR="00333B95" w:rsidRDefault="00333B95"/>
    <w:sectPr w:rsidR="00333B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E51FEA"/>
    <w:multiLevelType w:val="hybridMultilevel"/>
    <w:tmpl w:val="055635DC"/>
    <w:lvl w:ilvl="0" w:tplc="5D5631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6100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A48"/>
    <w:rsid w:val="00004D5A"/>
    <w:rsid w:val="00025D70"/>
    <w:rsid w:val="00172AC8"/>
    <w:rsid w:val="00276248"/>
    <w:rsid w:val="00333B95"/>
    <w:rsid w:val="003E70F5"/>
    <w:rsid w:val="00434DC6"/>
    <w:rsid w:val="0045198D"/>
    <w:rsid w:val="004B4BD3"/>
    <w:rsid w:val="00660C2E"/>
    <w:rsid w:val="007F57A8"/>
    <w:rsid w:val="00807C75"/>
    <w:rsid w:val="00812A48"/>
    <w:rsid w:val="008A11E5"/>
    <w:rsid w:val="008C41D1"/>
    <w:rsid w:val="009A6F79"/>
    <w:rsid w:val="009C0F51"/>
    <w:rsid w:val="009F0787"/>
    <w:rsid w:val="00B733F9"/>
    <w:rsid w:val="00C32BCF"/>
    <w:rsid w:val="00CE2BBE"/>
    <w:rsid w:val="00D70243"/>
    <w:rsid w:val="00D826E6"/>
    <w:rsid w:val="00DE3315"/>
    <w:rsid w:val="00F83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F553A"/>
  <w15:chartTrackingRefBased/>
  <w15:docId w15:val="{DF9224FB-CBDE-4BF7-BB8F-D11F13275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color w:val="0F4761" w:themeColor="accent1" w:themeShade="BF"/>
        <w:kern w:val="2"/>
        <w:sz w:val="40"/>
        <w:szCs w:val="40"/>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A48"/>
    <w:pPr>
      <w:keepNext/>
      <w:keepLines/>
      <w:spacing w:before="360" w:after="80"/>
      <w:outlineLvl w:val="0"/>
    </w:pPr>
    <w:rPr>
      <w:rFonts w:asciiTheme="majorHAnsi" w:eastAsiaTheme="majorEastAsia" w:hAnsiTheme="majorHAnsi"/>
    </w:rPr>
  </w:style>
  <w:style w:type="paragraph" w:styleId="Heading2">
    <w:name w:val="heading 2"/>
    <w:basedOn w:val="Normal"/>
    <w:next w:val="Normal"/>
    <w:link w:val="Heading2Char"/>
    <w:uiPriority w:val="9"/>
    <w:semiHidden/>
    <w:unhideWhenUsed/>
    <w:qFormat/>
    <w:rsid w:val="00812A48"/>
    <w:pPr>
      <w:keepNext/>
      <w:keepLines/>
      <w:spacing w:before="160" w:after="80"/>
      <w:outlineLvl w:val="1"/>
    </w:pPr>
    <w:rPr>
      <w:rFonts w:asciiTheme="majorHAnsi" w:eastAsiaTheme="majorEastAsia" w:hAnsiTheme="majorHAnsi"/>
      <w:sz w:val="32"/>
      <w:szCs w:val="32"/>
    </w:rPr>
  </w:style>
  <w:style w:type="paragraph" w:styleId="Heading3">
    <w:name w:val="heading 3"/>
    <w:basedOn w:val="Normal"/>
    <w:next w:val="Normal"/>
    <w:link w:val="Heading3Char"/>
    <w:uiPriority w:val="9"/>
    <w:semiHidden/>
    <w:unhideWhenUsed/>
    <w:qFormat/>
    <w:rsid w:val="00812A48"/>
    <w:pPr>
      <w:keepNext/>
      <w:keepLines/>
      <w:spacing w:before="160" w:after="80"/>
      <w:outlineLvl w:val="2"/>
    </w:pPr>
    <w:rPr>
      <w:rFonts w:asciiTheme="minorHAnsi" w:eastAsiaTheme="majorEastAsia" w:hAnsiTheme="minorHAnsi"/>
      <w:sz w:val="28"/>
      <w:szCs w:val="28"/>
    </w:rPr>
  </w:style>
  <w:style w:type="paragraph" w:styleId="Heading4">
    <w:name w:val="heading 4"/>
    <w:basedOn w:val="Normal"/>
    <w:next w:val="Normal"/>
    <w:link w:val="Heading4Char"/>
    <w:uiPriority w:val="9"/>
    <w:semiHidden/>
    <w:unhideWhenUsed/>
    <w:qFormat/>
    <w:rsid w:val="00812A48"/>
    <w:pPr>
      <w:keepNext/>
      <w:keepLines/>
      <w:spacing w:before="80" w:after="40"/>
      <w:outlineLvl w:val="3"/>
    </w:pPr>
    <w:rPr>
      <w:rFonts w:asciiTheme="minorHAnsi" w:eastAsiaTheme="majorEastAsia" w:hAnsiTheme="minorHAnsi"/>
      <w:i/>
      <w:iCs/>
    </w:rPr>
  </w:style>
  <w:style w:type="paragraph" w:styleId="Heading5">
    <w:name w:val="heading 5"/>
    <w:basedOn w:val="Normal"/>
    <w:next w:val="Normal"/>
    <w:link w:val="Heading5Char"/>
    <w:uiPriority w:val="9"/>
    <w:semiHidden/>
    <w:unhideWhenUsed/>
    <w:qFormat/>
    <w:rsid w:val="00812A48"/>
    <w:pPr>
      <w:keepNext/>
      <w:keepLines/>
      <w:spacing w:before="80" w:after="40"/>
      <w:outlineLvl w:val="4"/>
    </w:pPr>
    <w:rPr>
      <w:rFonts w:asciiTheme="minorHAnsi" w:eastAsiaTheme="majorEastAsia" w:hAnsiTheme="minorHAnsi"/>
    </w:rPr>
  </w:style>
  <w:style w:type="paragraph" w:styleId="Heading6">
    <w:name w:val="heading 6"/>
    <w:basedOn w:val="Normal"/>
    <w:next w:val="Normal"/>
    <w:link w:val="Heading6Char"/>
    <w:uiPriority w:val="9"/>
    <w:semiHidden/>
    <w:unhideWhenUsed/>
    <w:qFormat/>
    <w:rsid w:val="00812A48"/>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812A48"/>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812A48"/>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812A48"/>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A48"/>
    <w:rPr>
      <w:rFonts w:asciiTheme="majorHAnsi" w:eastAsiaTheme="majorEastAsia" w:hAnsiTheme="majorHAnsi"/>
    </w:rPr>
  </w:style>
  <w:style w:type="character" w:customStyle="1" w:styleId="Heading2Char">
    <w:name w:val="Heading 2 Char"/>
    <w:basedOn w:val="DefaultParagraphFont"/>
    <w:link w:val="Heading2"/>
    <w:uiPriority w:val="9"/>
    <w:semiHidden/>
    <w:rsid w:val="00812A48"/>
    <w:rPr>
      <w:rFonts w:asciiTheme="majorHAnsi" w:eastAsiaTheme="majorEastAsia" w:hAnsiTheme="majorHAnsi"/>
      <w:sz w:val="32"/>
      <w:szCs w:val="32"/>
    </w:rPr>
  </w:style>
  <w:style w:type="character" w:customStyle="1" w:styleId="Heading3Char">
    <w:name w:val="Heading 3 Char"/>
    <w:basedOn w:val="DefaultParagraphFont"/>
    <w:link w:val="Heading3"/>
    <w:uiPriority w:val="9"/>
    <w:semiHidden/>
    <w:rsid w:val="00812A48"/>
    <w:rPr>
      <w:rFonts w:asciiTheme="minorHAnsi" w:eastAsiaTheme="majorEastAsia" w:hAnsiTheme="minorHAnsi"/>
      <w:sz w:val="28"/>
      <w:szCs w:val="28"/>
    </w:rPr>
  </w:style>
  <w:style w:type="character" w:customStyle="1" w:styleId="Heading4Char">
    <w:name w:val="Heading 4 Char"/>
    <w:basedOn w:val="DefaultParagraphFont"/>
    <w:link w:val="Heading4"/>
    <w:uiPriority w:val="9"/>
    <w:semiHidden/>
    <w:rsid w:val="00812A48"/>
    <w:rPr>
      <w:rFonts w:asciiTheme="minorHAnsi" w:eastAsiaTheme="majorEastAsia" w:hAnsiTheme="minorHAnsi"/>
      <w:i/>
      <w:iCs/>
    </w:rPr>
  </w:style>
  <w:style w:type="character" w:customStyle="1" w:styleId="Heading5Char">
    <w:name w:val="Heading 5 Char"/>
    <w:basedOn w:val="DefaultParagraphFont"/>
    <w:link w:val="Heading5"/>
    <w:uiPriority w:val="9"/>
    <w:semiHidden/>
    <w:rsid w:val="00812A48"/>
    <w:rPr>
      <w:rFonts w:asciiTheme="minorHAnsi" w:eastAsiaTheme="majorEastAsia" w:hAnsiTheme="minorHAnsi"/>
    </w:rPr>
  </w:style>
  <w:style w:type="character" w:customStyle="1" w:styleId="Heading6Char">
    <w:name w:val="Heading 6 Char"/>
    <w:basedOn w:val="DefaultParagraphFont"/>
    <w:link w:val="Heading6"/>
    <w:uiPriority w:val="9"/>
    <w:semiHidden/>
    <w:rsid w:val="00812A48"/>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812A48"/>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812A48"/>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812A48"/>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812A48"/>
    <w:pPr>
      <w:spacing w:after="80" w:line="240" w:lineRule="auto"/>
      <w:contextualSpacing/>
    </w:pPr>
    <w:rPr>
      <w:rFonts w:asciiTheme="majorHAnsi" w:eastAsiaTheme="majorEastAsia" w:hAnsiTheme="majorHAnsi"/>
      <w:color w:val="auto"/>
      <w:spacing w:val="-10"/>
      <w:kern w:val="28"/>
      <w:sz w:val="56"/>
      <w:szCs w:val="56"/>
    </w:rPr>
  </w:style>
  <w:style w:type="character" w:customStyle="1" w:styleId="TitleChar">
    <w:name w:val="Title Char"/>
    <w:basedOn w:val="DefaultParagraphFont"/>
    <w:link w:val="Title"/>
    <w:uiPriority w:val="10"/>
    <w:rsid w:val="00812A48"/>
    <w:rPr>
      <w:rFonts w:asciiTheme="majorHAnsi" w:eastAsiaTheme="majorEastAsia" w:hAnsiTheme="majorHAnsi"/>
      <w:color w:val="auto"/>
      <w:spacing w:val="-10"/>
      <w:kern w:val="28"/>
      <w:sz w:val="56"/>
      <w:szCs w:val="56"/>
    </w:rPr>
  </w:style>
  <w:style w:type="paragraph" w:styleId="Subtitle">
    <w:name w:val="Subtitle"/>
    <w:basedOn w:val="Normal"/>
    <w:next w:val="Normal"/>
    <w:link w:val="SubtitleChar"/>
    <w:uiPriority w:val="11"/>
    <w:qFormat/>
    <w:rsid w:val="00812A48"/>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812A48"/>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812A48"/>
    <w:pPr>
      <w:spacing w:before="160"/>
      <w:jc w:val="center"/>
    </w:pPr>
    <w:rPr>
      <w:i/>
      <w:iCs/>
      <w:color w:val="404040" w:themeColor="text1" w:themeTint="BF"/>
    </w:rPr>
  </w:style>
  <w:style w:type="character" w:customStyle="1" w:styleId="QuoteChar">
    <w:name w:val="Quote Char"/>
    <w:basedOn w:val="DefaultParagraphFont"/>
    <w:link w:val="Quote"/>
    <w:uiPriority w:val="29"/>
    <w:rsid w:val="00812A48"/>
    <w:rPr>
      <w:i/>
      <w:iCs/>
      <w:color w:val="404040" w:themeColor="text1" w:themeTint="BF"/>
    </w:rPr>
  </w:style>
  <w:style w:type="paragraph" w:styleId="ListParagraph">
    <w:name w:val="List Paragraph"/>
    <w:basedOn w:val="Normal"/>
    <w:uiPriority w:val="34"/>
    <w:qFormat/>
    <w:rsid w:val="00812A48"/>
    <w:pPr>
      <w:ind w:left="720"/>
      <w:contextualSpacing/>
    </w:pPr>
  </w:style>
  <w:style w:type="character" w:styleId="IntenseEmphasis">
    <w:name w:val="Intense Emphasis"/>
    <w:basedOn w:val="DefaultParagraphFont"/>
    <w:uiPriority w:val="21"/>
    <w:qFormat/>
    <w:rsid w:val="00812A48"/>
    <w:rPr>
      <w:i/>
      <w:iCs/>
      <w:color w:val="0F4761" w:themeColor="accent1" w:themeShade="BF"/>
    </w:rPr>
  </w:style>
  <w:style w:type="paragraph" w:styleId="IntenseQuote">
    <w:name w:val="Intense Quote"/>
    <w:basedOn w:val="Normal"/>
    <w:next w:val="Normal"/>
    <w:link w:val="IntenseQuoteChar"/>
    <w:uiPriority w:val="30"/>
    <w:qFormat/>
    <w:rsid w:val="00812A48"/>
    <w:pPr>
      <w:pBdr>
        <w:top w:val="single" w:sz="4" w:space="10" w:color="0F4761" w:themeColor="accent1" w:themeShade="BF"/>
        <w:bottom w:val="single" w:sz="4" w:space="10" w:color="0F4761" w:themeColor="accent1" w:themeShade="BF"/>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812A48"/>
    <w:rPr>
      <w:i/>
      <w:iCs/>
    </w:rPr>
  </w:style>
  <w:style w:type="character" w:styleId="IntenseReference">
    <w:name w:val="Intense Reference"/>
    <w:basedOn w:val="DefaultParagraphFont"/>
    <w:uiPriority w:val="32"/>
    <w:qFormat/>
    <w:rsid w:val="00812A48"/>
    <w:rPr>
      <w:b/>
      <w:bCs/>
      <w:smallCaps/>
      <w:color w:val="0F4761" w:themeColor="accent1" w:themeShade="BF"/>
      <w:spacing w:val="5"/>
    </w:rPr>
  </w:style>
  <w:style w:type="paragraph" w:styleId="Revision">
    <w:name w:val="Revision"/>
    <w:hidden/>
    <w:uiPriority w:val="99"/>
    <w:semiHidden/>
    <w:rsid w:val="008A11E5"/>
    <w:pPr>
      <w:spacing w:after="0" w:line="240" w:lineRule="auto"/>
    </w:pPr>
  </w:style>
  <w:style w:type="character" w:styleId="Hyperlink">
    <w:name w:val="Hyperlink"/>
    <w:basedOn w:val="DefaultParagraphFont"/>
    <w:uiPriority w:val="99"/>
    <w:unhideWhenUsed/>
    <w:rsid w:val="00660C2E"/>
    <w:rPr>
      <w:color w:val="467886" w:themeColor="hyperlink"/>
      <w:u w:val="single"/>
    </w:rPr>
  </w:style>
  <w:style w:type="character" w:styleId="UnresolvedMention">
    <w:name w:val="Unresolved Mention"/>
    <w:basedOn w:val="DefaultParagraphFont"/>
    <w:uiPriority w:val="99"/>
    <w:semiHidden/>
    <w:unhideWhenUsed/>
    <w:rsid w:val="00660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liceblackgallery.com/ap-atalanta-xanth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3088</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Ofori-Atta</dc:creator>
  <cp:keywords/>
  <dc:description/>
  <cp:lastModifiedBy>Alina Trapova</cp:lastModifiedBy>
  <cp:revision>2</cp:revision>
  <dcterms:created xsi:type="dcterms:W3CDTF">2026-09-29T13:38:00Z</dcterms:created>
  <dcterms:modified xsi:type="dcterms:W3CDTF">2026-09-29T13:38:00Z</dcterms:modified>
</cp:coreProperties>
</file>