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F2" w:rsidRDefault="00BE6397" w:rsidP="006F08D0">
      <w:pPr>
        <w:rPr>
          <w:rFonts w:ascii="Tahoma" w:hAnsi="Tahoma"/>
          <w:b/>
          <w:color w:val="auto"/>
          <w:sz w:val="22"/>
          <w:szCs w:val="22"/>
        </w:rPr>
      </w:pPr>
      <w:r>
        <w:rPr>
          <w:lang w:val="es-MX"/>
        </w:rPr>
        <w:t xml:space="preserve"> </w:t>
      </w:r>
      <w:r w:rsidR="00955701">
        <w:rPr>
          <w:rFonts w:ascii="Tahoma" w:hAnsi="Tahoma"/>
          <w:bCs/>
          <w:noProof/>
          <w:color w:val="auto"/>
          <w:sz w:val="22"/>
          <w:szCs w:val="22"/>
          <w:lang w:val="es-MX" w:eastAsia="es-MX"/>
        </w:rPr>
        <w:drawing>
          <wp:inline distT="0" distB="0" distL="0" distR="0">
            <wp:extent cx="857250" cy="151447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095" cy="153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</w:p>
    <w:p w:rsidR="00762D3C" w:rsidRDefault="00762D3C" w:rsidP="00762D3C">
      <w:pPr>
        <w:autoSpaceDE w:val="0"/>
        <w:autoSpaceDN w:val="0"/>
        <w:adjustRightInd w:val="0"/>
        <w:jc w:val="center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Descubra los Balcanes  17 días 16 noches</w:t>
      </w:r>
    </w:p>
    <w:p w:rsidR="00762D3C" w:rsidRDefault="00762D3C" w:rsidP="00762D3C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kern w:val="0"/>
          <w:sz w:val="22"/>
          <w:szCs w:val="22"/>
          <w:lang w:val="es-MX" w:eastAsia="es-MX"/>
        </w:rPr>
      </w:pPr>
    </w:p>
    <w:p w:rsidR="00762D3C" w:rsidRPr="00762D3C" w:rsidRDefault="00762D3C" w:rsidP="00762D3C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kern w:val="0"/>
          <w:sz w:val="22"/>
          <w:szCs w:val="22"/>
          <w:lang w:val="es-MX" w:eastAsia="es-MX"/>
        </w:rPr>
      </w:pPr>
      <w:r w:rsidRPr="00762D3C">
        <w:rPr>
          <w:rFonts w:ascii="Tahoma" w:hAnsi="Tahoma"/>
          <w:bCs/>
          <w:color w:val="000000" w:themeColor="text1"/>
          <w:kern w:val="0"/>
          <w:sz w:val="22"/>
          <w:szCs w:val="22"/>
          <w:lang w:val="es-MX" w:eastAsia="es-MX"/>
        </w:rPr>
        <w:t>Salidas los domingos</w:t>
      </w:r>
    </w:p>
    <w:p w:rsidR="00762D3C" w:rsidRPr="00762D3C" w:rsidRDefault="00762D3C" w:rsidP="00762D3C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762D3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762D3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1 V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iena</w:t>
      </w:r>
    </w:p>
    <w:p w:rsidR="002F1AF2" w:rsidRDefault="00762D3C" w:rsidP="00762D3C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Llegada al aeropuerto de Viena, traslado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al hotel y alojamiento. Cena de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bienvenida en el famoso restaurante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Marchfelderhof con bebidas incluidas.</w:t>
      </w:r>
    </w:p>
    <w:p w:rsidR="00762D3C" w:rsidRDefault="00762D3C" w:rsidP="00762D3C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762D3C" w:rsidRPr="00762D3C" w:rsidRDefault="00762D3C" w:rsidP="00762D3C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762D3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762D3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2 V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iena</w:t>
      </w:r>
    </w:p>
    <w:p w:rsidR="00762D3C" w:rsidRDefault="00762D3C" w:rsidP="00762D3C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visita panorámica de la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ciudad recorriendo la 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R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ingstrasse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con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sus suntuosos monumentos como la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Opera, los Museos de Bellas Artes y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Ciencias Naturales, el monumento de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María Teresa, el Parlamento, el Ayuntamiento,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el Teatro Nacional, el Palacio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Imperial 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H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ofburg. Visitamos igualmente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los Jardines del Belvedere, palacio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veraniego del Príncipe Eugenio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Saboya con una magnifica vista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 la ciudad eternizada por Canaletto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en sus lienzos de Viena. A 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continuación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caminamos por el casco antiguo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Viena pasando por el Reloj Anker,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el Barrio Judío, la Plaza Freyung con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sus palacios y la Plaza de los Héroes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donde destaca el Palacio Imperial. El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paseo termina con la visita interior de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la Catedral de San Esteban.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Regreso al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hotel. Tarde libre y alojamiento.</w:t>
      </w:r>
    </w:p>
    <w:p w:rsidR="00762D3C" w:rsidRDefault="00762D3C" w:rsidP="00762D3C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762D3C" w:rsidRPr="00762D3C" w:rsidRDefault="00762D3C" w:rsidP="00762D3C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762D3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762D3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3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V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iena/</w:t>
      </w:r>
      <w:r w:rsidRPr="00762D3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L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jubljana</w:t>
      </w:r>
    </w:p>
    <w:p w:rsidR="00762D3C" w:rsidRDefault="00762D3C" w:rsidP="00762D3C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Salida por la mañana en autocar hacia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Ljubljana, capital de Eslovenia. A 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continuación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visita a pie del casco antiguo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donde destaca el Ayuntamiento,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la Fuente de Robba, los Tres Puentes,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2D3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la Universidad y el Parlamento. Alojamiento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.</w:t>
      </w:r>
    </w:p>
    <w:p w:rsidR="008F2E23" w:rsidRDefault="008F2E23" w:rsidP="00762D3C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8F2E23" w:rsidRPr="008F2E23" w:rsidRDefault="00254199" w:rsidP="008F2E23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8F2E23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="008F2E23" w:rsidRPr="008F2E23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4</w:t>
      </w:r>
      <w:r w:rsidR="008F2E23"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8F2E23" w:rsidRPr="008F2E23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L</w:t>
      </w:r>
      <w:r w:rsid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jubljana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/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8F2E23" w:rsidRPr="008F2E23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O</w:t>
      </w:r>
      <w:r w:rsid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patija</w:t>
      </w:r>
    </w:p>
    <w:p w:rsidR="008F2E23" w:rsidRPr="008F2E23" w:rsidRDefault="008F2E23" w:rsidP="008F2E23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Desayuno y </w:t>
      </w:r>
      <w:r w:rsidR="00254199"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continuación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del recorrido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con rumbo a Postojna, famosa por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sus cuevas de estalactitas. La visita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se efectuara en tren </w:t>
      </w:r>
      <w:r w:rsidR="00254199"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turístico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minero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pasando por las cuevas conocidas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como </w:t>
      </w:r>
      <w:r w:rsidR="00254199"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Salón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 Baile y </w:t>
      </w:r>
      <w:r w:rsidR="00254199"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Paraíso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. Lo </w:t>
      </w:r>
      <w:r w:rsidR="00464AFC"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más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sobresaliente es la cueva abovedada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llamada la Sala de Conciertos.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</w:p>
    <w:p w:rsidR="008F2E23" w:rsidRPr="008F2E23" w:rsidRDefault="008F2E23" w:rsidP="008F2E23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Continuamos hacia la ciudad de Opatija,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situada en la </w:t>
      </w:r>
      <w:r w:rsidR="00254199"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península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 Istria.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Desde finales del siglo XIX, Opatija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fue el centro de salud por excelencia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del Imperio Austro </w:t>
      </w:r>
      <w:r w:rsidR="00254199"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Húngaro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hasta la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Primera Guerra Mundial, y aun quedan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muchas mansiones lujosas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que recuerdan el esplendor pasado.</w:t>
      </w:r>
    </w:p>
    <w:p w:rsidR="008F2E23" w:rsidRPr="008F2E23" w:rsidRDefault="008F2E23" w:rsidP="008F2E23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Recomendamos pasear por el Paseo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254199"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Marítimo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o por los parques de Opatija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que albergan </w:t>
      </w:r>
      <w:r w:rsidR="00464AF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á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rboles y plantas</w:t>
      </w:r>
    </w:p>
    <w:p w:rsidR="008F2E23" w:rsidRPr="008F2E23" w:rsidRDefault="008F2E23" w:rsidP="008F2E23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centenarias. Alojamiento en el hotel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8F2E2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en Opatija.</w:t>
      </w:r>
    </w:p>
    <w:p w:rsidR="00762D3C" w:rsidRDefault="00762D3C" w:rsidP="00762D3C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766152" w:rsidRPr="00766152" w:rsidRDefault="00254199" w:rsidP="00766152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="00766152" w:rsidRP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5</w:t>
      </w:r>
      <w:r w:rsidR="00766152"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 w:rsidRP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O</w:t>
      </w:r>
      <w:r w:rsid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patija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/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 w:rsidRP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Z</w:t>
      </w:r>
      <w:r w:rsid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adar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/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 w:rsidRP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S</w:t>
      </w:r>
      <w:r w:rsidR="00766152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plit</w:t>
      </w:r>
    </w:p>
    <w:p w:rsidR="00766152" w:rsidRPr="00766152" w:rsidRDefault="00254199" w:rsidP="00766152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Después</w:t>
      </w:r>
      <w:r w:rsidR="00766152"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 desayunar seguimos nuestro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viaje hacia Zadar, ciudad que fue el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centro administrativo de la Dalmacia Bizantina,</w:t>
      </w:r>
      <w:r w:rsid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alcanzando su fama en toda Europa</w:t>
      </w:r>
      <w:r w:rsid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en el siglo XVII. A nuestra llegada,</w:t>
      </w:r>
      <w:r w:rsid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visitaremos las ruinas del </w:t>
      </w:r>
      <w:r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Fórum</w:t>
      </w:r>
      <w:r w:rsidR="00766152"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Romanum</w:t>
      </w:r>
      <w:r w:rsid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y la Iglesia de de San Donato del</w:t>
      </w:r>
      <w:r w:rsid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66152"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siglo IX. Continuamos nuestro recorrido</w:t>
      </w:r>
    </w:p>
    <w:p w:rsidR="002974FF" w:rsidRPr="00766152" w:rsidRDefault="00766152" w:rsidP="002C5A4F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</w:rPr>
      </w:pPr>
      <w:r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hacia la principal ciudad de la </w:t>
      </w:r>
      <w:r w:rsidR="00254199"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región</w:t>
      </w:r>
      <w:r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</w:t>
      </w:r>
      <w:r w:rsid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Dalmacia</w:t>
      </w:r>
      <w:r w:rsid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/</w:t>
      </w:r>
      <w:r w:rsidRPr="00766152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Split. Alojamiento.</w:t>
      </w:r>
    </w:p>
    <w:p w:rsidR="002974FF" w:rsidRPr="00F84432" w:rsidRDefault="002974FF" w:rsidP="006F08D0">
      <w:pPr>
        <w:rPr>
          <w:rFonts w:ascii="Tahoma" w:hAnsi="Tahoma"/>
          <w:bCs/>
          <w:color w:val="auto"/>
          <w:sz w:val="22"/>
          <w:szCs w:val="22"/>
        </w:rPr>
      </w:pPr>
    </w:p>
    <w:p w:rsidR="002C5A4F" w:rsidRPr="002C5A4F" w:rsidRDefault="002C5A4F" w:rsidP="002C5A4F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2C5A4F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 w:rsidR="00B857E0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2C5A4F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6 S</w:t>
      </w:r>
      <w:r w:rsidR="00B857E0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plit</w:t>
      </w:r>
    </w:p>
    <w:p w:rsidR="002974FF" w:rsidRPr="002C5A4F" w:rsidRDefault="002C5A4F" w:rsidP="00B857E0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</w:rPr>
      </w:pP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visita de la ciudad de Split,</w:t>
      </w:r>
      <w:r w:rsidR="00B857E0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que </w:t>
      </w:r>
      <w:r w:rsidR="00254199"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nació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desde el colosal palacio del</w:t>
      </w:r>
      <w:r w:rsidR="00B857E0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emperador romano Diocleciano. Paseando</w:t>
      </w:r>
      <w:r w:rsidR="00B857E0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entre sus plazas y a lo largo</w:t>
      </w:r>
      <w:r w:rsidR="00B857E0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 su cautivador paseo </w:t>
      </w:r>
      <w:r w:rsidR="0099556D"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marítimo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en</w:t>
      </w:r>
      <w:r w:rsidR="00B857E0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el Mar </w:t>
      </w:r>
      <w:r w:rsidR="00254199"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Adriático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, descubriremos esta</w:t>
      </w:r>
      <w:r w:rsidR="00B857E0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ciudad llena de vida. Como lugares relevantes</w:t>
      </w:r>
      <w:r w:rsidR="00B857E0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destacamos: el </w:t>
      </w:r>
      <w:r w:rsidR="00254199"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Vestíbulo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del</w:t>
      </w:r>
      <w:r w:rsidR="00B857E0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Palacio, el Peristilo, el campanario de</w:t>
      </w:r>
      <w:r w:rsidR="00B857E0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C5A4F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la Catedral de San Domnius, el Templo</w:t>
      </w:r>
      <w:r w:rsidR="00B857E0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C5A4F">
        <w:rPr>
          <w:rFonts w:ascii="Tahoma" w:hAnsi="Tahoma"/>
          <w:bCs/>
          <w:color w:val="000000" w:themeColor="text1"/>
          <w:sz w:val="22"/>
          <w:szCs w:val="22"/>
        </w:rPr>
        <w:t xml:space="preserve">de </w:t>
      </w:r>
      <w:r w:rsidR="00254199" w:rsidRPr="002C5A4F">
        <w:rPr>
          <w:rFonts w:ascii="Tahoma" w:hAnsi="Tahoma"/>
          <w:bCs/>
          <w:color w:val="000000" w:themeColor="text1"/>
          <w:sz w:val="22"/>
          <w:szCs w:val="22"/>
        </w:rPr>
        <w:t>Júpiter</w:t>
      </w:r>
      <w:r w:rsidRPr="002C5A4F">
        <w:rPr>
          <w:rFonts w:ascii="Tahoma" w:hAnsi="Tahoma"/>
          <w:bCs/>
          <w:color w:val="000000" w:themeColor="text1"/>
          <w:sz w:val="22"/>
          <w:szCs w:val="22"/>
        </w:rPr>
        <w:t>.</w:t>
      </w:r>
    </w:p>
    <w:p w:rsidR="002974FF" w:rsidRPr="002C5A4F" w:rsidRDefault="002974FF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:rsidR="002974FF" w:rsidRPr="00F84432" w:rsidRDefault="002974FF" w:rsidP="006F08D0">
      <w:pPr>
        <w:rPr>
          <w:rFonts w:ascii="Tahoma" w:hAnsi="Tahoma"/>
          <w:bCs/>
          <w:color w:val="auto"/>
          <w:sz w:val="22"/>
          <w:szCs w:val="22"/>
        </w:rPr>
      </w:pPr>
    </w:p>
    <w:p w:rsidR="00955701" w:rsidRDefault="00955701" w:rsidP="006F08D0">
      <w:pPr>
        <w:rPr>
          <w:rFonts w:ascii="Tahoma" w:hAnsi="Tahoma"/>
          <w:bCs/>
          <w:color w:val="auto"/>
          <w:sz w:val="22"/>
          <w:szCs w:val="22"/>
        </w:rPr>
      </w:pPr>
    </w:p>
    <w:p w:rsidR="00254199" w:rsidRPr="00254199" w:rsidRDefault="00254199" w:rsidP="00254199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25419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25419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7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5419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S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plit/</w:t>
      </w:r>
      <w:r w:rsidRPr="0025419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ubrovnik</w:t>
      </w:r>
    </w:p>
    <w:p w:rsidR="00254199" w:rsidRPr="00254199" w:rsidRDefault="0099556D" w:rsidP="0025419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Después</w:t>
      </w:r>
      <w:r w:rsidR="00254199"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del desayuno pasamos</w:t>
      </w:r>
      <w:r w:rsid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254199"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hacia Dubrovnik por la escarpada</w:t>
      </w:r>
      <w:r w:rsid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254199"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costa dalmata, con un paisaje encantador</w:t>
      </w:r>
    </w:p>
    <w:p w:rsidR="00254199" w:rsidRPr="00254199" w:rsidRDefault="00254199" w:rsidP="0025419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miles de islas a orillas del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Mar </w:t>
      </w:r>
      <w:r w:rsidR="0099556D"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Adriático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. Llegada y visita de la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antigua ciudad, tambi</w:t>
      </w:r>
      <w:r w:rsidR="00464AF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é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n declarada</w:t>
      </w:r>
    </w:p>
    <w:p w:rsidR="00254199" w:rsidRPr="00254199" w:rsidRDefault="00254199" w:rsidP="0025419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patrimonio universal de la UNESCO.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Puntos de particular </w:t>
      </w:r>
      <w:r w:rsidR="0099556D"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interés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son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la Iglesia Franciscana del siglo XIV,</w:t>
      </w:r>
    </w:p>
    <w:p w:rsidR="00254199" w:rsidRPr="00254199" w:rsidRDefault="00254199" w:rsidP="00254199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</w:rPr>
      </w:pP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el Palacio del Rector, la Catedral y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el Monasterio Dominico. Una obra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maestra del Renacimiento que </w:t>
      </w:r>
      <w:r w:rsidR="0099556D"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sirvió</w:t>
      </w:r>
    </w:p>
    <w:p w:rsidR="00955701" w:rsidRDefault="00254199" w:rsidP="0025419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defensa a los ciudadanos es la Torre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Minceta, la </w:t>
      </w:r>
      <w:r w:rsidR="006155F6"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más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grande de la muralla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Dubrovnik y la mejor conservada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en Europa. Alojamiento en Dubrovnik.</w:t>
      </w:r>
    </w:p>
    <w:p w:rsidR="00254199" w:rsidRDefault="00254199" w:rsidP="0025419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254199" w:rsidRPr="00254199" w:rsidRDefault="0099556D" w:rsidP="00254199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25419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="00254199" w:rsidRPr="0025419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8</w:t>
      </w:r>
      <w:r w:rsidR="00254199"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254199" w:rsidRPr="0025419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ubrovnik</w:t>
      </w:r>
    </w:p>
    <w:p w:rsidR="00254199" w:rsidRPr="00254199" w:rsidRDefault="00254199" w:rsidP="00254199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</w:rPr>
      </w:pP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Desayuno y </w:t>
      </w:r>
      <w:r w:rsidR="001F58D9"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día</w:t>
      </w:r>
      <w:r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libre. </w:t>
      </w:r>
      <w:r w:rsidR="001F58D9" w:rsidRPr="0025419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Alojamiento.</w:t>
      </w:r>
    </w:p>
    <w:p w:rsidR="00955701" w:rsidRPr="001F58D9" w:rsidRDefault="00955701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:rsidR="001F58D9" w:rsidRPr="001F58D9" w:rsidRDefault="001F58D9" w:rsidP="001F58D9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1F58D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1F58D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9 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ubrovnik</w:t>
      </w:r>
    </w:p>
    <w:p w:rsidR="001F58D9" w:rsidRDefault="001F58D9" w:rsidP="001F58D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día libre. Alojamiento en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Dubrovnik.</w:t>
      </w:r>
    </w:p>
    <w:p w:rsidR="001F58D9" w:rsidRDefault="001F58D9" w:rsidP="001F58D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1F58D9" w:rsidRPr="001F58D9" w:rsidRDefault="001F58D9" w:rsidP="001F58D9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1F58D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1F58D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10 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ubrovnik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/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K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otor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/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B</w:t>
      </w:r>
      <w:r w:rsidR="00825F74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u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dva</w:t>
      </w:r>
    </w:p>
    <w:p w:rsidR="001F58D9" w:rsidRPr="001F58D9" w:rsidRDefault="001F58D9" w:rsidP="001F58D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Desayuno y salida hacia la </w:t>
      </w:r>
      <w:r w:rsidR="006155F6"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bahía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Kotor, canon de gran belleza natural,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conocido </w:t>
      </w:r>
      <w:r w:rsidR="006155F6"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también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como el fiordo </w:t>
      </w:r>
      <w:r w:rsidR="00464AFC"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meridional de Europa. Breve parada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para visitar su casco antiguo, ubicado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en esta ensenada del mar </w:t>
      </w:r>
      <w:r w:rsidR="006155F6"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Adriático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.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Rodeada de montanas y dominada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por el castillo. Kotor nos invita 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descubrir lugares fascinantes como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la Catedral de San Trifon, la Plaza de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Armas y la Torre del Reloj. Continuamos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el </w:t>
      </w:r>
      <w:r w:rsidR="006155F6"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recorrido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a Budva, preciosa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antigua ciudad </w:t>
      </w:r>
      <w:r w:rsidR="006155F6"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considerada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principal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destino </w:t>
      </w:r>
      <w:r w:rsidR="006155F6"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turístico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del </w:t>
      </w:r>
      <w:r w:rsidR="006155F6"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país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por su patrimonio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cultural y </w:t>
      </w:r>
      <w:r w:rsidR="006155F6"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arquitectónico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por sus bellas playas de arena y su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ambiente nocturno. La zona antigua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 Budva, el Stari Grad </w:t>
      </w:r>
      <w:r w:rsidR="006155F6"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está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llena de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vida. Su arquitectura claramente </w:t>
      </w:r>
      <w:r w:rsidR="006155F6"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Mediterránea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se forma en torno a su recinto</w:t>
      </w:r>
    </w:p>
    <w:p w:rsidR="001F58D9" w:rsidRDefault="001F58D9" w:rsidP="001F58D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1F58D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amurallado, circundado por los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bastiones medievales del siglo XV. Sus</w:t>
      </w:r>
      <w:r w:rsid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puertas nos conducen a callejuelas</w:t>
      </w:r>
      <w:r w:rsid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con tiendas diminutas y adorables</w:t>
      </w:r>
      <w:r w:rsid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plazas, que nos brindan la oportunidad</w:t>
      </w:r>
      <w:r w:rsid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disfrutar de las terrazas de sus</w:t>
      </w:r>
      <w:r w:rsid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bares y restaurantes. Alojamiento.</w:t>
      </w:r>
    </w:p>
    <w:p w:rsidR="006155F6" w:rsidRPr="006155F6" w:rsidRDefault="006155F6" w:rsidP="001F58D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6155F6" w:rsidRPr="006155F6" w:rsidRDefault="006155F6" w:rsidP="006155F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6155F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6155F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11 B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udva/</w:t>
      </w:r>
      <w:r w:rsidRPr="006155F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T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irana</w:t>
      </w:r>
    </w:p>
    <w:p w:rsidR="006155F6" w:rsidRPr="006155F6" w:rsidRDefault="006155F6" w:rsidP="006155F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salida hacia Shkodra, una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 las ciudades </w:t>
      </w:r>
      <w:r w:rsidR="00464AFC"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más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grandes del noroeste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Albania. Veremos el Castillo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Rozafa de origen veneciano (entrada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incluida), situado sobre una colina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rocosa a 130 metros sobre el nivel del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mar. Seguimos nuestro viaje hacia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Tirana, capital de Albania y como tal,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ciudad más importante del país. Alojamiento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.</w:t>
      </w:r>
    </w:p>
    <w:p w:rsidR="00955701" w:rsidRPr="006155F6" w:rsidRDefault="00955701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:rsidR="006155F6" w:rsidRDefault="006155F6" w:rsidP="006155F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6155F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6155F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12 T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irana</w:t>
      </w:r>
    </w:p>
    <w:p w:rsidR="006155F6" w:rsidRPr="006155F6" w:rsidRDefault="006155F6" w:rsidP="006155F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visita de la ciudad,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pasando por la Plaza Skanderberg,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principal </w:t>
      </w:r>
      <w:r w:rsidR="00464AFC"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símbolo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 la ciudad, con</w:t>
      </w:r>
    </w:p>
    <w:p w:rsidR="006155F6" w:rsidRPr="006155F6" w:rsidRDefault="006155F6" w:rsidP="006155F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la estatua ecuestre del héroe nacional,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la Mezquita de Et´hem Bey, la 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Librería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Nacional, el Palacio de Cultura,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y el Museo de Historia Nacional que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nos permitirá conocer más sobre la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historia de Albania. A 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continuación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visitaremos el bazar recientemente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transformado en un</w:t>
      </w:r>
      <w:r w:rsidR="00464AFC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viva área de tiendas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y restaurantes. Tarde libre y alojamiento.</w:t>
      </w:r>
    </w:p>
    <w:p w:rsidR="00955701" w:rsidRPr="00F84432" w:rsidRDefault="00955701" w:rsidP="006F08D0">
      <w:pPr>
        <w:rPr>
          <w:rFonts w:ascii="Tahoma" w:hAnsi="Tahoma"/>
          <w:bCs/>
          <w:color w:val="auto"/>
          <w:sz w:val="22"/>
          <w:szCs w:val="22"/>
        </w:rPr>
      </w:pPr>
    </w:p>
    <w:p w:rsidR="006155F6" w:rsidRPr="006155F6" w:rsidRDefault="006155F6" w:rsidP="006155F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6155F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6155F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13 T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irana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/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L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ago</w:t>
      </w:r>
      <w:r w:rsidRPr="006155F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O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hrid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/</w:t>
      </w:r>
      <w:r w:rsidR="00464AFC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S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kopje</w:t>
      </w:r>
    </w:p>
    <w:p w:rsidR="00955701" w:rsidRPr="006155F6" w:rsidRDefault="006155F6" w:rsidP="006155F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</w:rPr>
      </w:pP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salida hacia Ohrid, situado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al sur de Macedonia, es posiblemente,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el lugar más bonito y turístico del país,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junto con su lago homónimo. Paseando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por las empinadas y adoquinadas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calles, entraremos a la Catedral de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Santa Sofía (XI) monumento de mayor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impresión de este país. Igualmente La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Iglesia de San Juan Kaneo, posiblemente,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el lugar </w:t>
      </w:r>
      <w:r w:rsidR="00464AFC"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más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fotografiado de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toda Macedonia del Norte, ubicada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sobre un acantilado del lago Ohrid.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Continuamos nuestro itinerario 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Skopje, capital de Macedonia. Alojamiento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.</w:t>
      </w:r>
    </w:p>
    <w:p w:rsidR="00955701" w:rsidRPr="00F84432" w:rsidRDefault="00955701" w:rsidP="006F08D0">
      <w:pPr>
        <w:rPr>
          <w:rFonts w:ascii="Tahoma" w:hAnsi="Tahoma"/>
          <w:bCs/>
          <w:color w:val="auto"/>
          <w:sz w:val="22"/>
          <w:szCs w:val="22"/>
        </w:rPr>
      </w:pPr>
    </w:p>
    <w:p w:rsidR="006155F6" w:rsidRPr="006155F6" w:rsidRDefault="004150D7" w:rsidP="006155F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6155F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="006155F6" w:rsidRPr="006155F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14 S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kopje</w:t>
      </w:r>
    </w:p>
    <w:p w:rsidR="006155F6" w:rsidRDefault="006155F6" w:rsidP="006155F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visita de la ciudad, pasando</w:t>
      </w:r>
      <w:r w:rsidR="004150D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por la Iglesia de San Salvador con</w:t>
      </w:r>
      <w:r w:rsidR="004150D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sus iconos tallados en madera de nogal,</w:t>
      </w:r>
      <w:r w:rsidR="004150D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el puente de piedra, el viejo Bazar</w:t>
      </w:r>
      <w:r w:rsidR="004150D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y la fortaleza Kale. Seguimos por la</w:t>
      </w:r>
      <w:r w:rsidR="004150D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cuesta de la montana de Vodno, donde</w:t>
      </w:r>
      <w:r w:rsidR="004150D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visitaremos el Monasterio de San</w:t>
      </w:r>
      <w:r w:rsidR="004150D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Panteleimon prestigiosa pos sus frescos</w:t>
      </w:r>
      <w:r w:rsidR="004150D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del siglo XII, considerados entre</w:t>
      </w:r>
      <w:r w:rsidR="004150D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los mejores logros del arte bizantino</w:t>
      </w:r>
      <w:r w:rsidR="004150D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 esta </w:t>
      </w:r>
      <w:r w:rsidR="004150D7"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época</w:t>
      </w:r>
      <w:r w:rsidRPr="006155F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.</w:t>
      </w:r>
    </w:p>
    <w:p w:rsidR="004D2C58" w:rsidRDefault="004D2C58" w:rsidP="006155F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81195F" w:rsidRDefault="0081195F" w:rsidP="004D2C58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</w:p>
    <w:p w:rsidR="0081195F" w:rsidRDefault="0081195F" w:rsidP="004D2C58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</w:p>
    <w:p w:rsidR="0081195F" w:rsidRDefault="0081195F" w:rsidP="004D2C58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</w:p>
    <w:p w:rsidR="0081195F" w:rsidRDefault="0081195F" w:rsidP="004D2C58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</w:p>
    <w:p w:rsidR="0081195F" w:rsidRDefault="0081195F" w:rsidP="004D2C58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</w:p>
    <w:p w:rsidR="004D2C58" w:rsidRPr="004D2C58" w:rsidRDefault="00AF2557" w:rsidP="004D2C58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4D2C58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="004D2C58" w:rsidRPr="004D2C58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15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D2C58" w:rsidRPr="004D2C58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S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kopje/</w:t>
      </w:r>
      <w:r w:rsidR="004D2C58" w:rsidRPr="004D2C58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B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elgrado</w:t>
      </w:r>
    </w:p>
    <w:p w:rsidR="004D2C58" w:rsidRPr="004D2C58" w:rsidRDefault="004D2C58" w:rsidP="004D2C58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4D2C58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salida hacia Belgrado capital</w:t>
      </w:r>
      <w:r w:rsidR="00AF255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D2C58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Serbia, que en la que confluyen</w:t>
      </w:r>
      <w:r w:rsidR="00AF255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D2C58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influencias tanto europeas como</w:t>
      </w:r>
      <w:r w:rsidR="00AF255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D2C58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turcas. Esta </w:t>
      </w:r>
      <w:r w:rsidR="00AF2557" w:rsidRPr="004D2C58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enigmática</w:t>
      </w:r>
      <w:r w:rsidRPr="004D2C58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mezcla de culturas</w:t>
      </w:r>
      <w:r w:rsidR="00AF255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D2C58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han dado lugar a una fascinante</w:t>
      </w:r>
      <w:r w:rsidR="00AF255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D2C58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variedad de estilos </w:t>
      </w:r>
      <w:r w:rsidR="00AF2557" w:rsidRPr="004D2C58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arquitectónicos</w:t>
      </w:r>
      <w:r w:rsidRPr="004D2C58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.</w:t>
      </w:r>
      <w:r w:rsidR="00AF2557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D2C58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Alojamiento.</w:t>
      </w:r>
    </w:p>
    <w:p w:rsidR="00AF2557" w:rsidRDefault="00AF2557" w:rsidP="004D2C58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</w:p>
    <w:p w:rsidR="004D2C58" w:rsidRPr="00BE7736" w:rsidRDefault="00AF2557" w:rsidP="004D2C58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BE773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Día</w:t>
      </w:r>
      <w:r w:rsidR="004D2C58" w:rsidRPr="00BE773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16</w:t>
      </w:r>
      <w:r w:rsidR="004D2C58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D2C58" w:rsidRPr="00BE773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B</w:t>
      </w:r>
      <w:r w:rsidRPr="00BE773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elgrado</w:t>
      </w:r>
    </w:p>
    <w:p w:rsidR="00AF2557" w:rsidRPr="00BE7736" w:rsidRDefault="00AF2557" w:rsidP="00AF2557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visita ciudad recorriendo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su centro </w:t>
      </w:r>
      <w:r w:rsidR="00BE7736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histórico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, con el Parlamento,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la Plaza de la Republica 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–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corazón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 Belgrado y el centro de 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reunión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sus ciudadanos. Es la plaza principal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la ciudad, rodeada por importantes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edificios </w:t>
      </w:r>
      <w:r w:rsidR="00BE7736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públicos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como el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Museo Nacional y el Teatro Nacional.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Posteriormente seguimos el recorrido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hacia la Fortaleza de Kalemegdan;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cuya </w:t>
      </w:r>
      <w:r w:rsidR="00BE7736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ubicación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y altura la convierten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en el mirador perfecto. Disfrutaremos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unas vistas esplendidas de la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ciudad y de los dos </w:t>
      </w:r>
      <w:r w:rsidR="00464AFC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ríos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que la atraviesan,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el Sava y el Danubio. A 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continuación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nos dirigimos a Sveti Sava,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catedral ortodoxa </w:t>
      </w:r>
      <w:r w:rsidR="00464AFC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más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grande de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Europa que lleva el nombre por ser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este el fundador iglesia Ortodoxa en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Serbia. Destaca especialmente por su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fachada de </w:t>
      </w:r>
      <w:r w:rsidR="00BE7736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mármol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blanco y granito,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y por los encantadores jardines que la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rodean. Se la considera, la iglesia </w:t>
      </w:r>
      <w:r w:rsidR="00BC5872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más</w:t>
      </w:r>
    </w:p>
    <w:p w:rsidR="00AF2557" w:rsidRPr="00BE7736" w:rsidRDefault="00BC5872" w:rsidP="00AF2557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Bonita</w:t>
      </w:r>
      <w:r w:rsidR="00AF2557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 Serbia. Finalizamos la visita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AF2557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con la calle peatonal Knez Mihailova,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AF2557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en cuyo kilometro de longitud convergen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AF2557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la vida comercial y social de la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AF2557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ciudad y todo amenizado por su particular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AF2557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arte callejero. Protegida por ley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AF2557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y declarada como Unidad espacial de</w:t>
      </w:r>
      <w:r w:rsid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AF2557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gran importancia </w:t>
      </w:r>
      <w:r w:rsidR="00BE7736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histórica</w:t>
      </w:r>
      <w:r w:rsidR="00AF2557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-cultural.</w:t>
      </w:r>
    </w:p>
    <w:p w:rsidR="00AF2557" w:rsidRDefault="00BE7736" w:rsidP="00AF2557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Tarde libre y alojamiento.</w:t>
      </w:r>
    </w:p>
    <w:p w:rsidR="00BE7736" w:rsidRPr="00BE7736" w:rsidRDefault="00BE7736" w:rsidP="00AF2557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AF2557" w:rsidRPr="00BE7736" w:rsidRDefault="00BE7736" w:rsidP="00AF2557">
      <w:pPr>
        <w:autoSpaceDE w:val="0"/>
        <w:autoSpaceDN w:val="0"/>
        <w:adjustRightInd w:val="0"/>
        <w:rPr>
          <w:rFonts w:ascii="Tahoma" w:eastAsia="MyriadPro-Regular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BE7736">
        <w:rPr>
          <w:rFonts w:ascii="Tahoma" w:eastAsia="MyriadPro-Regular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eastAsia="MyriadPro-Regular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="00AF2557" w:rsidRPr="00BE7736">
        <w:rPr>
          <w:rFonts w:ascii="Tahoma" w:eastAsia="MyriadPro-Regular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17</w:t>
      </w:r>
      <w:r w:rsidR="00AF2557"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AF2557" w:rsidRPr="00BE7736">
        <w:rPr>
          <w:rFonts w:ascii="Tahoma" w:eastAsia="MyriadPro-Regular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B</w:t>
      </w:r>
      <w:r>
        <w:rPr>
          <w:rFonts w:ascii="Tahoma" w:eastAsia="MyriadPro-Regular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elgrado</w:t>
      </w:r>
    </w:p>
    <w:p w:rsidR="00AF2557" w:rsidRPr="00BE7736" w:rsidRDefault="00AF2557" w:rsidP="00AF2557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BE773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traslado al aeropuerto.</w:t>
      </w:r>
    </w:p>
    <w:p w:rsidR="004D2C58" w:rsidRPr="004D2C58" w:rsidRDefault="004D2C58" w:rsidP="006155F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9268B8" w:rsidRPr="00527BB6" w:rsidRDefault="009268B8" w:rsidP="009268B8">
      <w:pPr>
        <w:rPr>
          <w:rFonts w:ascii="Tahoma" w:hAnsi="Tahoma"/>
          <w:b/>
          <w:bCs/>
          <w:color w:val="auto"/>
          <w:sz w:val="22"/>
          <w:szCs w:val="22"/>
        </w:rPr>
      </w:pPr>
      <w:r w:rsidRPr="00527BB6">
        <w:rPr>
          <w:rFonts w:ascii="Tahoma" w:hAnsi="Tahoma"/>
          <w:b/>
          <w:bCs/>
          <w:color w:val="auto"/>
          <w:sz w:val="22"/>
          <w:szCs w:val="22"/>
        </w:rPr>
        <w:t>Costos por persona en dólares americanos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1276"/>
        <w:gridCol w:w="1701"/>
        <w:gridCol w:w="1276"/>
        <w:gridCol w:w="1276"/>
      </w:tblGrid>
      <w:tr w:rsidR="009268B8" w:rsidRPr="005E4195" w:rsidTr="006C74C7">
        <w:trPr>
          <w:trHeight w:val="355"/>
        </w:trPr>
        <w:tc>
          <w:tcPr>
            <w:tcW w:w="2977" w:type="dxa"/>
            <w:gridSpan w:val="2"/>
          </w:tcPr>
          <w:p w:rsidR="009268B8" w:rsidRPr="00527BB6" w:rsidRDefault="009268B8" w:rsidP="006C74C7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527BB6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Fechas de Salida </w:t>
            </w: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268B8" w:rsidRPr="00527BB6" w:rsidRDefault="009268B8" w:rsidP="006C74C7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527BB6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Doble </w:t>
            </w:r>
          </w:p>
        </w:tc>
        <w:tc>
          <w:tcPr>
            <w:tcW w:w="1276" w:type="dxa"/>
          </w:tcPr>
          <w:p w:rsidR="009268B8" w:rsidRPr="00527BB6" w:rsidRDefault="009268B8" w:rsidP="006C74C7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527BB6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Supl Ind </w:t>
            </w:r>
          </w:p>
        </w:tc>
      </w:tr>
      <w:tr w:rsidR="009268B8" w:rsidRPr="00200315" w:rsidTr="006C74C7">
        <w:trPr>
          <w:trHeight w:val="355"/>
        </w:trPr>
        <w:tc>
          <w:tcPr>
            <w:tcW w:w="2977" w:type="dxa"/>
            <w:gridSpan w:val="2"/>
          </w:tcPr>
          <w:p w:rsidR="009268B8" w:rsidRPr="00D44D97" w:rsidRDefault="009268B8" w:rsidP="006C74C7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Mayo 2, 30</w:t>
            </w:r>
            <w:r w:rsidRPr="00D44D97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9268B8" w:rsidRPr="00D44D97" w:rsidRDefault="009268B8" w:rsidP="006C74C7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D44D97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Agosto 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22</w:t>
            </w:r>
          </w:p>
          <w:p w:rsidR="009268B8" w:rsidRPr="00200315" w:rsidRDefault="009268B8" w:rsidP="009268B8">
            <w:pP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D44D97">
              <w:rPr>
                <w:rFonts w:ascii="Tahoma" w:hAnsi="Tahoma"/>
                <w:color w:val="000000" w:themeColor="text1"/>
                <w:sz w:val="22"/>
                <w:szCs w:val="22"/>
              </w:rPr>
              <w:t>Septiembre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12</w:t>
            </w:r>
          </w:p>
        </w:tc>
        <w:tc>
          <w:tcPr>
            <w:tcW w:w="1276" w:type="dxa"/>
            <w:shd w:val="clear" w:color="auto" w:fill="auto"/>
          </w:tcPr>
          <w:p w:rsidR="009268B8" w:rsidRPr="00200315" w:rsidRDefault="009268B8" w:rsidP="00464AFC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464AF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,</w:t>
            </w:r>
            <w:r w:rsidR="00464AF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040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68B8" w:rsidRPr="00200315" w:rsidRDefault="009268B8" w:rsidP="00464AFC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1,</w:t>
            </w:r>
            <w:r w:rsidR="00464AFC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333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268B8" w:rsidRPr="004071D5" w:rsidTr="006C74C7">
        <w:tc>
          <w:tcPr>
            <w:tcW w:w="5529" w:type="dxa"/>
            <w:gridSpan w:val="4"/>
          </w:tcPr>
          <w:p w:rsidR="009268B8" w:rsidRPr="004071D5" w:rsidRDefault="009268B8" w:rsidP="006C74C7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</w:pPr>
            <w:r w:rsidRPr="004071D5"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>Hoteles previstos</w:t>
            </w:r>
          </w:p>
        </w:tc>
      </w:tr>
      <w:tr w:rsidR="009268B8" w:rsidRPr="004071D5" w:rsidTr="006C74C7">
        <w:tc>
          <w:tcPr>
            <w:tcW w:w="1276" w:type="dxa"/>
          </w:tcPr>
          <w:p w:rsidR="009268B8" w:rsidRPr="004071D5" w:rsidRDefault="009268B8" w:rsidP="006C74C7">
            <w:pPr>
              <w:pStyle w:val="Sinespaciado"/>
              <w:rPr>
                <w:rFonts w:ascii="Tahoma" w:hAnsi="Tahoma"/>
                <w:bCs/>
                <w:color w:val="000000" w:themeColor="text1"/>
                <w:kern w:val="0"/>
                <w:sz w:val="22"/>
                <w:szCs w:val="22"/>
                <w:lang w:eastAsia="es-MX"/>
              </w:rPr>
            </w:pPr>
            <w:r>
              <w:rPr>
                <w:rFonts w:ascii="Tahoma" w:hAnsi="Tahoma"/>
                <w:bCs/>
                <w:color w:val="000000" w:themeColor="text1"/>
                <w:kern w:val="0"/>
                <w:sz w:val="22"/>
                <w:szCs w:val="22"/>
                <w:lang w:eastAsia="es-MX"/>
              </w:rPr>
              <w:t>Viena</w:t>
            </w:r>
          </w:p>
        </w:tc>
        <w:tc>
          <w:tcPr>
            <w:tcW w:w="4253" w:type="dxa"/>
            <w:gridSpan w:val="3"/>
          </w:tcPr>
          <w:p w:rsidR="009268B8" w:rsidRPr="004071D5" w:rsidRDefault="009268B8" w:rsidP="006C74C7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>Intercontine</w:t>
            </w:r>
            <w:r w:rsidR="00464AFC"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>n</w:t>
            </w:r>
            <w:r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>tal 5*</w:t>
            </w:r>
          </w:p>
        </w:tc>
      </w:tr>
      <w:tr w:rsidR="009268B8" w:rsidRPr="004071D5" w:rsidTr="006C74C7">
        <w:tc>
          <w:tcPr>
            <w:tcW w:w="1276" w:type="dxa"/>
          </w:tcPr>
          <w:p w:rsidR="009268B8" w:rsidRPr="004071D5" w:rsidRDefault="009268B8" w:rsidP="006C74C7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</w:pPr>
            <w:r w:rsidRPr="004071D5">
              <w:rPr>
                <w:rFonts w:ascii="Tahoma" w:hAnsi="Tahoma"/>
                <w:bCs/>
                <w:color w:val="000000" w:themeColor="text1"/>
                <w:kern w:val="0"/>
                <w:sz w:val="22"/>
                <w:szCs w:val="22"/>
                <w:lang w:eastAsia="es-MX"/>
              </w:rPr>
              <w:t>Ljubljana</w:t>
            </w:r>
          </w:p>
        </w:tc>
        <w:tc>
          <w:tcPr>
            <w:tcW w:w="4253" w:type="dxa"/>
            <w:gridSpan w:val="3"/>
          </w:tcPr>
          <w:p w:rsidR="009268B8" w:rsidRPr="004071D5" w:rsidRDefault="009268B8" w:rsidP="006C74C7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</w:pPr>
            <w:r w:rsidRPr="004071D5"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>Grand Plaza 5*</w:t>
            </w:r>
          </w:p>
        </w:tc>
      </w:tr>
      <w:tr w:rsidR="009268B8" w:rsidRPr="004071D5" w:rsidTr="006C74C7">
        <w:tc>
          <w:tcPr>
            <w:tcW w:w="1276" w:type="dxa"/>
          </w:tcPr>
          <w:p w:rsidR="009268B8" w:rsidRPr="004071D5" w:rsidRDefault="009268B8" w:rsidP="006C74C7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4071D5">
              <w:rPr>
                <w:rFonts w:ascii="Tahoma" w:hAnsi="Tahoma"/>
                <w:color w:val="000000" w:themeColor="text1"/>
                <w:sz w:val="22"/>
                <w:szCs w:val="22"/>
              </w:rPr>
              <w:t>Opatija</w:t>
            </w:r>
          </w:p>
        </w:tc>
        <w:tc>
          <w:tcPr>
            <w:tcW w:w="4253" w:type="dxa"/>
            <w:gridSpan w:val="3"/>
          </w:tcPr>
          <w:p w:rsidR="009268B8" w:rsidRPr="004071D5" w:rsidRDefault="009268B8" w:rsidP="006C74C7">
            <w:pPr>
              <w:pStyle w:val="Sinespaciado"/>
              <w:ind w:left="50"/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</w:pPr>
            <w:r w:rsidRPr="004071D5"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>Amadria Royal 5*</w:t>
            </w:r>
          </w:p>
        </w:tc>
      </w:tr>
      <w:tr w:rsidR="009268B8" w:rsidRPr="004071D5" w:rsidTr="006C74C7">
        <w:tc>
          <w:tcPr>
            <w:tcW w:w="1276" w:type="dxa"/>
          </w:tcPr>
          <w:p w:rsidR="009268B8" w:rsidRPr="004071D5" w:rsidRDefault="009268B8" w:rsidP="006C74C7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4071D5">
              <w:rPr>
                <w:rFonts w:ascii="Tahoma" w:hAnsi="Tahoma"/>
                <w:color w:val="000000" w:themeColor="text1"/>
                <w:sz w:val="22"/>
                <w:szCs w:val="22"/>
              </w:rPr>
              <w:t>Split</w:t>
            </w:r>
          </w:p>
        </w:tc>
        <w:tc>
          <w:tcPr>
            <w:tcW w:w="4253" w:type="dxa"/>
            <w:gridSpan w:val="3"/>
          </w:tcPr>
          <w:p w:rsidR="009268B8" w:rsidRPr="004071D5" w:rsidRDefault="009268B8" w:rsidP="006C74C7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4071D5">
              <w:rPr>
                <w:rFonts w:ascii="Tahoma" w:hAnsi="Tahoma"/>
                <w:color w:val="000000" w:themeColor="text1"/>
                <w:sz w:val="22"/>
                <w:szCs w:val="22"/>
              </w:rPr>
              <w:t>Atrium 5*</w:t>
            </w:r>
          </w:p>
        </w:tc>
      </w:tr>
      <w:tr w:rsidR="009268B8" w:rsidRPr="004071D5" w:rsidTr="006C74C7">
        <w:tc>
          <w:tcPr>
            <w:tcW w:w="1276" w:type="dxa"/>
          </w:tcPr>
          <w:p w:rsidR="009268B8" w:rsidRPr="004071D5" w:rsidRDefault="009268B8" w:rsidP="009268B8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Dubrovnik</w:t>
            </w:r>
          </w:p>
        </w:tc>
        <w:tc>
          <w:tcPr>
            <w:tcW w:w="4253" w:type="dxa"/>
            <w:gridSpan w:val="3"/>
          </w:tcPr>
          <w:p w:rsidR="009268B8" w:rsidRPr="004071D5" w:rsidRDefault="009268B8" w:rsidP="009268B8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Dubrovnik Palace</w:t>
            </w:r>
            <w:r w:rsidRPr="004071D5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5*</w:t>
            </w:r>
          </w:p>
        </w:tc>
      </w:tr>
      <w:tr w:rsidR="009268B8" w:rsidRPr="004071D5" w:rsidTr="006C74C7">
        <w:tc>
          <w:tcPr>
            <w:tcW w:w="1276" w:type="dxa"/>
          </w:tcPr>
          <w:p w:rsidR="009268B8" w:rsidRPr="004071D5" w:rsidRDefault="009268B8" w:rsidP="006C74C7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Budva</w:t>
            </w:r>
          </w:p>
        </w:tc>
        <w:tc>
          <w:tcPr>
            <w:tcW w:w="4253" w:type="dxa"/>
            <w:gridSpan w:val="3"/>
          </w:tcPr>
          <w:p w:rsidR="009268B8" w:rsidRPr="004071D5" w:rsidRDefault="009268B8" w:rsidP="006C74C7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Avala Resort</w:t>
            </w:r>
            <w:r w:rsidRPr="004071D5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5*</w:t>
            </w:r>
          </w:p>
        </w:tc>
      </w:tr>
      <w:tr w:rsidR="009268B8" w:rsidRPr="004071D5" w:rsidTr="006C74C7">
        <w:tc>
          <w:tcPr>
            <w:tcW w:w="1276" w:type="dxa"/>
          </w:tcPr>
          <w:p w:rsidR="009268B8" w:rsidRDefault="009268B8" w:rsidP="006C74C7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Tirana</w:t>
            </w:r>
          </w:p>
        </w:tc>
        <w:tc>
          <w:tcPr>
            <w:tcW w:w="4253" w:type="dxa"/>
            <w:gridSpan w:val="3"/>
          </w:tcPr>
          <w:p w:rsidR="009268B8" w:rsidRDefault="009268B8" w:rsidP="00464AFC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Rogner Hotel   5*</w:t>
            </w:r>
          </w:p>
        </w:tc>
      </w:tr>
      <w:tr w:rsidR="009268B8" w:rsidRPr="004071D5" w:rsidTr="006C74C7">
        <w:tc>
          <w:tcPr>
            <w:tcW w:w="1276" w:type="dxa"/>
          </w:tcPr>
          <w:p w:rsidR="009268B8" w:rsidRDefault="00C533C9" w:rsidP="006C74C7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Skopje</w:t>
            </w:r>
          </w:p>
        </w:tc>
        <w:tc>
          <w:tcPr>
            <w:tcW w:w="4253" w:type="dxa"/>
            <w:gridSpan w:val="3"/>
          </w:tcPr>
          <w:p w:rsidR="009268B8" w:rsidRDefault="00C533C9" w:rsidP="006C74C7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Marriot 5*</w:t>
            </w:r>
          </w:p>
        </w:tc>
      </w:tr>
      <w:tr w:rsidR="009268B8" w:rsidRPr="00825F74" w:rsidTr="006C74C7">
        <w:tc>
          <w:tcPr>
            <w:tcW w:w="1276" w:type="dxa"/>
          </w:tcPr>
          <w:p w:rsidR="009268B8" w:rsidRDefault="00C533C9" w:rsidP="00C533C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Belgrado</w:t>
            </w:r>
          </w:p>
        </w:tc>
        <w:tc>
          <w:tcPr>
            <w:tcW w:w="4253" w:type="dxa"/>
            <w:gridSpan w:val="3"/>
          </w:tcPr>
          <w:p w:rsidR="009268B8" w:rsidRPr="00C533C9" w:rsidRDefault="00C533C9" w:rsidP="005F148F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</w:pPr>
            <w:r w:rsidRPr="00C533C9"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>Courtyard by Marriott City Center</w:t>
            </w:r>
            <w:r>
              <w:rPr>
                <w:rFonts w:ascii="Tahoma" w:hAnsi="Tahoma"/>
                <w:color w:val="000000" w:themeColor="text1"/>
                <w:sz w:val="22"/>
                <w:szCs w:val="22"/>
                <w:lang w:val="en-US"/>
              </w:rPr>
              <w:t xml:space="preserve"> 5*</w:t>
            </w:r>
          </w:p>
        </w:tc>
      </w:tr>
    </w:tbl>
    <w:p w:rsidR="004D2C58" w:rsidRPr="00C533C9" w:rsidRDefault="004D2C58" w:rsidP="006155F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n-US" w:eastAsia="es-MX"/>
        </w:rPr>
      </w:pPr>
    </w:p>
    <w:p w:rsidR="00C533C9" w:rsidRDefault="00C533C9" w:rsidP="00C533C9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C533C9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I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ncluye</w:t>
      </w:r>
    </w:p>
    <w:p w:rsidR="00C533C9" w:rsidRPr="00C533C9" w:rsidRDefault="00C533C9" w:rsidP="00C533C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C533C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Maleteros en los hoteles</w:t>
      </w:r>
    </w:p>
    <w:p w:rsidR="00C533C9" w:rsidRPr="00C533C9" w:rsidRDefault="00C533C9" w:rsidP="00C533C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C533C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Guía exclusivo de habla hispana</w:t>
      </w:r>
    </w:p>
    <w:p w:rsidR="00C533C9" w:rsidRDefault="00C533C9" w:rsidP="00C533C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C533C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16 noches alojamiento con desayuno buffet</w:t>
      </w:r>
    </w:p>
    <w:p w:rsidR="004D2C58" w:rsidRDefault="00C533C9" w:rsidP="00C533C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C533C9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Cena de bienvenida</w:t>
      </w:r>
    </w:p>
    <w:p w:rsidR="00C533C9" w:rsidRPr="00C533C9" w:rsidRDefault="00B305A5" w:rsidP="00C533C9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13 paseos </w:t>
      </w:r>
    </w:p>
    <w:p w:rsidR="00C533C9" w:rsidRPr="00C533C9" w:rsidRDefault="00C533C9" w:rsidP="006155F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C533C9" w:rsidRPr="00C533C9" w:rsidRDefault="00C533C9" w:rsidP="006155F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C533C9" w:rsidRPr="00C533C9" w:rsidRDefault="00C533C9" w:rsidP="006155F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C533C9" w:rsidRDefault="00C533C9" w:rsidP="00C533C9">
      <w:pPr>
        <w:rPr>
          <w:rFonts w:ascii="Tahoma" w:hAnsi="Tahoma"/>
          <w:b/>
          <w:bCs/>
          <w:color w:val="auto"/>
          <w:sz w:val="22"/>
          <w:szCs w:val="22"/>
        </w:rPr>
      </w:pPr>
    </w:p>
    <w:p w:rsidR="0081195F" w:rsidRDefault="0081195F" w:rsidP="00C533C9">
      <w:pPr>
        <w:rPr>
          <w:rFonts w:ascii="Tahoma" w:hAnsi="Tahoma"/>
          <w:b/>
          <w:bCs/>
          <w:color w:val="auto"/>
          <w:sz w:val="22"/>
          <w:szCs w:val="22"/>
        </w:rPr>
      </w:pPr>
    </w:p>
    <w:p w:rsidR="0081195F" w:rsidRDefault="0081195F" w:rsidP="00C533C9">
      <w:pPr>
        <w:rPr>
          <w:rFonts w:ascii="Tahoma" w:hAnsi="Tahoma"/>
          <w:b/>
          <w:bCs/>
          <w:color w:val="auto"/>
          <w:sz w:val="22"/>
          <w:szCs w:val="22"/>
        </w:rPr>
      </w:pPr>
    </w:p>
    <w:p w:rsidR="0081195F" w:rsidRDefault="0081195F" w:rsidP="00C533C9">
      <w:pPr>
        <w:rPr>
          <w:rFonts w:ascii="Tahoma" w:hAnsi="Tahoma"/>
          <w:b/>
          <w:bCs/>
          <w:color w:val="auto"/>
          <w:sz w:val="22"/>
          <w:szCs w:val="22"/>
        </w:rPr>
      </w:pPr>
    </w:p>
    <w:p w:rsidR="00C533C9" w:rsidRPr="00527BB6" w:rsidRDefault="00C533C9" w:rsidP="00C533C9">
      <w:pPr>
        <w:rPr>
          <w:rFonts w:ascii="Tahoma" w:hAnsi="Tahoma"/>
          <w:b/>
          <w:bCs/>
          <w:color w:val="auto"/>
          <w:sz w:val="22"/>
          <w:szCs w:val="22"/>
        </w:rPr>
      </w:pPr>
      <w:r w:rsidRPr="00527BB6">
        <w:rPr>
          <w:rFonts w:ascii="Tahoma" w:hAnsi="Tahoma"/>
          <w:b/>
          <w:bCs/>
          <w:color w:val="auto"/>
          <w:sz w:val="22"/>
          <w:szCs w:val="22"/>
        </w:rPr>
        <w:t>No incluye</w:t>
      </w:r>
    </w:p>
    <w:p w:rsidR="00C533C9" w:rsidRDefault="00C533C9" w:rsidP="00C533C9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Vuelos</w:t>
      </w:r>
    </w:p>
    <w:p w:rsidR="00C533C9" w:rsidRDefault="00C533C9" w:rsidP="00C533C9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Seguro de viaje</w:t>
      </w:r>
    </w:p>
    <w:p w:rsidR="00C533C9" w:rsidRDefault="00C533C9" w:rsidP="00C533C9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Ningún otro alimento</w:t>
      </w:r>
    </w:p>
    <w:p w:rsidR="00C533C9" w:rsidRPr="00F84432" w:rsidRDefault="00C533C9" w:rsidP="00C533C9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Ningún otro gasto personal</w:t>
      </w:r>
    </w:p>
    <w:p w:rsidR="00C533C9" w:rsidRPr="00F84432" w:rsidRDefault="00C533C9" w:rsidP="00C533C9">
      <w:pPr>
        <w:rPr>
          <w:rFonts w:ascii="Tahoma" w:hAnsi="Tahoma"/>
          <w:bCs/>
          <w:color w:val="auto"/>
          <w:sz w:val="22"/>
          <w:szCs w:val="22"/>
        </w:rPr>
      </w:pPr>
    </w:p>
    <w:p w:rsidR="002D463B" w:rsidRPr="00F84432" w:rsidRDefault="00003345" w:rsidP="006F08D0">
      <w:pPr>
        <w:rPr>
          <w:rFonts w:ascii="Tahoma" w:hAnsi="Tahoma"/>
          <w:b/>
          <w:color w:val="auto"/>
          <w:sz w:val="22"/>
          <w:szCs w:val="22"/>
        </w:rPr>
      </w:pPr>
      <w:r w:rsidRPr="00F84432">
        <w:rPr>
          <w:rFonts w:ascii="Tahoma" w:hAnsi="Tahoma"/>
          <w:b/>
          <w:color w:val="auto"/>
          <w:sz w:val="22"/>
          <w:szCs w:val="22"/>
        </w:rPr>
        <w:t>Notas:</w:t>
      </w:r>
    </w:p>
    <w:p w:rsidR="001A7000" w:rsidRPr="00F84432" w:rsidRDefault="001A7000" w:rsidP="001A7000">
      <w:pPr>
        <w:rPr>
          <w:rFonts w:ascii="Tahoma" w:hAnsi="Tahoma"/>
          <w:color w:val="auto"/>
          <w:sz w:val="22"/>
          <w:szCs w:val="22"/>
          <w:highlight w:val="yellow"/>
        </w:rPr>
      </w:pPr>
      <w:r w:rsidRPr="00F84432">
        <w:rPr>
          <w:rFonts w:ascii="Tahoma" w:hAnsi="Tahoma"/>
          <w:color w:val="auto"/>
          <w:sz w:val="22"/>
          <w:szCs w:val="22"/>
          <w:highlight w:val="yellow"/>
        </w:rPr>
        <w:t>Para reservaciones, se requiere copia del pasaporte con vigencia mínima de 6 meses después de su regreso</w:t>
      </w:r>
    </w:p>
    <w:p w:rsidR="001A7000" w:rsidRPr="00F84432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  <w:highlight w:val="yellow"/>
        </w:rPr>
        <w:t>Los documentos como pasaporte, visas, vacunas o cualquier otro requisito que solicite el país visitado, son responsabilidad del pasajero.</w:t>
      </w:r>
    </w:p>
    <w:p w:rsidR="001A7000" w:rsidRPr="00F84432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:rsidR="006F08D0" w:rsidRPr="00F84432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:rsidR="006F08D0" w:rsidRPr="00F84432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:rsidR="006F08D0" w:rsidRPr="00F84432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:rsidR="00E34F95" w:rsidRPr="00F84432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:rsidR="00E34F95" w:rsidRPr="00F84432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:rsidR="006F08D0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:rsidR="00F12036" w:rsidRPr="00F84432" w:rsidRDefault="00F12036" w:rsidP="006F08D0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Vigencia:</w:t>
      </w:r>
      <w:r w:rsidR="00C533C9">
        <w:rPr>
          <w:rFonts w:ascii="Tahoma" w:hAnsi="Tahoma"/>
          <w:color w:val="auto"/>
          <w:sz w:val="22"/>
          <w:szCs w:val="22"/>
        </w:rPr>
        <w:t xml:space="preserve"> 12 septiembre 2021</w:t>
      </w:r>
    </w:p>
    <w:sectPr w:rsidR="00F12036" w:rsidRPr="00F84432" w:rsidSect="003E3BAC">
      <w:footerReference w:type="default" r:id="rId9"/>
      <w:pgSz w:w="12240" w:h="15840" w:code="1"/>
      <w:pgMar w:top="510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0B" w:rsidRDefault="00C2300B" w:rsidP="00473664">
      <w:r>
        <w:separator/>
      </w:r>
    </w:p>
  </w:endnote>
  <w:endnote w:type="continuationSeparator" w:id="0">
    <w:p w:rsidR="00C2300B" w:rsidRDefault="00C2300B" w:rsidP="0047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63" w:rsidRPr="00955701" w:rsidRDefault="00416D01" w:rsidP="009B6E63">
    <w:pPr>
      <w:pStyle w:val="Piedepgina"/>
      <w:jc w:val="center"/>
      <w:rPr>
        <w:rFonts w:ascii="Tahoma" w:hAnsi="Tahoma"/>
        <w:color w:val="auto"/>
        <w:sz w:val="22"/>
        <w:szCs w:val="22"/>
      </w:rPr>
    </w:pPr>
    <w:hyperlink r:id="rId1" w:history="1">
      <w:r w:rsidR="009B6E63" w:rsidRPr="00955701">
        <w:rPr>
          <w:rStyle w:val="Hipervnculo"/>
          <w:rFonts w:ascii="Tahoma" w:hAnsi="Tahoma"/>
          <w:color w:val="auto"/>
          <w:sz w:val="22"/>
          <w:szCs w:val="22"/>
        </w:rPr>
        <w:t>gloria@karluoperadora.com</w:t>
      </w:r>
    </w:hyperlink>
    <w:r w:rsidR="009B6E63" w:rsidRPr="00955701">
      <w:rPr>
        <w:rFonts w:ascii="Tahoma" w:hAnsi="Tahoma"/>
        <w:color w:val="auto"/>
        <w:sz w:val="22"/>
        <w:szCs w:val="22"/>
      </w:rPr>
      <w:t xml:space="preserve"> – </w:t>
    </w:r>
    <w:hyperlink r:id="rId2" w:history="1">
      <w:r w:rsidR="009B6E63" w:rsidRPr="00955701">
        <w:rPr>
          <w:rStyle w:val="Hipervnculo"/>
          <w:rFonts w:ascii="Tahoma" w:hAnsi="Tahoma"/>
          <w:color w:val="auto"/>
          <w:sz w:val="22"/>
          <w:szCs w:val="22"/>
        </w:rPr>
        <w:t>info@karluoperadora.com</w:t>
      </w:r>
    </w:hyperlink>
  </w:p>
  <w:p w:rsidR="006A25D2" w:rsidRPr="00975BE9" w:rsidRDefault="009B6E63" w:rsidP="009B6E63">
    <w:pPr>
      <w:pStyle w:val="Piedepgina"/>
      <w:jc w:val="center"/>
      <w:rPr>
        <w:rFonts w:ascii="Tahoma" w:hAnsi="Tahoma"/>
        <w:color w:val="auto"/>
        <w:sz w:val="22"/>
        <w:szCs w:val="22"/>
        <w:lang w:val="en-US"/>
      </w:rPr>
    </w:pPr>
    <w:r w:rsidRPr="00975BE9">
      <w:rPr>
        <w:rFonts w:ascii="Tahoma" w:hAnsi="Tahoma"/>
        <w:color w:val="auto"/>
        <w:sz w:val="22"/>
        <w:szCs w:val="22"/>
        <w:lang w:val="en-US"/>
      </w:rPr>
      <w:t>Tels: (33-9627 1146 / 47</w:t>
    </w:r>
    <w:r w:rsidR="003E3BAC" w:rsidRPr="00975BE9">
      <w:rPr>
        <w:rFonts w:ascii="Tahoma" w:hAnsi="Tahoma"/>
        <w:color w:val="auto"/>
        <w:sz w:val="22"/>
        <w:szCs w:val="22"/>
        <w:lang w:val="en-US"/>
      </w:rPr>
      <w:t xml:space="preserve"> Skype: glori_nup</w:t>
    </w:r>
  </w:p>
  <w:p w:rsidR="003E3BAC" w:rsidRPr="00975BE9" w:rsidRDefault="003E3BAC" w:rsidP="009B6E63">
    <w:pPr>
      <w:pStyle w:val="Piedepgina"/>
      <w:jc w:val="center"/>
      <w:rPr>
        <w:rFonts w:ascii="Tahoma" w:hAnsi="Tahoma"/>
        <w:color w:val="auto"/>
        <w:sz w:val="22"/>
        <w:szCs w:val="22"/>
        <w:lang w:val="en-US"/>
      </w:rPr>
    </w:pPr>
    <w:r w:rsidRPr="00975BE9">
      <w:rPr>
        <w:rFonts w:ascii="Tahoma" w:hAnsi="Tahoma"/>
        <w:color w:val="auto"/>
        <w:sz w:val="22"/>
        <w:szCs w:val="22"/>
        <w:lang w:val="en-US"/>
      </w:rPr>
      <w:t>www.karluoperadora.com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0B" w:rsidRDefault="00C2300B" w:rsidP="00473664">
      <w:r>
        <w:separator/>
      </w:r>
    </w:p>
  </w:footnote>
  <w:footnote w:type="continuationSeparator" w:id="0">
    <w:p w:rsidR="00C2300B" w:rsidRDefault="00C2300B" w:rsidP="0047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73664"/>
    <w:rsid w:val="00003345"/>
    <w:rsid w:val="00011AD3"/>
    <w:rsid w:val="00012409"/>
    <w:rsid w:val="00016C51"/>
    <w:rsid w:val="00030514"/>
    <w:rsid w:val="00047E2D"/>
    <w:rsid w:val="00055B23"/>
    <w:rsid w:val="000847C0"/>
    <w:rsid w:val="00086263"/>
    <w:rsid w:val="000945DE"/>
    <w:rsid w:val="00095FC9"/>
    <w:rsid w:val="000A3404"/>
    <w:rsid w:val="000A5B44"/>
    <w:rsid w:val="000B6FBF"/>
    <w:rsid w:val="000C38A8"/>
    <w:rsid w:val="000D0B8F"/>
    <w:rsid w:val="000E6F7C"/>
    <w:rsid w:val="00100AC9"/>
    <w:rsid w:val="00107248"/>
    <w:rsid w:val="0011489C"/>
    <w:rsid w:val="001254AB"/>
    <w:rsid w:val="00130052"/>
    <w:rsid w:val="001307C1"/>
    <w:rsid w:val="00136324"/>
    <w:rsid w:val="001457EB"/>
    <w:rsid w:val="001523AD"/>
    <w:rsid w:val="0016170E"/>
    <w:rsid w:val="00162CBC"/>
    <w:rsid w:val="0018557F"/>
    <w:rsid w:val="001A3BE3"/>
    <w:rsid w:val="001A5E71"/>
    <w:rsid w:val="001A7000"/>
    <w:rsid w:val="001B13CE"/>
    <w:rsid w:val="001D54B0"/>
    <w:rsid w:val="001E0518"/>
    <w:rsid w:val="001E24E5"/>
    <w:rsid w:val="001F58D9"/>
    <w:rsid w:val="00203A3C"/>
    <w:rsid w:val="00234960"/>
    <w:rsid w:val="00240A76"/>
    <w:rsid w:val="00245FDF"/>
    <w:rsid w:val="00254199"/>
    <w:rsid w:val="00262B78"/>
    <w:rsid w:val="002906B7"/>
    <w:rsid w:val="00293C9A"/>
    <w:rsid w:val="002974FF"/>
    <w:rsid w:val="002A33F2"/>
    <w:rsid w:val="002A3BF9"/>
    <w:rsid w:val="002B717B"/>
    <w:rsid w:val="002C176A"/>
    <w:rsid w:val="002C5A4F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2027"/>
    <w:rsid w:val="00357753"/>
    <w:rsid w:val="00381F8F"/>
    <w:rsid w:val="00384FDB"/>
    <w:rsid w:val="003B5415"/>
    <w:rsid w:val="003E18E6"/>
    <w:rsid w:val="003E19C0"/>
    <w:rsid w:val="003E1B7D"/>
    <w:rsid w:val="003E3BAC"/>
    <w:rsid w:val="003E4F1C"/>
    <w:rsid w:val="003F2EAC"/>
    <w:rsid w:val="00410024"/>
    <w:rsid w:val="004150D7"/>
    <w:rsid w:val="00416D01"/>
    <w:rsid w:val="00440121"/>
    <w:rsid w:val="00445665"/>
    <w:rsid w:val="00451DAC"/>
    <w:rsid w:val="00457F45"/>
    <w:rsid w:val="00464AFC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D2C58"/>
    <w:rsid w:val="004D2E71"/>
    <w:rsid w:val="004F2859"/>
    <w:rsid w:val="004F5610"/>
    <w:rsid w:val="0050404C"/>
    <w:rsid w:val="00511A97"/>
    <w:rsid w:val="00512B0A"/>
    <w:rsid w:val="00521606"/>
    <w:rsid w:val="00534FB0"/>
    <w:rsid w:val="005508A6"/>
    <w:rsid w:val="00560C0A"/>
    <w:rsid w:val="00580A0C"/>
    <w:rsid w:val="00585944"/>
    <w:rsid w:val="005B7904"/>
    <w:rsid w:val="005B7B2E"/>
    <w:rsid w:val="005D047D"/>
    <w:rsid w:val="005D302C"/>
    <w:rsid w:val="005E7E19"/>
    <w:rsid w:val="005F148F"/>
    <w:rsid w:val="00601DC5"/>
    <w:rsid w:val="006155F6"/>
    <w:rsid w:val="0062585C"/>
    <w:rsid w:val="00666D73"/>
    <w:rsid w:val="00690258"/>
    <w:rsid w:val="00695286"/>
    <w:rsid w:val="00695B09"/>
    <w:rsid w:val="006A25D2"/>
    <w:rsid w:val="006A634B"/>
    <w:rsid w:val="006B46E0"/>
    <w:rsid w:val="006C0F16"/>
    <w:rsid w:val="006C1DBF"/>
    <w:rsid w:val="006C7512"/>
    <w:rsid w:val="006D1DA1"/>
    <w:rsid w:val="006F08D0"/>
    <w:rsid w:val="00710F2D"/>
    <w:rsid w:val="00733D47"/>
    <w:rsid w:val="00734777"/>
    <w:rsid w:val="00744EC8"/>
    <w:rsid w:val="007479AC"/>
    <w:rsid w:val="00753783"/>
    <w:rsid w:val="00762D3C"/>
    <w:rsid w:val="00766152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1195F"/>
    <w:rsid w:val="00825F74"/>
    <w:rsid w:val="008328E7"/>
    <w:rsid w:val="0083364B"/>
    <w:rsid w:val="00834E6F"/>
    <w:rsid w:val="00850AFF"/>
    <w:rsid w:val="008665F7"/>
    <w:rsid w:val="00866F24"/>
    <w:rsid w:val="008701AC"/>
    <w:rsid w:val="00875B4A"/>
    <w:rsid w:val="00881494"/>
    <w:rsid w:val="008A4F23"/>
    <w:rsid w:val="008C01B4"/>
    <w:rsid w:val="008C0424"/>
    <w:rsid w:val="008C05BE"/>
    <w:rsid w:val="008C2DE3"/>
    <w:rsid w:val="008D1F63"/>
    <w:rsid w:val="008F2E23"/>
    <w:rsid w:val="00905044"/>
    <w:rsid w:val="00914AEF"/>
    <w:rsid w:val="009268B8"/>
    <w:rsid w:val="00931608"/>
    <w:rsid w:val="009402A1"/>
    <w:rsid w:val="00942AD3"/>
    <w:rsid w:val="00944808"/>
    <w:rsid w:val="00951142"/>
    <w:rsid w:val="00951CE1"/>
    <w:rsid w:val="00955701"/>
    <w:rsid w:val="00963DFF"/>
    <w:rsid w:val="009707FC"/>
    <w:rsid w:val="009714EB"/>
    <w:rsid w:val="00975BE9"/>
    <w:rsid w:val="00983100"/>
    <w:rsid w:val="009947BB"/>
    <w:rsid w:val="0099556D"/>
    <w:rsid w:val="009B6E63"/>
    <w:rsid w:val="009C3972"/>
    <w:rsid w:val="009E64B9"/>
    <w:rsid w:val="009F02CC"/>
    <w:rsid w:val="009F5727"/>
    <w:rsid w:val="00A024A3"/>
    <w:rsid w:val="00A066A3"/>
    <w:rsid w:val="00A11BD7"/>
    <w:rsid w:val="00A15502"/>
    <w:rsid w:val="00A225FF"/>
    <w:rsid w:val="00A35C8B"/>
    <w:rsid w:val="00A44205"/>
    <w:rsid w:val="00A50E86"/>
    <w:rsid w:val="00A51616"/>
    <w:rsid w:val="00A60AF5"/>
    <w:rsid w:val="00A65172"/>
    <w:rsid w:val="00A66F15"/>
    <w:rsid w:val="00A700D9"/>
    <w:rsid w:val="00AA7590"/>
    <w:rsid w:val="00AB326C"/>
    <w:rsid w:val="00AC756E"/>
    <w:rsid w:val="00AD1870"/>
    <w:rsid w:val="00AF2557"/>
    <w:rsid w:val="00AF3902"/>
    <w:rsid w:val="00B024F4"/>
    <w:rsid w:val="00B07971"/>
    <w:rsid w:val="00B3042E"/>
    <w:rsid w:val="00B305A5"/>
    <w:rsid w:val="00B30F7A"/>
    <w:rsid w:val="00B544B9"/>
    <w:rsid w:val="00B54DD0"/>
    <w:rsid w:val="00B74027"/>
    <w:rsid w:val="00B80ECF"/>
    <w:rsid w:val="00B82DB9"/>
    <w:rsid w:val="00B857E0"/>
    <w:rsid w:val="00BC5872"/>
    <w:rsid w:val="00BD2F1A"/>
    <w:rsid w:val="00BE0DC7"/>
    <w:rsid w:val="00BE6397"/>
    <w:rsid w:val="00BE7736"/>
    <w:rsid w:val="00BF4FF5"/>
    <w:rsid w:val="00C2300B"/>
    <w:rsid w:val="00C36333"/>
    <w:rsid w:val="00C533C9"/>
    <w:rsid w:val="00C547E5"/>
    <w:rsid w:val="00C57077"/>
    <w:rsid w:val="00C65374"/>
    <w:rsid w:val="00C81CC6"/>
    <w:rsid w:val="00CB09F0"/>
    <w:rsid w:val="00CB61B7"/>
    <w:rsid w:val="00CE1167"/>
    <w:rsid w:val="00CE70DB"/>
    <w:rsid w:val="00CF4BD6"/>
    <w:rsid w:val="00CF7C8F"/>
    <w:rsid w:val="00D048C7"/>
    <w:rsid w:val="00D06F1F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5780"/>
    <w:rsid w:val="00E55BAE"/>
    <w:rsid w:val="00E61A82"/>
    <w:rsid w:val="00E6273B"/>
    <w:rsid w:val="00E63C54"/>
    <w:rsid w:val="00E718FC"/>
    <w:rsid w:val="00E76BEE"/>
    <w:rsid w:val="00E87F65"/>
    <w:rsid w:val="00E90543"/>
    <w:rsid w:val="00EA20D0"/>
    <w:rsid w:val="00EB3198"/>
    <w:rsid w:val="00EC6B28"/>
    <w:rsid w:val="00EC7D9C"/>
    <w:rsid w:val="00ED5401"/>
    <w:rsid w:val="00ED55BF"/>
    <w:rsid w:val="00EE32D6"/>
    <w:rsid w:val="00EE35C6"/>
    <w:rsid w:val="00F0677B"/>
    <w:rsid w:val="00F11774"/>
    <w:rsid w:val="00F12036"/>
    <w:rsid w:val="00F210BF"/>
    <w:rsid w:val="00F6154B"/>
    <w:rsid w:val="00F61AE6"/>
    <w:rsid w:val="00F84432"/>
    <w:rsid w:val="00F84610"/>
    <w:rsid w:val="00FB6995"/>
    <w:rsid w:val="00FD3D21"/>
    <w:rsid w:val="00FE611B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7E2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2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D4A9-22B3-4EB5-9907-45DBBD3F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1418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Tere Pérez</cp:lastModifiedBy>
  <cp:revision>10</cp:revision>
  <cp:lastPrinted>2020-04-24T22:55:00Z</cp:lastPrinted>
  <dcterms:created xsi:type="dcterms:W3CDTF">2020-09-25T23:37:00Z</dcterms:created>
  <dcterms:modified xsi:type="dcterms:W3CDTF">2020-10-02T21:28:00Z</dcterms:modified>
</cp:coreProperties>
</file>