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EDB98" w14:textId="142699D9" w:rsidR="00387C72" w:rsidRDefault="00B64D84" w:rsidP="00387C72">
      <w:r>
        <w:t>Szanowni i Szanowne!</w:t>
      </w:r>
    </w:p>
    <w:p w14:paraId="27E8C465" w14:textId="036A2312" w:rsidR="00B64D84" w:rsidRDefault="00B64D84" w:rsidP="00387C72">
      <w:r>
        <w:t xml:space="preserve">Poniżej znajdują się </w:t>
      </w:r>
      <w:r w:rsidRPr="0066038E">
        <w:rPr>
          <w:b/>
          <w:bCs/>
        </w:rPr>
        <w:t>uwagi do Krajowego Planu Odbudowy</w:t>
      </w:r>
      <w:r>
        <w:t xml:space="preserve"> przygotowane przez </w:t>
      </w:r>
      <w:r w:rsidR="002668EF">
        <w:t xml:space="preserve">Polską </w:t>
      </w:r>
      <w:r>
        <w:t xml:space="preserve">Federację </w:t>
      </w:r>
      <w:r w:rsidR="002668EF">
        <w:t>O</w:t>
      </w:r>
      <w:r>
        <w:t xml:space="preserve">rganizacji </w:t>
      </w:r>
      <w:r w:rsidR="002668EF">
        <w:t>R</w:t>
      </w:r>
      <w:r>
        <w:t>owerowych. Wersja dokumentu przedstawiona przez rząd pomija zupełnie rower jako środek transportu, a komponent „Zielona i inteligentna mobilność” ogranicza się w zasadzie do autobusów elektrycznych w formie, która również nie znajduje wyraźnego uzasadnienia. Zachęcamy gorąco do wysłania poniższych uwag w procesie konsultacji trwającym do 2 kwietnia. Można oczywiście modyfikować je wedle własnego uznania lub zainspirować się i napisać własne. Ważne, aby transport rowerowy jako rozwiązanie systemowe pojawił się w dokumencie, który zdefiniuje politykę publiczną na lata (podobne uwagi przesłaliśmy do projektu Umowy Partnerstwa d</w:t>
      </w:r>
      <w:r w:rsidR="002668EF">
        <w:t>o</w:t>
      </w:r>
      <w:r>
        <w:t xml:space="preserve"> 2027 roku). Według zaleceń Komisji Europejskiej plan powinien wspierać reformy systemowe, a nie stanowić zbiór życzeń i zakupów. To szansa na wyniesienie polityki zrównoważonej mobilności na nowy poziom. </w:t>
      </w:r>
    </w:p>
    <w:p w14:paraId="7854D1F4" w14:textId="77777777" w:rsidR="0066038E" w:rsidRDefault="0066038E" w:rsidP="00387C72">
      <w:r>
        <w:t xml:space="preserve">Instrukcja. </w:t>
      </w:r>
      <w:r w:rsidRPr="0066038E">
        <w:rPr>
          <w:b/>
          <w:bCs/>
        </w:rPr>
        <w:t>Uwagi składa się przez formularz internetowy, nie przez e-mail.</w:t>
      </w:r>
      <w:r>
        <w:t xml:space="preserve"> </w:t>
      </w:r>
    </w:p>
    <w:p w14:paraId="6B273C1A" w14:textId="1F5A700B" w:rsidR="0066038E" w:rsidRDefault="0066038E" w:rsidP="0066038E">
      <w:pPr>
        <w:pStyle w:val="Akapitzlist"/>
        <w:numPr>
          <w:ilvl w:val="0"/>
          <w:numId w:val="26"/>
        </w:numPr>
      </w:pPr>
      <w:r>
        <w:t xml:space="preserve">Należy wejść na stronę: </w:t>
      </w:r>
      <w:hyperlink r:id="rId6" w:history="1">
        <w:r w:rsidRPr="00372FC5">
          <w:rPr>
            <w:rStyle w:val="Hipercze"/>
          </w:rPr>
          <w:t>https://www.funduszeeuropejskie.gov.pl/strony/formularz-zglaszania-uwag-do-kpo-1/</w:t>
        </w:r>
      </w:hyperlink>
    </w:p>
    <w:p w14:paraId="6B890B1E" w14:textId="076F69A1" w:rsidR="0066038E" w:rsidRDefault="0066038E" w:rsidP="0066038E">
      <w:pPr>
        <w:pStyle w:val="Akapitzlist"/>
        <w:numPr>
          <w:ilvl w:val="0"/>
          <w:numId w:val="26"/>
        </w:numPr>
      </w:pPr>
      <w:r w:rsidRPr="0066038E">
        <w:rPr>
          <w:b/>
          <w:bCs/>
        </w:rPr>
        <w:t>Pierwszych 12 uwag</w:t>
      </w:r>
      <w:r>
        <w:t xml:space="preserve"> należy wkleić osobno w formularz wybierając z listy rozwijanej </w:t>
      </w:r>
      <w:r w:rsidRPr="0066038E">
        <w:t>Komponent E „Zielona, inteligentna mobilność”</w:t>
      </w:r>
      <w:r>
        <w:t xml:space="preserve"> i podając numery stron</w:t>
      </w:r>
    </w:p>
    <w:p w14:paraId="5833E88E" w14:textId="6C7AD380" w:rsidR="0066038E" w:rsidRDefault="0066038E" w:rsidP="0066038E">
      <w:pPr>
        <w:pStyle w:val="Akapitzlist"/>
        <w:numPr>
          <w:ilvl w:val="0"/>
          <w:numId w:val="26"/>
        </w:numPr>
      </w:pPr>
      <w:r w:rsidRPr="0066038E">
        <w:rPr>
          <w:b/>
          <w:bCs/>
        </w:rPr>
        <w:t>Pozostałe 9 uwag</w:t>
      </w:r>
      <w:r>
        <w:t>, ze względu na nagłą zmianę w formularzu (brak możliwości zgłoszenia uwag do cz. 1) należy zgłosić jako uwagi ogólne, czyli do części Treść uwagi przekopiować „Część KPO” wraz ze stronami oraz „Treść uwagi”, a „Uzasadnienie” do odpowiedniej komórki w formularzu</w:t>
      </w:r>
    </w:p>
    <w:p w14:paraId="3F10B63C" w14:textId="6102365B" w:rsidR="0066038E" w:rsidRDefault="0066038E" w:rsidP="0066038E">
      <w:r>
        <w:t xml:space="preserve">Tak, nie jest to system przyjazny użytkownikami, ale to tylko 30 min, które mogą zmienić świat!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8EB5C16" w14:textId="739FA9AE" w:rsidR="0066038E" w:rsidRDefault="0066038E" w:rsidP="00387C72"/>
    <w:p w14:paraId="4F3D744B" w14:textId="0AA73AFC" w:rsidR="0066038E" w:rsidRPr="0066038E" w:rsidRDefault="0066038E" w:rsidP="00387C72">
      <w:pPr>
        <w:rPr>
          <w:b/>
          <w:bCs/>
        </w:rPr>
      </w:pPr>
      <w:r w:rsidRPr="0066038E">
        <w:rPr>
          <w:b/>
          <w:bCs/>
        </w:rPr>
        <w:t xml:space="preserve">UWAGA KLUCZOWA </w:t>
      </w:r>
      <w:r>
        <w:rPr>
          <w:b/>
          <w:bCs/>
        </w:rPr>
        <w:t>– jeśli brakuje Wam czasu, prześlijcie przynajmniej tą!</w:t>
      </w:r>
    </w:p>
    <w:tbl>
      <w:tblPr>
        <w:tblStyle w:val="Tabela-Siatka"/>
        <w:tblW w:w="0" w:type="auto"/>
        <w:shd w:val="clear" w:color="auto" w:fill="FFFF00"/>
        <w:tblLook w:val="04A0" w:firstRow="1" w:lastRow="0" w:firstColumn="1" w:lastColumn="0" w:noHBand="0" w:noVBand="1"/>
      </w:tblPr>
      <w:tblGrid>
        <w:gridCol w:w="686"/>
        <w:gridCol w:w="2003"/>
        <w:gridCol w:w="11198"/>
      </w:tblGrid>
      <w:tr w:rsidR="0066038E" w:rsidRPr="009667DE" w14:paraId="62914BD8" w14:textId="77777777" w:rsidTr="003C5D5D">
        <w:tc>
          <w:tcPr>
            <w:tcW w:w="686" w:type="dxa"/>
            <w:shd w:val="clear" w:color="auto" w:fill="FFFF00"/>
          </w:tcPr>
          <w:p w14:paraId="2590B86C" w14:textId="77777777" w:rsidR="0066038E" w:rsidRPr="0066038E" w:rsidRDefault="0066038E" w:rsidP="003C5D5D">
            <w:proofErr w:type="spellStart"/>
            <w:r w:rsidRPr="0066038E">
              <w:t>Lp</w:t>
            </w:r>
            <w:proofErr w:type="spellEnd"/>
          </w:p>
        </w:tc>
        <w:tc>
          <w:tcPr>
            <w:tcW w:w="2003" w:type="dxa"/>
            <w:shd w:val="clear" w:color="auto" w:fill="FFFF00"/>
          </w:tcPr>
          <w:p w14:paraId="3BFFD097" w14:textId="77777777" w:rsidR="0066038E" w:rsidRPr="0066038E" w:rsidRDefault="0066038E" w:rsidP="003C5D5D">
            <w:r w:rsidRPr="0066038E">
              <w:t>Pole formularza</w:t>
            </w:r>
          </w:p>
        </w:tc>
        <w:tc>
          <w:tcPr>
            <w:tcW w:w="11198" w:type="dxa"/>
            <w:shd w:val="clear" w:color="auto" w:fill="FFFF00"/>
          </w:tcPr>
          <w:p w14:paraId="5FF20406" w14:textId="77777777" w:rsidR="0066038E" w:rsidRPr="0066038E" w:rsidRDefault="0066038E" w:rsidP="003C5D5D">
            <w:r w:rsidRPr="0066038E">
              <w:t>Treść</w:t>
            </w:r>
          </w:p>
        </w:tc>
      </w:tr>
      <w:tr w:rsidR="0066038E" w:rsidRPr="009667DE" w14:paraId="3BBC30FE" w14:textId="77777777" w:rsidTr="003C5D5D">
        <w:tc>
          <w:tcPr>
            <w:tcW w:w="686" w:type="dxa"/>
            <w:shd w:val="clear" w:color="auto" w:fill="FFFF00"/>
          </w:tcPr>
          <w:p w14:paraId="7B178C5C" w14:textId="77777777" w:rsidR="0066038E" w:rsidRPr="0066038E" w:rsidRDefault="0066038E" w:rsidP="003C5D5D">
            <w:pPr>
              <w:pStyle w:val="Akapitzlist"/>
              <w:numPr>
                <w:ilvl w:val="0"/>
                <w:numId w:val="20"/>
              </w:numPr>
            </w:pPr>
          </w:p>
        </w:tc>
        <w:tc>
          <w:tcPr>
            <w:tcW w:w="2003" w:type="dxa"/>
            <w:shd w:val="clear" w:color="auto" w:fill="FFFF00"/>
          </w:tcPr>
          <w:p w14:paraId="51709F08" w14:textId="77777777" w:rsidR="0066038E" w:rsidRPr="0066038E" w:rsidRDefault="0066038E" w:rsidP="003C5D5D">
            <w:r w:rsidRPr="0066038E">
              <w:t>Imię</w:t>
            </w:r>
          </w:p>
        </w:tc>
        <w:tc>
          <w:tcPr>
            <w:tcW w:w="11198" w:type="dxa"/>
            <w:shd w:val="clear" w:color="auto" w:fill="FFFF00"/>
          </w:tcPr>
          <w:p w14:paraId="6891C840" w14:textId="77777777" w:rsidR="0066038E" w:rsidRPr="0066038E" w:rsidRDefault="0066038E" w:rsidP="003C5D5D"/>
        </w:tc>
      </w:tr>
      <w:tr w:rsidR="0066038E" w:rsidRPr="009667DE" w14:paraId="2BC96A30" w14:textId="77777777" w:rsidTr="003C5D5D">
        <w:tc>
          <w:tcPr>
            <w:tcW w:w="686" w:type="dxa"/>
            <w:shd w:val="clear" w:color="auto" w:fill="FFFF00"/>
          </w:tcPr>
          <w:p w14:paraId="3DB04FC6" w14:textId="77777777" w:rsidR="0066038E" w:rsidRPr="0066038E" w:rsidRDefault="0066038E" w:rsidP="003C5D5D">
            <w:pPr>
              <w:pStyle w:val="Akapitzlist"/>
              <w:numPr>
                <w:ilvl w:val="0"/>
                <w:numId w:val="20"/>
              </w:numPr>
            </w:pPr>
          </w:p>
        </w:tc>
        <w:tc>
          <w:tcPr>
            <w:tcW w:w="2003" w:type="dxa"/>
            <w:shd w:val="clear" w:color="auto" w:fill="FFFF00"/>
          </w:tcPr>
          <w:p w14:paraId="2FF12E0E" w14:textId="77777777" w:rsidR="0066038E" w:rsidRPr="0066038E" w:rsidRDefault="0066038E" w:rsidP="003C5D5D">
            <w:r w:rsidRPr="0066038E">
              <w:t>Nazwisko</w:t>
            </w:r>
          </w:p>
        </w:tc>
        <w:tc>
          <w:tcPr>
            <w:tcW w:w="11198" w:type="dxa"/>
            <w:shd w:val="clear" w:color="auto" w:fill="FFFF00"/>
          </w:tcPr>
          <w:p w14:paraId="5280A1BB" w14:textId="77777777" w:rsidR="0066038E" w:rsidRPr="0066038E" w:rsidRDefault="0066038E" w:rsidP="003C5D5D"/>
        </w:tc>
      </w:tr>
      <w:tr w:rsidR="0066038E" w:rsidRPr="009667DE" w14:paraId="12434D66" w14:textId="77777777" w:rsidTr="003C5D5D">
        <w:tc>
          <w:tcPr>
            <w:tcW w:w="686" w:type="dxa"/>
            <w:shd w:val="clear" w:color="auto" w:fill="FFFF00"/>
          </w:tcPr>
          <w:p w14:paraId="68FB7273" w14:textId="77777777" w:rsidR="0066038E" w:rsidRPr="0066038E" w:rsidRDefault="0066038E" w:rsidP="003C5D5D">
            <w:pPr>
              <w:pStyle w:val="Akapitzlist"/>
              <w:numPr>
                <w:ilvl w:val="0"/>
                <w:numId w:val="20"/>
              </w:numPr>
            </w:pPr>
          </w:p>
        </w:tc>
        <w:tc>
          <w:tcPr>
            <w:tcW w:w="2003" w:type="dxa"/>
            <w:shd w:val="clear" w:color="auto" w:fill="FFFF00"/>
          </w:tcPr>
          <w:p w14:paraId="11629CC4" w14:textId="77777777" w:rsidR="0066038E" w:rsidRPr="0066038E" w:rsidRDefault="0066038E" w:rsidP="003C5D5D">
            <w:r w:rsidRPr="0066038E">
              <w:t>Instytucja</w:t>
            </w:r>
          </w:p>
        </w:tc>
        <w:tc>
          <w:tcPr>
            <w:tcW w:w="11198" w:type="dxa"/>
            <w:shd w:val="clear" w:color="auto" w:fill="FFFF00"/>
          </w:tcPr>
          <w:p w14:paraId="0F24CFC4" w14:textId="77777777" w:rsidR="0066038E" w:rsidRPr="0066038E" w:rsidRDefault="0066038E" w:rsidP="003C5D5D"/>
        </w:tc>
      </w:tr>
      <w:tr w:rsidR="0066038E" w:rsidRPr="009667DE" w14:paraId="21BFDAC3" w14:textId="77777777" w:rsidTr="003C5D5D">
        <w:tc>
          <w:tcPr>
            <w:tcW w:w="686" w:type="dxa"/>
            <w:shd w:val="clear" w:color="auto" w:fill="FFFF00"/>
          </w:tcPr>
          <w:p w14:paraId="3AFD0890" w14:textId="77777777" w:rsidR="0066038E" w:rsidRPr="0066038E" w:rsidRDefault="0066038E" w:rsidP="003C5D5D">
            <w:pPr>
              <w:pStyle w:val="Akapitzlist"/>
              <w:numPr>
                <w:ilvl w:val="0"/>
                <w:numId w:val="20"/>
              </w:numPr>
            </w:pPr>
          </w:p>
        </w:tc>
        <w:tc>
          <w:tcPr>
            <w:tcW w:w="2003" w:type="dxa"/>
            <w:shd w:val="clear" w:color="auto" w:fill="FFFF00"/>
          </w:tcPr>
          <w:p w14:paraId="183E533B" w14:textId="77777777" w:rsidR="0066038E" w:rsidRPr="0066038E" w:rsidRDefault="0066038E" w:rsidP="003C5D5D">
            <w:r w:rsidRPr="0066038E">
              <w:t>Województwo</w:t>
            </w:r>
          </w:p>
        </w:tc>
        <w:tc>
          <w:tcPr>
            <w:tcW w:w="11198" w:type="dxa"/>
            <w:shd w:val="clear" w:color="auto" w:fill="FFFF00"/>
          </w:tcPr>
          <w:p w14:paraId="2A0BCCE3" w14:textId="77777777" w:rsidR="0066038E" w:rsidRPr="0066038E" w:rsidRDefault="0066038E" w:rsidP="003C5D5D"/>
        </w:tc>
      </w:tr>
      <w:tr w:rsidR="0066038E" w:rsidRPr="009667DE" w14:paraId="76C2CF79" w14:textId="77777777" w:rsidTr="003C5D5D">
        <w:tc>
          <w:tcPr>
            <w:tcW w:w="686" w:type="dxa"/>
            <w:shd w:val="clear" w:color="auto" w:fill="FFFF00"/>
          </w:tcPr>
          <w:p w14:paraId="58382A74" w14:textId="77777777" w:rsidR="0066038E" w:rsidRPr="0066038E" w:rsidRDefault="0066038E" w:rsidP="003C5D5D">
            <w:pPr>
              <w:pStyle w:val="Akapitzlist"/>
              <w:numPr>
                <w:ilvl w:val="0"/>
                <w:numId w:val="20"/>
              </w:numPr>
            </w:pPr>
          </w:p>
        </w:tc>
        <w:tc>
          <w:tcPr>
            <w:tcW w:w="2003" w:type="dxa"/>
            <w:shd w:val="clear" w:color="auto" w:fill="FFFF00"/>
          </w:tcPr>
          <w:p w14:paraId="7DC18625" w14:textId="77777777" w:rsidR="0066038E" w:rsidRPr="0066038E" w:rsidRDefault="0066038E" w:rsidP="003C5D5D">
            <w:r w:rsidRPr="0066038E">
              <w:t>Część KPO</w:t>
            </w:r>
          </w:p>
        </w:tc>
        <w:tc>
          <w:tcPr>
            <w:tcW w:w="11198" w:type="dxa"/>
            <w:shd w:val="clear" w:color="auto" w:fill="FFFF00"/>
          </w:tcPr>
          <w:p w14:paraId="044429C3" w14:textId="77777777" w:rsidR="0066038E" w:rsidRPr="0066038E" w:rsidRDefault="0066038E" w:rsidP="003C5D5D">
            <w:r w:rsidRPr="0066038E">
              <w:t>Komponent E „Zielona, inteligentna mobilność”</w:t>
            </w:r>
          </w:p>
          <w:p w14:paraId="4602DC1B" w14:textId="77777777" w:rsidR="0066038E" w:rsidRPr="0066038E" w:rsidRDefault="0066038E" w:rsidP="003C5D5D">
            <w:pPr>
              <w:pStyle w:val="Default"/>
              <w:rPr>
                <w:color w:val="auto"/>
              </w:rPr>
            </w:pPr>
            <w:r w:rsidRPr="0066038E">
              <w:rPr>
                <w:color w:val="auto"/>
                <w:sz w:val="22"/>
                <w:szCs w:val="22"/>
              </w:rPr>
              <w:t xml:space="preserve">3. Opis Reform i Inwestycji, opis reform a. Reformy, Reforma E1.1. Wzrost wykorzystania transportu przyjaznego dla środowiska, pkt. </w:t>
            </w:r>
            <w:r w:rsidRPr="0066038E">
              <w:rPr>
                <w:color w:val="auto"/>
              </w:rPr>
              <w:t>b. Inwestycje</w:t>
            </w:r>
          </w:p>
        </w:tc>
      </w:tr>
      <w:tr w:rsidR="0066038E" w:rsidRPr="009667DE" w14:paraId="3D894569" w14:textId="77777777" w:rsidTr="003C5D5D">
        <w:tc>
          <w:tcPr>
            <w:tcW w:w="686" w:type="dxa"/>
            <w:shd w:val="clear" w:color="auto" w:fill="FFFF00"/>
          </w:tcPr>
          <w:p w14:paraId="2A9E42BB" w14:textId="77777777" w:rsidR="0066038E" w:rsidRPr="0066038E" w:rsidRDefault="0066038E" w:rsidP="003C5D5D">
            <w:pPr>
              <w:pStyle w:val="Akapitzlist"/>
              <w:numPr>
                <w:ilvl w:val="0"/>
                <w:numId w:val="20"/>
              </w:numPr>
            </w:pPr>
          </w:p>
        </w:tc>
        <w:tc>
          <w:tcPr>
            <w:tcW w:w="2003" w:type="dxa"/>
            <w:shd w:val="clear" w:color="auto" w:fill="FFFF00"/>
          </w:tcPr>
          <w:p w14:paraId="1472B775" w14:textId="77777777" w:rsidR="0066038E" w:rsidRPr="0066038E" w:rsidRDefault="0066038E" w:rsidP="003C5D5D">
            <w:r w:rsidRPr="0066038E">
              <w:t>Strona</w:t>
            </w:r>
          </w:p>
        </w:tc>
        <w:tc>
          <w:tcPr>
            <w:tcW w:w="11198" w:type="dxa"/>
            <w:shd w:val="clear" w:color="auto" w:fill="FFFF00"/>
          </w:tcPr>
          <w:p w14:paraId="0FF4CDD6" w14:textId="77777777" w:rsidR="0066038E" w:rsidRPr="0066038E" w:rsidRDefault="0066038E" w:rsidP="003C5D5D">
            <w:r w:rsidRPr="0066038E">
              <w:t>206</w:t>
            </w:r>
          </w:p>
        </w:tc>
      </w:tr>
      <w:tr w:rsidR="0066038E" w:rsidRPr="009667DE" w14:paraId="4A1ECAF8" w14:textId="77777777" w:rsidTr="003C5D5D">
        <w:tc>
          <w:tcPr>
            <w:tcW w:w="686" w:type="dxa"/>
            <w:shd w:val="clear" w:color="auto" w:fill="FFFF00"/>
          </w:tcPr>
          <w:p w14:paraId="5638AF99" w14:textId="77777777" w:rsidR="0066038E" w:rsidRPr="0066038E" w:rsidRDefault="0066038E" w:rsidP="003C5D5D">
            <w:pPr>
              <w:pStyle w:val="Akapitzlist"/>
              <w:numPr>
                <w:ilvl w:val="0"/>
                <w:numId w:val="20"/>
              </w:numPr>
            </w:pPr>
          </w:p>
        </w:tc>
        <w:tc>
          <w:tcPr>
            <w:tcW w:w="2003" w:type="dxa"/>
            <w:shd w:val="clear" w:color="auto" w:fill="FFFF00"/>
          </w:tcPr>
          <w:p w14:paraId="57B57458" w14:textId="77777777" w:rsidR="0066038E" w:rsidRPr="0066038E" w:rsidRDefault="0066038E" w:rsidP="003C5D5D">
            <w:r w:rsidRPr="0066038E">
              <w:t>Treść Uwagi</w:t>
            </w:r>
          </w:p>
        </w:tc>
        <w:tc>
          <w:tcPr>
            <w:tcW w:w="11198" w:type="dxa"/>
            <w:shd w:val="clear" w:color="auto" w:fill="FFFF00"/>
          </w:tcPr>
          <w:p w14:paraId="673D4628"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Dodanie wiązki inwestycji E1.1.3 „Dodanie tzw. wiązki inwestycji E1.1.3 „Wsparcie rozwoju infrastruktury rowerowej”</w:t>
            </w:r>
          </w:p>
          <w:p w14:paraId="34B965D7" w14:textId="77777777" w:rsidR="0066038E" w:rsidRPr="0066038E" w:rsidRDefault="0066038E" w:rsidP="003C5D5D">
            <w:pPr>
              <w:autoSpaceDE w:val="0"/>
              <w:autoSpaceDN w:val="0"/>
              <w:adjustRightInd w:val="0"/>
              <w:rPr>
                <w:rFonts w:ascii="Calibri" w:hAnsi="Calibri" w:cs="Calibri"/>
              </w:rPr>
            </w:pPr>
          </w:p>
          <w:p w14:paraId="4784C5DE" w14:textId="77777777" w:rsidR="0066038E" w:rsidRPr="0066038E" w:rsidRDefault="0066038E" w:rsidP="003C5D5D">
            <w:pPr>
              <w:autoSpaceDE w:val="0"/>
              <w:autoSpaceDN w:val="0"/>
              <w:adjustRightInd w:val="0"/>
            </w:pPr>
            <w:r w:rsidRPr="0066038E">
              <w:t xml:space="preserve">Wyzwania </w:t>
            </w:r>
            <w:r w:rsidRPr="0066038E">
              <w:rPr>
                <w:i/>
                <w:iCs/>
              </w:rPr>
              <w:t>(</w:t>
            </w:r>
            <w:proofErr w:type="spellStart"/>
            <w:r w:rsidRPr="0066038E">
              <w:rPr>
                <w:i/>
                <w:iCs/>
              </w:rPr>
              <w:t>Challenges</w:t>
            </w:r>
            <w:proofErr w:type="spellEnd"/>
            <w:r w:rsidRPr="0066038E">
              <w:rPr>
                <w:i/>
                <w:iCs/>
              </w:rPr>
              <w:t>)</w:t>
            </w:r>
            <w:r w:rsidRPr="0066038E">
              <w:t>:</w:t>
            </w:r>
          </w:p>
          <w:p w14:paraId="4BA7AA8B" w14:textId="77777777" w:rsidR="0066038E" w:rsidRPr="0066038E" w:rsidRDefault="0066038E" w:rsidP="003C5D5D">
            <w:pPr>
              <w:autoSpaceDE w:val="0"/>
              <w:autoSpaceDN w:val="0"/>
              <w:adjustRightInd w:val="0"/>
            </w:pPr>
            <w:r w:rsidRPr="0066038E">
              <w:t xml:space="preserve">Wyzwaniem w tym zakresie jest znaczne zwiększenie skali i tempa działań zmierzających do zwiększenia udziału pojazdów zasilanych paliwami alternatywnymi oraz rowerów, m.in. poprzez wsparcie działań zwiększających dostępność pojazdów zasilanych paliwami alternatywnymi, rozbudowę infrastruktury ładowania, wymianę autobusów na zero- i nisko- emisyjne oraz umożliwienie wprowadzania stref zeroemisyjnych w miastach. </w:t>
            </w:r>
          </w:p>
          <w:p w14:paraId="7A46689D" w14:textId="77777777" w:rsidR="0066038E" w:rsidRPr="0066038E" w:rsidRDefault="0066038E" w:rsidP="003C5D5D">
            <w:pPr>
              <w:autoSpaceDE w:val="0"/>
              <w:autoSpaceDN w:val="0"/>
              <w:adjustRightInd w:val="0"/>
              <w:rPr>
                <w:rFonts w:ascii="Calibri" w:hAnsi="Calibri" w:cs="Calibri"/>
              </w:rPr>
            </w:pPr>
          </w:p>
          <w:p w14:paraId="7A28523B"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 xml:space="preserve">Jednocześnie polskie miasta nie posiadają spójnych systemów tras rowerowych, co nie pozwala na pełny rozwój potencjału z zakresie transportu rowerowego będącego w pełni zero-emisyjnym środkiem transportu. Miasta liderujące pod względem udziału ruchu rowerowego w podróżach osiągają poziom ok. 7%, w czasie, gdy potencjał (pod w warunkiem powstania w miastach funkcjonalnego systemu tras) można szacować na poziom ok. 15-20% (na podstawie zbliżonych uwarunkowaniami miasto wschodnio niemieckich). Skokowy wzrost zainteresowania transportem rowerowym w sytuacji pandemii udowodnił odporność tego środka transportu na kolejne fale pandemii. Wyzwaniem w tym zakresie jest zwiększenie udziału rowerów w transporcie. </w:t>
            </w:r>
          </w:p>
          <w:p w14:paraId="77E7A3BB" w14:textId="77777777" w:rsidR="0066038E" w:rsidRPr="0066038E" w:rsidRDefault="0066038E" w:rsidP="003C5D5D">
            <w:pPr>
              <w:autoSpaceDE w:val="0"/>
              <w:autoSpaceDN w:val="0"/>
              <w:adjustRightInd w:val="0"/>
              <w:rPr>
                <w:rFonts w:ascii="Calibri" w:hAnsi="Calibri" w:cs="Calibri"/>
              </w:rPr>
            </w:pPr>
          </w:p>
          <w:p w14:paraId="0C813858" w14:textId="77777777" w:rsidR="0066038E" w:rsidRPr="0066038E" w:rsidRDefault="0066038E" w:rsidP="003C5D5D">
            <w:r w:rsidRPr="0066038E">
              <w:t>Warto również zwrócić uwagę na gwałtowny wzrost rynku handlu internetowego oraz konsolidację silnego rynku logistycznego, która wytwarza rosnącą presję na ruch w miastach – w metropoliach udział ruchu dostawczego w ruchu kołowym stale wzrasta. Zgodnie z zaleceniami europejskimi należy poszukiwać alternatywnych sposobów na zaspokajanie potrzeb logistycznych w miastach, w tym poprzez promocję i ułatwienie korzystania z lekkich pojazdów elektrycznych oraz wspomaganych elektrycznie rowerów towarowych, tak przez małe jak i duże firmy lub instytucje w logistyce tzw. ostatniej mili.</w:t>
            </w:r>
          </w:p>
          <w:p w14:paraId="545B41BD" w14:textId="77777777" w:rsidR="0066038E" w:rsidRPr="0066038E" w:rsidRDefault="0066038E" w:rsidP="003C5D5D">
            <w:pPr>
              <w:autoSpaceDE w:val="0"/>
              <w:autoSpaceDN w:val="0"/>
              <w:adjustRightInd w:val="0"/>
              <w:rPr>
                <w:rFonts w:ascii="Calibri" w:hAnsi="Calibri" w:cs="Calibri"/>
              </w:rPr>
            </w:pPr>
          </w:p>
          <w:p w14:paraId="4BF5CB39" w14:textId="77777777" w:rsidR="0066038E" w:rsidRPr="0066038E" w:rsidRDefault="0066038E" w:rsidP="003C5D5D">
            <w:pPr>
              <w:autoSpaceDE w:val="0"/>
              <w:autoSpaceDN w:val="0"/>
              <w:adjustRightInd w:val="0"/>
            </w:pPr>
            <w:r w:rsidRPr="0066038E">
              <w:t xml:space="preserve">Cel </w:t>
            </w:r>
            <w:r w:rsidRPr="0066038E">
              <w:rPr>
                <w:i/>
                <w:iCs/>
              </w:rPr>
              <w:t>(</w:t>
            </w:r>
            <w:proofErr w:type="spellStart"/>
            <w:r w:rsidRPr="0066038E">
              <w:rPr>
                <w:i/>
                <w:iCs/>
              </w:rPr>
              <w:t>Objective</w:t>
            </w:r>
            <w:proofErr w:type="spellEnd"/>
            <w:r w:rsidRPr="0066038E">
              <w:rPr>
                <w:i/>
                <w:iCs/>
              </w:rPr>
              <w:t>)</w:t>
            </w:r>
            <w:r w:rsidRPr="0066038E">
              <w:t xml:space="preserve">: </w:t>
            </w:r>
          </w:p>
          <w:p w14:paraId="2F822233"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Zwiększenie udziału rowerów w transporcie. Cel zostanie osiągnięty poprzez zwiększenie długości i spójności sieci dróg rowerowych w taki sposób, aby podróż rowerem była uznawana za bezpieczną, wygodną i efektywną.</w:t>
            </w:r>
            <w:r w:rsidRPr="0066038E">
              <w:t xml:space="preserve"> Przewiduje się, że w perspektywie do 2026 r. wzrośnie liczba długość i spójność systemy dróg rowerowych w miastach i na obszarach funkcjonalnych. Jednocześnie zakłada się wsparcie zakupu rowerów towarowych dla odbiorców indywidualnych i przedsiębiorców celem realizacji dostaw na tzw. ostatniej mili transportem zeroemisyjnym. Wprowadzenie powyższych rozwiązań skutkować będzie znaczną redukcją rocznej emisji CO</w:t>
            </w:r>
            <w:r w:rsidRPr="0066038E">
              <w:rPr>
                <w:sz w:val="14"/>
                <w:szCs w:val="14"/>
              </w:rPr>
              <w:t>2.</w:t>
            </w:r>
          </w:p>
          <w:p w14:paraId="2E66C5DC" w14:textId="77777777" w:rsidR="0066038E" w:rsidRPr="0066038E" w:rsidRDefault="0066038E" w:rsidP="003C5D5D">
            <w:pPr>
              <w:autoSpaceDE w:val="0"/>
              <w:autoSpaceDN w:val="0"/>
              <w:adjustRightInd w:val="0"/>
              <w:rPr>
                <w:rFonts w:ascii="Calibri" w:hAnsi="Calibri" w:cs="Calibri"/>
              </w:rPr>
            </w:pPr>
          </w:p>
          <w:p w14:paraId="37C15FC4" w14:textId="77777777" w:rsidR="0066038E" w:rsidRPr="0066038E" w:rsidRDefault="0066038E" w:rsidP="003C5D5D">
            <w:pPr>
              <w:autoSpaceDE w:val="0"/>
              <w:autoSpaceDN w:val="0"/>
              <w:adjustRightInd w:val="0"/>
              <w:rPr>
                <w:lang w:val="en-GB"/>
              </w:rPr>
            </w:pPr>
            <w:proofErr w:type="spellStart"/>
            <w:r w:rsidRPr="0066038E">
              <w:rPr>
                <w:lang w:val="en-GB"/>
              </w:rPr>
              <w:t>Charakterystyka</w:t>
            </w:r>
            <w:proofErr w:type="spellEnd"/>
            <w:r w:rsidRPr="0066038E">
              <w:rPr>
                <w:lang w:val="en-GB"/>
              </w:rPr>
              <w:t xml:space="preserve"> </w:t>
            </w:r>
            <w:r w:rsidRPr="0066038E">
              <w:rPr>
                <w:i/>
                <w:iCs/>
                <w:lang w:val="en-GB"/>
              </w:rPr>
              <w:t>(Nature, type, size of investment)</w:t>
            </w:r>
            <w:r w:rsidRPr="0066038E">
              <w:rPr>
                <w:lang w:val="en-GB"/>
              </w:rPr>
              <w:t>:</w:t>
            </w:r>
          </w:p>
          <w:p w14:paraId="1083A9B0" w14:textId="77777777" w:rsidR="0066038E" w:rsidRPr="0066038E" w:rsidRDefault="0066038E" w:rsidP="003C5D5D">
            <w:pPr>
              <w:autoSpaceDE w:val="0"/>
              <w:autoSpaceDN w:val="0"/>
              <w:adjustRightInd w:val="0"/>
            </w:pPr>
            <w:r w:rsidRPr="0066038E">
              <w:lastRenderedPageBreak/>
              <w:t xml:space="preserve">Realizowane będą związane z rozbudową infrastruktury rowerowej, tj. samodzielnych dróg rowerowych, dróg rowerowych towarzyszących inwestycjom drogowym, parkingów rowerowych, ciągów pieszo-rowerowych. Planuje się budowę dróg rowerowych, które umożliwią mieszkańcom przemieszczanie się rowerem w sposób wygodny, bezpieczny i efektywny. </w:t>
            </w:r>
          </w:p>
          <w:p w14:paraId="2611835B" w14:textId="77777777" w:rsidR="0066038E" w:rsidRPr="0066038E" w:rsidRDefault="0066038E" w:rsidP="003C5D5D">
            <w:pPr>
              <w:autoSpaceDE w:val="0"/>
              <w:autoSpaceDN w:val="0"/>
              <w:adjustRightInd w:val="0"/>
            </w:pPr>
          </w:p>
          <w:p w14:paraId="08E8F94D" w14:textId="77777777" w:rsidR="0066038E" w:rsidRPr="0066038E" w:rsidRDefault="0066038E" w:rsidP="003C5D5D">
            <w:pPr>
              <w:autoSpaceDE w:val="0"/>
              <w:autoSpaceDN w:val="0"/>
              <w:adjustRightInd w:val="0"/>
            </w:pPr>
            <w:r w:rsidRPr="0066038E">
              <w:rPr>
                <w:rFonts w:ascii="Calibri" w:hAnsi="Calibri" w:cs="Calibri"/>
              </w:rPr>
              <w:t xml:space="preserve">Rozbudowie sieci dróg rowerowych będzie towarzyszyć budowa infrastruktury integrującej rower z innymi środkami transportu (kolej, miejski i regionalny transport zbiorowy) w postaci parkingów lub </w:t>
            </w:r>
            <w:proofErr w:type="spellStart"/>
            <w:r w:rsidRPr="0066038E">
              <w:rPr>
                <w:rFonts w:ascii="Calibri" w:hAnsi="Calibri" w:cs="Calibri"/>
              </w:rPr>
              <w:t>boxów</w:t>
            </w:r>
            <w:proofErr w:type="spellEnd"/>
            <w:r w:rsidRPr="0066038E">
              <w:rPr>
                <w:rFonts w:ascii="Calibri" w:hAnsi="Calibri" w:cs="Calibri"/>
              </w:rPr>
              <w:t xml:space="preserve"> rowerowych w punktach węzłowych. Powstała synergia umożliwi z inwestycjami rozwijającymi transport publiczny pozwoli na stworzenie zeroemisyjnej i bezpiecznej w kontekście pandemii alternatywy dla samochodów indywidualnych. Efektem działań będzie upowszechnienie roweru jako środka transportu, co pozwoli na poprawę jakości powietrza w szczególności w miastach i ich obszarach funkcjonalnych, a zatem miejscach szczególnie narażonych na występowanie tzw. smogu fotochemicznego pochodzącego ze spalania paliw i pylenia części eksploatacyjnych.</w:t>
            </w:r>
          </w:p>
          <w:p w14:paraId="6CB0BE23" w14:textId="77777777" w:rsidR="0066038E" w:rsidRPr="0066038E" w:rsidRDefault="0066038E" w:rsidP="003C5D5D">
            <w:pPr>
              <w:autoSpaceDE w:val="0"/>
              <w:autoSpaceDN w:val="0"/>
              <w:adjustRightInd w:val="0"/>
              <w:rPr>
                <w:rFonts w:ascii="Calibri" w:hAnsi="Calibri" w:cs="Calibri"/>
              </w:rPr>
            </w:pPr>
          </w:p>
          <w:p w14:paraId="537B2346" w14:textId="77777777" w:rsidR="0066038E" w:rsidRPr="0066038E" w:rsidRDefault="0066038E" w:rsidP="003C5D5D">
            <w:pPr>
              <w:pStyle w:val="Default"/>
              <w:rPr>
                <w:color w:val="auto"/>
                <w:sz w:val="22"/>
                <w:szCs w:val="22"/>
              </w:rPr>
            </w:pPr>
            <w:r w:rsidRPr="0066038E">
              <w:rPr>
                <w:color w:val="auto"/>
                <w:sz w:val="22"/>
                <w:szCs w:val="22"/>
              </w:rPr>
              <w:t xml:space="preserve">Wdrażanie </w:t>
            </w:r>
            <w:r w:rsidRPr="0066038E">
              <w:rPr>
                <w:i/>
                <w:iCs/>
                <w:color w:val="auto"/>
                <w:sz w:val="22"/>
                <w:szCs w:val="22"/>
              </w:rPr>
              <w:t>(</w:t>
            </w:r>
            <w:proofErr w:type="spellStart"/>
            <w:r w:rsidRPr="0066038E">
              <w:rPr>
                <w:i/>
                <w:iCs/>
                <w:color w:val="auto"/>
                <w:sz w:val="22"/>
                <w:szCs w:val="22"/>
              </w:rPr>
              <w:t>Implementation</w:t>
            </w:r>
            <w:proofErr w:type="spellEnd"/>
            <w:r w:rsidRPr="0066038E">
              <w:rPr>
                <w:i/>
                <w:iCs/>
                <w:color w:val="auto"/>
                <w:sz w:val="22"/>
                <w:szCs w:val="22"/>
              </w:rPr>
              <w:t>)</w:t>
            </w:r>
            <w:r w:rsidRPr="0066038E">
              <w:rPr>
                <w:color w:val="auto"/>
                <w:sz w:val="22"/>
                <w:szCs w:val="22"/>
              </w:rPr>
              <w:t>:</w:t>
            </w:r>
            <w:r w:rsidRPr="0066038E">
              <w:rPr>
                <w:color w:val="auto"/>
              </w:rPr>
              <w:t xml:space="preserve"> </w:t>
            </w:r>
            <w:r w:rsidRPr="0066038E">
              <w:rPr>
                <w:color w:val="auto"/>
                <w:sz w:val="22"/>
                <w:szCs w:val="22"/>
              </w:rPr>
              <w:t>Wsparcie kompleksowych projektów inwestycyjnych w wybranych w drodze konkursu miastach oraz miejskich obszarach funkcjonalnych. Instytucją organizującą konkurs oraz zapewniającą nadzór nad finansowaniem inwestycji będzie Centrum Unijnych Projektów Transportowych.</w:t>
            </w:r>
          </w:p>
          <w:p w14:paraId="36051743" w14:textId="77777777" w:rsidR="0066038E" w:rsidRPr="0066038E" w:rsidRDefault="0066038E" w:rsidP="003C5D5D">
            <w:pPr>
              <w:pStyle w:val="Default"/>
              <w:rPr>
                <w:color w:val="auto"/>
                <w:sz w:val="22"/>
                <w:szCs w:val="22"/>
              </w:rPr>
            </w:pPr>
          </w:p>
          <w:p w14:paraId="7C5A2F37" w14:textId="77777777" w:rsidR="0066038E" w:rsidRPr="0066038E" w:rsidRDefault="0066038E" w:rsidP="003C5D5D">
            <w:pPr>
              <w:pStyle w:val="Default"/>
              <w:rPr>
                <w:color w:val="auto"/>
                <w:sz w:val="22"/>
                <w:szCs w:val="22"/>
              </w:rPr>
            </w:pPr>
            <w:r w:rsidRPr="0066038E">
              <w:rPr>
                <w:color w:val="auto"/>
                <w:sz w:val="22"/>
                <w:szCs w:val="22"/>
              </w:rPr>
              <w:t>Jednocześnie zakłada się wsparcie zakupu rowerów towarowych dla odbiorców indywidualnych i przedsiębiorców celem realizacji dostaw na tzw. ostatniej mili transportem zeroemisyjnym.</w:t>
            </w:r>
          </w:p>
          <w:p w14:paraId="2AD254EE" w14:textId="77777777" w:rsidR="0066038E" w:rsidRPr="0066038E" w:rsidRDefault="0066038E" w:rsidP="003C5D5D">
            <w:pPr>
              <w:autoSpaceDE w:val="0"/>
              <w:autoSpaceDN w:val="0"/>
              <w:adjustRightInd w:val="0"/>
              <w:rPr>
                <w:rFonts w:ascii="Calibri" w:hAnsi="Calibri" w:cs="Calibri"/>
              </w:rPr>
            </w:pPr>
          </w:p>
          <w:p w14:paraId="6211035A" w14:textId="77777777" w:rsidR="0066038E" w:rsidRPr="0066038E" w:rsidRDefault="0066038E" w:rsidP="003C5D5D">
            <w:pPr>
              <w:autoSpaceDE w:val="0"/>
              <w:autoSpaceDN w:val="0"/>
              <w:adjustRightInd w:val="0"/>
            </w:pPr>
            <w:r w:rsidRPr="0066038E">
              <w:t xml:space="preserve">Populacja docelowa </w:t>
            </w:r>
            <w:r w:rsidRPr="0066038E">
              <w:rPr>
                <w:i/>
                <w:iCs/>
              </w:rPr>
              <w:t xml:space="preserve">(Target </w:t>
            </w:r>
            <w:proofErr w:type="spellStart"/>
            <w:r w:rsidRPr="0066038E">
              <w:rPr>
                <w:i/>
                <w:iCs/>
              </w:rPr>
              <w:t>population</w:t>
            </w:r>
            <w:proofErr w:type="spellEnd"/>
            <w:r w:rsidRPr="0066038E">
              <w:rPr>
                <w:i/>
                <w:iCs/>
              </w:rPr>
              <w:t>)</w:t>
            </w:r>
            <w:r w:rsidRPr="0066038E">
              <w:t>: administracja publiczna jako ośrodek tworzący i wdrażający projekt; jednostki samorządu terytorialnego jako odbiorcy wsparcia; przedsiębiorcy jako wykonawcy projektów inwestycyjnych; przedsiębiorcy (w zakresie wsparcia zakupów rowerów towarowych) społeczeństwo jako ostateczny beneficjent</w:t>
            </w:r>
          </w:p>
          <w:p w14:paraId="41BA8C2E" w14:textId="77777777" w:rsidR="0066038E" w:rsidRPr="0066038E" w:rsidRDefault="0066038E" w:rsidP="003C5D5D">
            <w:pPr>
              <w:autoSpaceDE w:val="0"/>
              <w:autoSpaceDN w:val="0"/>
              <w:adjustRightInd w:val="0"/>
              <w:rPr>
                <w:rFonts w:ascii="Calibri" w:hAnsi="Calibri" w:cs="Calibri"/>
              </w:rPr>
            </w:pPr>
          </w:p>
          <w:p w14:paraId="2CA09D8C" w14:textId="77777777" w:rsidR="0066038E" w:rsidRPr="0066038E" w:rsidRDefault="0066038E" w:rsidP="003C5D5D">
            <w:pPr>
              <w:autoSpaceDE w:val="0"/>
              <w:autoSpaceDN w:val="0"/>
              <w:adjustRightInd w:val="0"/>
              <w:rPr>
                <w:i/>
                <w:iCs/>
              </w:rPr>
            </w:pPr>
            <w:r w:rsidRPr="0066038E">
              <w:t xml:space="preserve">Pomoc publiczna </w:t>
            </w:r>
            <w:r w:rsidRPr="0066038E">
              <w:rPr>
                <w:i/>
                <w:iCs/>
              </w:rPr>
              <w:t>(</w:t>
            </w:r>
            <w:proofErr w:type="spellStart"/>
            <w:r w:rsidRPr="0066038E">
              <w:rPr>
                <w:i/>
                <w:iCs/>
              </w:rPr>
              <w:t>State</w:t>
            </w:r>
            <w:proofErr w:type="spellEnd"/>
            <w:r w:rsidRPr="0066038E">
              <w:rPr>
                <w:i/>
                <w:iCs/>
              </w:rPr>
              <w:t xml:space="preserve"> </w:t>
            </w:r>
            <w:proofErr w:type="spellStart"/>
            <w:r w:rsidRPr="0066038E">
              <w:rPr>
                <w:i/>
                <w:iCs/>
              </w:rPr>
              <w:t>aid</w:t>
            </w:r>
            <w:proofErr w:type="spellEnd"/>
            <w:r w:rsidRPr="0066038E">
              <w:rPr>
                <w:i/>
                <w:iCs/>
              </w:rPr>
              <w:t xml:space="preserve"> </w:t>
            </w:r>
            <w:proofErr w:type="spellStart"/>
            <w:r w:rsidRPr="0066038E">
              <w:rPr>
                <w:i/>
                <w:iCs/>
              </w:rPr>
              <w:t>compliance</w:t>
            </w:r>
            <w:proofErr w:type="spellEnd"/>
            <w:r w:rsidRPr="0066038E">
              <w:rPr>
                <w:i/>
                <w:iCs/>
              </w:rPr>
              <w:t xml:space="preserve">): </w:t>
            </w:r>
            <w:r w:rsidRPr="0066038E">
              <w:t>Pomoc publiczna występuje w zakresie: dofinansowania zakupu rowerów towarowych</w:t>
            </w:r>
          </w:p>
          <w:p w14:paraId="28C8DFB9" w14:textId="77777777" w:rsidR="0066038E" w:rsidRPr="0066038E" w:rsidRDefault="0066038E" w:rsidP="003C5D5D">
            <w:pPr>
              <w:autoSpaceDE w:val="0"/>
              <w:autoSpaceDN w:val="0"/>
              <w:adjustRightInd w:val="0"/>
              <w:rPr>
                <w:rFonts w:ascii="Calibri" w:hAnsi="Calibri" w:cs="Calibri"/>
                <w:i/>
                <w:iCs/>
              </w:rPr>
            </w:pPr>
          </w:p>
          <w:p w14:paraId="3D3B8A35"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 xml:space="preserve">Zakres czasowy </w:t>
            </w:r>
            <w:r w:rsidRPr="0066038E">
              <w:rPr>
                <w:rFonts w:ascii="Calibri" w:hAnsi="Calibri" w:cs="Calibri"/>
                <w:i/>
                <w:iCs/>
              </w:rPr>
              <w:t>(</w:t>
            </w:r>
            <w:proofErr w:type="spellStart"/>
            <w:r w:rsidRPr="0066038E">
              <w:rPr>
                <w:rFonts w:ascii="Calibri" w:hAnsi="Calibri" w:cs="Calibri"/>
                <w:i/>
                <w:iCs/>
              </w:rPr>
              <w:t>Timeline</w:t>
            </w:r>
            <w:proofErr w:type="spellEnd"/>
            <w:r w:rsidRPr="0066038E">
              <w:rPr>
                <w:rFonts w:ascii="Calibri" w:hAnsi="Calibri" w:cs="Calibri"/>
                <w:i/>
                <w:iCs/>
              </w:rPr>
              <w:t>)</w:t>
            </w:r>
            <w:r w:rsidRPr="0066038E">
              <w:rPr>
                <w:rFonts w:ascii="Calibri" w:hAnsi="Calibri" w:cs="Calibri"/>
              </w:rPr>
              <w:t xml:space="preserve">: II kw. 2020 r. – III kw. 2026 r. </w:t>
            </w:r>
          </w:p>
          <w:p w14:paraId="3031F077"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Koszty/koszt jednostkowy/sposób szacowania: ok. 135 mln euro</w:t>
            </w:r>
          </w:p>
          <w:p w14:paraId="06E2DD93" w14:textId="77777777" w:rsidR="0066038E" w:rsidRPr="0066038E" w:rsidRDefault="0066038E" w:rsidP="003C5D5D">
            <w:pPr>
              <w:autoSpaceDE w:val="0"/>
              <w:autoSpaceDN w:val="0"/>
              <w:adjustRightInd w:val="0"/>
              <w:rPr>
                <w:rFonts w:ascii="Calibri" w:hAnsi="Calibri" w:cs="Calibri"/>
              </w:rPr>
            </w:pPr>
          </w:p>
          <w:p w14:paraId="485B09CC"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 xml:space="preserve">Przyjmuje się założenie, że wsparciem rozwoju infrastruktury rowerowej w ramach mechanizmu odbudowy po pandemii objęte zostanie około 250 km dróg rowerowych oraz infrastruktury towarzyszącej. Zgodnie z cennikami budów w roku 2020 oraz cennikami z budżetów obywatelskich za 1 km to 0,5 mln euro. W wyniku uzyskania efektu skali cena to może zostać obniżona, natomiast część elementów sieci dróg rowerowych wymagać będzie bardziej skomplikowanych działań </w:t>
            </w:r>
            <w:r w:rsidRPr="0066038E">
              <w:rPr>
                <w:rFonts w:ascii="Calibri" w:hAnsi="Calibri" w:cs="Calibri"/>
              </w:rPr>
              <w:lastRenderedPageBreak/>
              <w:t xml:space="preserve">np. budowy obiektów mostowych, czy przebudowy sieci. Dlatego też przyjmuje się ok. 10% rezerwę pozwalającą na elastyczne podejście do ewentualnych kosztów. </w:t>
            </w:r>
          </w:p>
          <w:p w14:paraId="6793B631" w14:textId="77777777" w:rsidR="0066038E" w:rsidRPr="0066038E" w:rsidRDefault="0066038E" w:rsidP="003C5D5D">
            <w:pPr>
              <w:autoSpaceDE w:val="0"/>
              <w:autoSpaceDN w:val="0"/>
              <w:adjustRightInd w:val="0"/>
              <w:rPr>
                <w:rFonts w:ascii="Calibri" w:hAnsi="Calibri" w:cs="Calibri"/>
              </w:rPr>
            </w:pPr>
          </w:p>
          <w:p w14:paraId="28C162E6"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Przyjmuje się, że koszt jednostkowy zakupu roweru towarowego z napędem elektrycznym to 30 tys. zł</w:t>
            </w:r>
          </w:p>
          <w:p w14:paraId="1DFBD704" w14:textId="77777777" w:rsidR="0066038E" w:rsidRPr="0066038E" w:rsidRDefault="0066038E" w:rsidP="003C5D5D">
            <w:pPr>
              <w:autoSpaceDE w:val="0"/>
              <w:autoSpaceDN w:val="0"/>
              <w:adjustRightInd w:val="0"/>
              <w:rPr>
                <w:rFonts w:ascii="Calibri" w:hAnsi="Calibri" w:cs="Calibri"/>
              </w:rPr>
            </w:pPr>
          </w:p>
          <w:p w14:paraId="6174768A"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Ceny zostały oszacowane na podstawie realizacji w roku 2020.</w:t>
            </w:r>
          </w:p>
          <w:p w14:paraId="4BF46DEA" w14:textId="77777777" w:rsidR="0066038E" w:rsidRPr="0066038E" w:rsidRDefault="0066038E" w:rsidP="003C5D5D">
            <w:pPr>
              <w:autoSpaceDE w:val="0"/>
              <w:autoSpaceDN w:val="0"/>
              <w:adjustRightInd w:val="0"/>
              <w:rPr>
                <w:rFonts w:ascii="Calibri" w:hAnsi="Calibri" w:cs="Calibri"/>
              </w:rPr>
            </w:pPr>
          </w:p>
          <w:p w14:paraId="7B29856B" w14:textId="77777777" w:rsidR="0066038E" w:rsidRPr="0066038E" w:rsidRDefault="0066038E" w:rsidP="003C5D5D">
            <w:pPr>
              <w:autoSpaceDE w:val="0"/>
              <w:autoSpaceDN w:val="0"/>
              <w:adjustRightInd w:val="0"/>
            </w:pPr>
            <w:r w:rsidRPr="0066038E">
              <w:t>Demarkacja Celu E1. z innymi źródłami finansowania:</w:t>
            </w:r>
          </w:p>
          <w:p w14:paraId="02F04ACB" w14:textId="77777777" w:rsidR="0066038E" w:rsidRPr="0066038E" w:rsidRDefault="0066038E" w:rsidP="003C5D5D">
            <w:pPr>
              <w:autoSpaceDE w:val="0"/>
              <w:autoSpaceDN w:val="0"/>
              <w:adjustRightInd w:val="0"/>
              <w:rPr>
                <w:rFonts w:ascii="Calibri" w:hAnsi="Calibri" w:cs="Calibri"/>
              </w:rPr>
            </w:pPr>
            <w:r w:rsidRPr="0066038E">
              <w:rPr>
                <w:rFonts w:ascii="Calibri" w:hAnsi="Calibri" w:cs="Calibri"/>
              </w:rPr>
              <w:t>Turystyczne szlaki rowerowe – finansowanie ze środków Regionalnych Programów Operacyjnych.</w:t>
            </w:r>
          </w:p>
          <w:p w14:paraId="5771F708" w14:textId="77777777" w:rsidR="0066038E" w:rsidRPr="0066038E" w:rsidRDefault="0066038E" w:rsidP="003C5D5D">
            <w:pPr>
              <w:autoSpaceDE w:val="0"/>
              <w:autoSpaceDN w:val="0"/>
              <w:adjustRightInd w:val="0"/>
              <w:rPr>
                <w:rFonts w:ascii="Calibri" w:hAnsi="Calibri" w:cs="Calibri"/>
              </w:rPr>
            </w:pPr>
          </w:p>
        </w:tc>
      </w:tr>
      <w:tr w:rsidR="0066038E" w:rsidRPr="009667DE" w14:paraId="36C7FE98" w14:textId="77777777" w:rsidTr="003C5D5D">
        <w:tc>
          <w:tcPr>
            <w:tcW w:w="686" w:type="dxa"/>
            <w:shd w:val="clear" w:color="auto" w:fill="FFFF00"/>
          </w:tcPr>
          <w:p w14:paraId="1A5D6D81" w14:textId="77777777" w:rsidR="0066038E" w:rsidRPr="0066038E" w:rsidRDefault="0066038E" w:rsidP="003C5D5D">
            <w:pPr>
              <w:pStyle w:val="Akapitzlist"/>
              <w:numPr>
                <w:ilvl w:val="0"/>
                <w:numId w:val="20"/>
              </w:numPr>
            </w:pPr>
          </w:p>
        </w:tc>
        <w:tc>
          <w:tcPr>
            <w:tcW w:w="2003" w:type="dxa"/>
            <w:shd w:val="clear" w:color="auto" w:fill="FFFF00"/>
          </w:tcPr>
          <w:p w14:paraId="0D3EA670" w14:textId="77777777" w:rsidR="0066038E" w:rsidRPr="0066038E" w:rsidRDefault="0066038E" w:rsidP="003C5D5D">
            <w:r w:rsidRPr="0066038E">
              <w:t>Uzasadnienie uwagi</w:t>
            </w:r>
          </w:p>
        </w:tc>
        <w:tc>
          <w:tcPr>
            <w:tcW w:w="11198" w:type="dxa"/>
            <w:shd w:val="clear" w:color="auto" w:fill="FFFF00"/>
          </w:tcPr>
          <w:p w14:paraId="3783CF7C" w14:textId="77777777" w:rsidR="0066038E" w:rsidRPr="0066038E" w:rsidRDefault="0066038E" w:rsidP="003C5D5D">
            <w:r w:rsidRPr="0066038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56BB95BF" w14:textId="77777777" w:rsidR="0066038E" w:rsidRPr="0066038E" w:rsidRDefault="0066038E" w:rsidP="003C5D5D"/>
          <w:p w14:paraId="756CA816" w14:textId="77777777" w:rsidR="0066038E" w:rsidRPr="0066038E" w:rsidRDefault="0066038E" w:rsidP="003C5D5D">
            <w:r w:rsidRPr="0066038E">
              <w:t xml:space="preserve">Wartość ok. 200 mln powinna zostać przekierowana z wiązki inwestycyjnej E1.1.2, ponieważ budowa infrastruktury rowerowej odwołuje się do tych samych celów i założeń (poprawa jakości powietrza, zmniejszenie emisji pochodzącej z transportu w miastach) przy jednoczesnym korzystnym bilansie finansowym (mniejsze koszty funkcjonowania wytworzonej infrastruktury oraz społecznym (bezpośrednie oddziaływanie na zdrowie publiczne). </w:t>
            </w:r>
          </w:p>
          <w:p w14:paraId="64793CD1" w14:textId="77777777" w:rsidR="0066038E" w:rsidRPr="0066038E" w:rsidRDefault="0066038E" w:rsidP="003C5D5D"/>
          <w:p w14:paraId="1A1EFC43" w14:textId="77777777" w:rsidR="0066038E" w:rsidRPr="0066038E" w:rsidRDefault="0066038E" w:rsidP="003C5D5D">
            <w:r w:rsidRPr="0066038E">
              <w:t xml:space="preserve">Zwraca się uwagę na fakt, że wg danych GUS w Polsce użytkowanych jest około 12 tys. autobusów miejskich, z czego około 500 jest elektryczne. Zadeklarowany cel zakupu 1200 autobusów jest ambitny, natomiast nie pozwoli na istotną zmianę struktury napędów w taborze autobusowym obsługującym miasta. Zwraca się również uwagę na fakt, że w roku 2020 13 polskich miast uzyskało dofinansowanie na zakup około 190 autobusów elektrycznych w ramach programu POIŚ 2014-2020. Oznacza to, że cel zakupu 1200 autobusów do roku 2026 został już w około 15% zrealizowany, zaś środki te można przeznaczyć na rozbudowę sieci dróg rowerowych, dzięki czemu uzyska się </w:t>
            </w:r>
            <w:proofErr w:type="spellStart"/>
            <w:r w:rsidRPr="0066038E">
              <w:t>superaddywny</w:t>
            </w:r>
            <w:proofErr w:type="spellEnd"/>
            <w:r w:rsidRPr="0066038E">
              <w:t xml:space="preserve"> efekt w postaci łączenia różnych zero-emisyjnych środków transportu. Wartość ok. 135 mln euro została oszacowana właśnie na postawie ryczałtowej wartości 715 tys. euro X 190 pojazdów.</w:t>
            </w:r>
          </w:p>
          <w:p w14:paraId="31C0641E" w14:textId="77777777" w:rsidR="0066038E" w:rsidRPr="0066038E" w:rsidRDefault="0066038E" w:rsidP="003C5D5D"/>
          <w:p w14:paraId="3CCD9B34" w14:textId="77777777" w:rsidR="0066038E" w:rsidRPr="0066038E" w:rsidRDefault="0066038E" w:rsidP="003C5D5D"/>
        </w:tc>
      </w:tr>
    </w:tbl>
    <w:p w14:paraId="317EEBDB" w14:textId="77777777" w:rsidR="0066038E" w:rsidRPr="009667DE" w:rsidRDefault="0066038E" w:rsidP="0066038E"/>
    <w:tbl>
      <w:tblPr>
        <w:tblStyle w:val="Tabela-Siatka"/>
        <w:tblW w:w="0" w:type="auto"/>
        <w:tblLook w:val="04A0" w:firstRow="1" w:lastRow="0" w:firstColumn="1" w:lastColumn="0" w:noHBand="0" w:noVBand="1"/>
      </w:tblPr>
      <w:tblGrid>
        <w:gridCol w:w="686"/>
        <w:gridCol w:w="2003"/>
        <w:gridCol w:w="11198"/>
      </w:tblGrid>
      <w:tr w:rsidR="0066038E" w:rsidRPr="009667DE" w14:paraId="3592D63E" w14:textId="77777777" w:rsidTr="003C5D5D">
        <w:tc>
          <w:tcPr>
            <w:tcW w:w="686" w:type="dxa"/>
          </w:tcPr>
          <w:p w14:paraId="637C28EF" w14:textId="19D01154" w:rsidR="0066038E" w:rsidRPr="009667DE" w:rsidRDefault="0066038E" w:rsidP="003C5D5D">
            <w:r w:rsidRPr="009667DE">
              <w:lastRenderedPageBreak/>
              <w:br w:type="page"/>
            </w:r>
            <w:proofErr w:type="spellStart"/>
            <w:r w:rsidRPr="009667DE">
              <w:t>Lp</w:t>
            </w:r>
            <w:proofErr w:type="spellEnd"/>
          </w:p>
        </w:tc>
        <w:tc>
          <w:tcPr>
            <w:tcW w:w="2003" w:type="dxa"/>
          </w:tcPr>
          <w:p w14:paraId="2D3B53A2" w14:textId="77777777" w:rsidR="0066038E" w:rsidRPr="009667DE" w:rsidRDefault="0066038E" w:rsidP="003C5D5D">
            <w:r w:rsidRPr="009667DE">
              <w:t>Pole formularza</w:t>
            </w:r>
          </w:p>
        </w:tc>
        <w:tc>
          <w:tcPr>
            <w:tcW w:w="11198" w:type="dxa"/>
          </w:tcPr>
          <w:p w14:paraId="58043C86" w14:textId="77777777" w:rsidR="0066038E" w:rsidRPr="009667DE" w:rsidRDefault="0066038E" w:rsidP="003C5D5D">
            <w:r w:rsidRPr="009667DE">
              <w:t>Treść</w:t>
            </w:r>
          </w:p>
        </w:tc>
      </w:tr>
      <w:tr w:rsidR="0066038E" w:rsidRPr="009667DE" w14:paraId="05C15ED0" w14:textId="77777777" w:rsidTr="003C5D5D">
        <w:tc>
          <w:tcPr>
            <w:tcW w:w="686" w:type="dxa"/>
          </w:tcPr>
          <w:p w14:paraId="5D31E223" w14:textId="77777777" w:rsidR="0066038E" w:rsidRPr="009667DE" w:rsidRDefault="0066038E" w:rsidP="003C5D5D">
            <w:pPr>
              <w:pStyle w:val="Akapitzlist"/>
              <w:numPr>
                <w:ilvl w:val="0"/>
                <w:numId w:val="11"/>
              </w:numPr>
            </w:pPr>
          </w:p>
        </w:tc>
        <w:tc>
          <w:tcPr>
            <w:tcW w:w="2003" w:type="dxa"/>
          </w:tcPr>
          <w:p w14:paraId="5DBD3BD8" w14:textId="77777777" w:rsidR="0066038E" w:rsidRPr="009667DE" w:rsidRDefault="0066038E" w:rsidP="003C5D5D">
            <w:r w:rsidRPr="009667DE">
              <w:t>Imię</w:t>
            </w:r>
          </w:p>
        </w:tc>
        <w:tc>
          <w:tcPr>
            <w:tcW w:w="11198" w:type="dxa"/>
            <w:shd w:val="clear" w:color="auto" w:fill="A6A6A6" w:themeFill="background1" w:themeFillShade="A6"/>
          </w:tcPr>
          <w:p w14:paraId="3FADB339" w14:textId="77777777" w:rsidR="0066038E" w:rsidRPr="009667DE" w:rsidRDefault="0066038E" w:rsidP="003C5D5D"/>
        </w:tc>
      </w:tr>
      <w:tr w:rsidR="0066038E" w:rsidRPr="009667DE" w14:paraId="16336B45" w14:textId="77777777" w:rsidTr="003C5D5D">
        <w:tc>
          <w:tcPr>
            <w:tcW w:w="686" w:type="dxa"/>
          </w:tcPr>
          <w:p w14:paraId="665F0184" w14:textId="77777777" w:rsidR="0066038E" w:rsidRPr="009667DE" w:rsidRDefault="0066038E" w:rsidP="003C5D5D">
            <w:pPr>
              <w:pStyle w:val="Akapitzlist"/>
              <w:numPr>
                <w:ilvl w:val="0"/>
                <w:numId w:val="11"/>
              </w:numPr>
            </w:pPr>
          </w:p>
        </w:tc>
        <w:tc>
          <w:tcPr>
            <w:tcW w:w="2003" w:type="dxa"/>
          </w:tcPr>
          <w:p w14:paraId="65CA0862" w14:textId="77777777" w:rsidR="0066038E" w:rsidRPr="009667DE" w:rsidRDefault="0066038E" w:rsidP="003C5D5D">
            <w:r w:rsidRPr="009667DE">
              <w:t>Nazwisko</w:t>
            </w:r>
          </w:p>
        </w:tc>
        <w:tc>
          <w:tcPr>
            <w:tcW w:w="11198" w:type="dxa"/>
            <w:shd w:val="clear" w:color="auto" w:fill="A6A6A6" w:themeFill="background1" w:themeFillShade="A6"/>
          </w:tcPr>
          <w:p w14:paraId="12B072DE" w14:textId="77777777" w:rsidR="0066038E" w:rsidRPr="009667DE" w:rsidRDefault="0066038E" w:rsidP="003C5D5D"/>
        </w:tc>
      </w:tr>
      <w:tr w:rsidR="0066038E" w:rsidRPr="009667DE" w14:paraId="6968EDD7" w14:textId="77777777" w:rsidTr="003C5D5D">
        <w:tc>
          <w:tcPr>
            <w:tcW w:w="686" w:type="dxa"/>
          </w:tcPr>
          <w:p w14:paraId="4DA6E785" w14:textId="77777777" w:rsidR="0066038E" w:rsidRPr="009667DE" w:rsidRDefault="0066038E" w:rsidP="003C5D5D">
            <w:pPr>
              <w:pStyle w:val="Akapitzlist"/>
              <w:numPr>
                <w:ilvl w:val="0"/>
                <w:numId w:val="11"/>
              </w:numPr>
            </w:pPr>
          </w:p>
        </w:tc>
        <w:tc>
          <w:tcPr>
            <w:tcW w:w="2003" w:type="dxa"/>
          </w:tcPr>
          <w:p w14:paraId="170CAEAA" w14:textId="77777777" w:rsidR="0066038E" w:rsidRPr="009667DE" w:rsidRDefault="0066038E" w:rsidP="003C5D5D">
            <w:r w:rsidRPr="009667DE">
              <w:t>Instytucja</w:t>
            </w:r>
          </w:p>
        </w:tc>
        <w:tc>
          <w:tcPr>
            <w:tcW w:w="11198" w:type="dxa"/>
            <w:shd w:val="clear" w:color="auto" w:fill="A6A6A6" w:themeFill="background1" w:themeFillShade="A6"/>
          </w:tcPr>
          <w:p w14:paraId="5C955EF6" w14:textId="77777777" w:rsidR="0066038E" w:rsidRPr="009667DE" w:rsidRDefault="0066038E" w:rsidP="003C5D5D"/>
        </w:tc>
      </w:tr>
      <w:tr w:rsidR="0066038E" w:rsidRPr="009667DE" w14:paraId="588EDDC1" w14:textId="77777777" w:rsidTr="003C5D5D">
        <w:tc>
          <w:tcPr>
            <w:tcW w:w="686" w:type="dxa"/>
          </w:tcPr>
          <w:p w14:paraId="79792F36" w14:textId="77777777" w:rsidR="0066038E" w:rsidRPr="009667DE" w:rsidRDefault="0066038E" w:rsidP="003C5D5D">
            <w:pPr>
              <w:pStyle w:val="Akapitzlist"/>
              <w:numPr>
                <w:ilvl w:val="0"/>
                <w:numId w:val="11"/>
              </w:numPr>
            </w:pPr>
          </w:p>
        </w:tc>
        <w:tc>
          <w:tcPr>
            <w:tcW w:w="2003" w:type="dxa"/>
          </w:tcPr>
          <w:p w14:paraId="39153037" w14:textId="77777777" w:rsidR="0066038E" w:rsidRPr="009667DE" w:rsidRDefault="0066038E" w:rsidP="003C5D5D">
            <w:r w:rsidRPr="009667DE">
              <w:t>Województwo</w:t>
            </w:r>
          </w:p>
        </w:tc>
        <w:tc>
          <w:tcPr>
            <w:tcW w:w="11198" w:type="dxa"/>
            <w:shd w:val="clear" w:color="auto" w:fill="A6A6A6" w:themeFill="background1" w:themeFillShade="A6"/>
          </w:tcPr>
          <w:p w14:paraId="7CE782B9" w14:textId="77777777" w:rsidR="0066038E" w:rsidRPr="009667DE" w:rsidRDefault="0066038E" w:rsidP="003C5D5D"/>
        </w:tc>
      </w:tr>
      <w:tr w:rsidR="0066038E" w:rsidRPr="009667DE" w14:paraId="3E1916E6" w14:textId="77777777" w:rsidTr="003C5D5D">
        <w:tc>
          <w:tcPr>
            <w:tcW w:w="686" w:type="dxa"/>
          </w:tcPr>
          <w:p w14:paraId="7BDE1A57" w14:textId="77777777" w:rsidR="0066038E" w:rsidRPr="009667DE" w:rsidRDefault="0066038E" w:rsidP="003C5D5D">
            <w:pPr>
              <w:pStyle w:val="Akapitzlist"/>
              <w:numPr>
                <w:ilvl w:val="0"/>
                <w:numId w:val="11"/>
              </w:numPr>
            </w:pPr>
          </w:p>
        </w:tc>
        <w:tc>
          <w:tcPr>
            <w:tcW w:w="2003" w:type="dxa"/>
          </w:tcPr>
          <w:p w14:paraId="12A564A8" w14:textId="77777777" w:rsidR="0066038E" w:rsidRPr="009667DE" w:rsidRDefault="0066038E" w:rsidP="003C5D5D">
            <w:r w:rsidRPr="009667DE">
              <w:t>Część KPO</w:t>
            </w:r>
          </w:p>
        </w:tc>
        <w:tc>
          <w:tcPr>
            <w:tcW w:w="11198" w:type="dxa"/>
          </w:tcPr>
          <w:p w14:paraId="6E134DFB" w14:textId="77777777" w:rsidR="0066038E" w:rsidRPr="009667DE" w:rsidRDefault="0066038E" w:rsidP="003C5D5D">
            <w:r w:rsidRPr="009667DE">
              <w:t>Komponent E „Zielona, inteligentna mobilność”</w:t>
            </w:r>
          </w:p>
          <w:p w14:paraId="75A384ED" w14:textId="77777777" w:rsidR="0066038E" w:rsidRPr="009667DE" w:rsidRDefault="0066038E" w:rsidP="003C5D5D">
            <w:r w:rsidRPr="009667DE">
              <w:t>1. Opis Komponentu</w:t>
            </w:r>
          </w:p>
          <w:p w14:paraId="1D2F63EC" w14:textId="77777777" w:rsidR="0066038E" w:rsidRPr="009667DE" w:rsidRDefault="0066038E" w:rsidP="003C5D5D">
            <w:pPr>
              <w:pStyle w:val="Default"/>
              <w:rPr>
                <w:color w:val="auto"/>
              </w:rPr>
            </w:pPr>
            <w:r w:rsidRPr="009667DE">
              <w:rPr>
                <w:color w:val="auto"/>
                <w:sz w:val="22"/>
                <w:szCs w:val="22"/>
              </w:rPr>
              <w:t xml:space="preserve">Podsumowanie komponentu „Zielona, inteligentna mobilność” </w:t>
            </w:r>
          </w:p>
        </w:tc>
      </w:tr>
      <w:tr w:rsidR="0066038E" w:rsidRPr="009667DE" w14:paraId="29F6A11C" w14:textId="77777777" w:rsidTr="003C5D5D">
        <w:tc>
          <w:tcPr>
            <w:tcW w:w="686" w:type="dxa"/>
          </w:tcPr>
          <w:p w14:paraId="639037F0" w14:textId="77777777" w:rsidR="0066038E" w:rsidRPr="009667DE" w:rsidRDefault="0066038E" w:rsidP="003C5D5D">
            <w:pPr>
              <w:pStyle w:val="Akapitzlist"/>
              <w:numPr>
                <w:ilvl w:val="0"/>
                <w:numId w:val="11"/>
              </w:numPr>
            </w:pPr>
          </w:p>
        </w:tc>
        <w:tc>
          <w:tcPr>
            <w:tcW w:w="2003" w:type="dxa"/>
          </w:tcPr>
          <w:p w14:paraId="2EBEEFD8" w14:textId="77777777" w:rsidR="0066038E" w:rsidRPr="009667DE" w:rsidRDefault="0066038E" w:rsidP="003C5D5D">
            <w:r w:rsidRPr="009667DE">
              <w:t>Strona</w:t>
            </w:r>
          </w:p>
        </w:tc>
        <w:tc>
          <w:tcPr>
            <w:tcW w:w="11198" w:type="dxa"/>
          </w:tcPr>
          <w:p w14:paraId="6E03FC65" w14:textId="77777777" w:rsidR="0066038E" w:rsidRPr="009667DE" w:rsidRDefault="0066038E" w:rsidP="003C5D5D">
            <w:r w:rsidRPr="009667DE">
              <w:t>197</w:t>
            </w:r>
          </w:p>
        </w:tc>
      </w:tr>
      <w:tr w:rsidR="0066038E" w:rsidRPr="009667DE" w14:paraId="3D7F9F60" w14:textId="77777777" w:rsidTr="003C5D5D">
        <w:tc>
          <w:tcPr>
            <w:tcW w:w="686" w:type="dxa"/>
          </w:tcPr>
          <w:p w14:paraId="758F70BB" w14:textId="77777777" w:rsidR="0066038E" w:rsidRPr="009667DE" w:rsidRDefault="0066038E" w:rsidP="003C5D5D">
            <w:pPr>
              <w:pStyle w:val="Akapitzlist"/>
              <w:numPr>
                <w:ilvl w:val="0"/>
                <w:numId w:val="11"/>
              </w:numPr>
            </w:pPr>
          </w:p>
        </w:tc>
        <w:tc>
          <w:tcPr>
            <w:tcW w:w="2003" w:type="dxa"/>
          </w:tcPr>
          <w:p w14:paraId="1AE4B3AA" w14:textId="77777777" w:rsidR="0066038E" w:rsidRPr="009667DE" w:rsidRDefault="0066038E" w:rsidP="003C5D5D">
            <w:r w:rsidRPr="009667DE">
              <w:t>Treść Uwagi</w:t>
            </w:r>
          </w:p>
        </w:tc>
        <w:tc>
          <w:tcPr>
            <w:tcW w:w="11198" w:type="dxa"/>
          </w:tcPr>
          <w:p w14:paraId="52CD52CE"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komponentu E1.1.3 „Wsparcie rozwoju infrastruktury rowerowej”</w:t>
            </w:r>
          </w:p>
          <w:p w14:paraId="29EE7EB5" w14:textId="77777777" w:rsidR="0066038E" w:rsidRPr="009667DE" w:rsidRDefault="0066038E" w:rsidP="003C5D5D">
            <w:pPr>
              <w:autoSpaceDE w:val="0"/>
              <w:autoSpaceDN w:val="0"/>
              <w:adjustRightInd w:val="0"/>
              <w:rPr>
                <w:rFonts w:ascii="Calibri" w:hAnsi="Calibri" w:cs="Calibri"/>
              </w:rPr>
            </w:pPr>
          </w:p>
        </w:tc>
      </w:tr>
      <w:tr w:rsidR="0066038E" w:rsidRPr="009667DE" w14:paraId="52A1884A" w14:textId="77777777" w:rsidTr="003C5D5D">
        <w:tc>
          <w:tcPr>
            <w:tcW w:w="686" w:type="dxa"/>
          </w:tcPr>
          <w:p w14:paraId="6411F380" w14:textId="77777777" w:rsidR="0066038E" w:rsidRPr="009667DE" w:rsidRDefault="0066038E" w:rsidP="003C5D5D">
            <w:pPr>
              <w:pStyle w:val="Akapitzlist"/>
              <w:numPr>
                <w:ilvl w:val="0"/>
                <w:numId w:val="11"/>
              </w:numPr>
            </w:pPr>
          </w:p>
        </w:tc>
        <w:tc>
          <w:tcPr>
            <w:tcW w:w="2003" w:type="dxa"/>
          </w:tcPr>
          <w:p w14:paraId="1FB7563C" w14:textId="77777777" w:rsidR="0066038E" w:rsidRPr="009667DE" w:rsidRDefault="0066038E" w:rsidP="003C5D5D">
            <w:r w:rsidRPr="009667DE">
              <w:t>Uzasadnienie uwagi</w:t>
            </w:r>
          </w:p>
        </w:tc>
        <w:tc>
          <w:tcPr>
            <w:tcW w:w="11198" w:type="dxa"/>
          </w:tcPr>
          <w:p w14:paraId="57740261"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188C2120" w14:textId="77777777" w:rsidR="0066038E" w:rsidRPr="009667DE" w:rsidRDefault="0066038E" w:rsidP="003C5D5D"/>
          <w:p w14:paraId="52DF92F4" w14:textId="77777777" w:rsidR="0066038E" w:rsidRPr="009667DE" w:rsidRDefault="0066038E" w:rsidP="003C5D5D">
            <w:r w:rsidRPr="009667DE">
              <w:t>Jednym ze zdiagnozowanych głównych wyzwań rozwojowych, jakie przyniosła ze sobą pandemia COVID-19 jest rosnąca presja na system finansów publicznych przejawiająca się ograniczeniem możliwości finansowania inwestycji publicznych. Należy zdecydowanie zgodzić się z powyższym stwierdzeniem, jednocześnie ze zdziwieniem konstatując, że w takich okolicznościach duży nacisk inwestycyjny położony będzie na rozbudowę twardej infrastruktury transportowej, ze szczególnym uwzględnieniem dróg. Zwraca się uwagę, że jest to rozwiązanie kosztowne zarówno w kontekście kosztów samej inwestycji, jak i skutków w postaci wzrostu wydatków związanych z utrzymaniem i funkcjonowaniem określonej oferty transportowej.</w:t>
            </w:r>
          </w:p>
          <w:p w14:paraId="66157BAC" w14:textId="77777777" w:rsidR="0066038E" w:rsidRPr="009667DE" w:rsidRDefault="0066038E" w:rsidP="003C5D5D"/>
          <w:p w14:paraId="613657F0" w14:textId="77777777" w:rsidR="0066038E" w:rsidRPr="009667DE" w:rsidRDefault="0066038E" w:rsidP="003C5D5D">
            <w:r w:rsidRPr="009667DE">
              <w:t>Zgodnie z danymi GDDKiA koszt budowy 1 km autostrady wynosi obecnie od 36,4 do 50,6 mln zł, w przypadku dróg ekspresowych średni koszt to ok. 41 mln zł za kilometr, zaś w przypadku dróg niższej klasy wartość ta waha się od ok. 9 do 24,2 mln zł. Dane podawane przez spółkę CPK wskazują, że 1 km linii konwencjonalnej na 10 mln zł, a linii dużych prędkości na 50 mln zł. Z kolei koszt budowy 1 km linii metra wynosi 470 mln zł, a koszt budowy 1 km linii tramwajowej waha się od 10 do 25 mln zł. (dane Urzędu m. st. Warszawy). Jednocześnie budowa drogi rowerowej zaś to koszt około 2 mln za 1 km. (dane samorządów na podstawie cenników Budżetów Obywatelskich)</w:t>
            </w:r>
          </w:p>
          <w:p w14:paraId="7CD885F3" w14:textId="77777777" w:rsidR="0066038E" w:rsidRPr="009667DE" w:rsidRDefault="0066038E" w:rsidP="003C5D5D"/>
          <w:p w14:paraId="1997AD79" w14:textId="77777777" w:rsidR="0066038E" w:rsidRPr="009667DE" w:rsidRDefault="0066038E" w:rsidP="003C5D5D">
            <w:r w:rsidRPr="009667DE">
              <w:lastRenderedPageBreak/>
              <w:t>Na podstawie powyższego zestawienia widać więc, że przeznaczenie nawet niewielkich środków w porównaniu do pozostałych rodzajów infrastruktury transportowej, daje ogromne przełożenie na przyrost ilości dróg rowerowych.</w:t>
            </w:r>
          </w:p>
          <w:p w14:paraId="6AE6A789" w14:textId="77777777" w:rsidR="0066038E" w:rsidRPr="009667DE" w:rsidRDefault="0066038E" w:rsidP="003C5D5D"/>
          <w:p w14:paraId="2DB635E5" w14:textId="37CA92C5" w:rsidR="0066038E" w:rsidRPr="009667DE" w:rsidRDefault="0066038E" w:rsidP="003C5D5D">
            <w:r w:rsidRPr="009667DE">
              <w:t>Zaznaczyć przy tym należy, że nie należy rozpatrywać procesu inwestycyjnego jedynie z punktu widzenia kosztów, ale także rezultatów i kosztów utrzymania. Z tego punktu widzenia wskazać należy, że utrzymanie infrastruktury rowerowej jest nieporównywalnie tańsze. Drogi rowerowe co do zasady przenoszą mniejsze obciążenia, w efekcie są trwalsze niż drogi dla samochodów, zaś jedyne koszty to zimowe utrzymanie przejezdności.</w:t>
            </w:r>
          </w:p>
          <w:p w14:paraId="423E673C" w14:textId="77777777" w:rsidR="0066038E" w:rsidRPr="009667DE" w:rsidRDefault="0066038E" w:rsidP="003C5D5D"/>
          <w:p w14:paraId="6F0B48DA" w14:textId="77777777" w:rsidR="0066038E" w:rsidRPr="009667DE" w:rsidRDefault="0066038E" w:rsidP="003C5D5D">
            <w:r w:rsidRPr="009667DE">
              <w:t>Warto również pamiętać, że każda budowa infrastruktury, a zatem i przetworzenie krajobrazu, niesie za sobą długotrwałe skutki środowiskowe i społeczne takie jak wzrost emisji pyłów i spalin, hałas, tworzenie efektów barier dla ludzi i zwierząt, a także wypadki drogowe. Porównując powyższe efekty należy wskazać, że rower jako środek transportu jest wolny od większości negatywnych efektów funkcjonowania infrastruktury transportowej.</w:t>
            </w:r>
          </w:p>
          <w:p w14:paraId="1EF6CE28" w14:textId="180209D7" w:rsidR="0066038E" w:rsidRPr="009667DE" w:rsidRDefault="0066038E" w:rsidP="003C5D5D">
            <w:r w:rsidRPr="009667DE">
              <w:t xml:space="preserve">Jednocześnie rozbudowa infrastruktury dedykowanej indywidualnemu ruchowi samochodowemu pogłębia przepaść pomiędzy efektywnością wyboru samochodów i innych środków transportu, co w warunkach racjonalnych wyborów indywidualnych jednostek prowadzi do wzrostu liczby samochodów i w efekcie do stymulowania szeregu negatywnych zjawisk towarzyszących transportowi samochodowemu takich jak wypadki drogowe, korki, emisja substancji szkodliwych (tzw. smog </w:t>
            </w:r>
            <w:r w:rsidR="00C92263">
              <w:t>fotochemiczny</w:t>
            </w:r>
            <w:r w:rsidRPr="009667DE">
              <w:t>), co jest niekorzystne dla wspólnego interesu społeczności. Jednocześnie – w wymiarze indywidualnym – nadmierne użytkowanie samochodu w długofalowej perspektywie powoduje pogorszenie stanu zdrowia ze względu na mniejszą ilość ruchu (tzw. nie rekreacyjnej mobilności aktywnej), co wprost przekłada się na wzrost zapadalności na takie schorzenia jak choroby serca, otyłość, choroby narządów ruchu. Emisja smogu fotochemicznego zaś ma bezpośredni wpływ na choroby układu oddechowego, nerwowego oraz choroby oczu. Koszty te – wraz z rosnącymi kosztami leczenia i rehabilitacji ofiar wypadków drogowych – na trwałe obciążać będą krajowy system ochrony zdrowia, co będzie uwydatniać się w przyszłych pokoleniach wraz ze starzeniem się społeczeństwa i pogarszaniem stanu środowiska.</w:t>
            </w:r>
          </w:p>
          <w:p w14:paraId="7D4F8ADA" w14:textId="77777777" w:rsidR="0066038E" w:rsidRPr="009667DE" w:rsidRDefault="0066038E" w:rsidP="003C5D5D">
            <w:r w:rsidRPr="009667DE">
              <w:t xml:space="preserve">Stworzenie warunków do rozwoju infrastruktury rowerowej będzie przeciwdziałać powyżej wskazanym negatywnym zjawiskom, ponieważ w mniejszym stopniu obciążać będzie budżety jednostek finansów publicznych kosztami utrzymania, będzie generować mniejsze koszty środowiskowe i społeczne, jak również – dzięki tworzeniu warunków do aktywnej mobilności nie rekreacyjnej – korzystnie oddziaływać na ograniczanie negatywnych zjawisk w obszarze zdrowia publicznego.  </w:t>
            </w:r>
          </w:p>
          <w:p w14:paraId="6F8EC17B" w14:textId="77777777" w:rsidR="0066038E" w:rsidRPr="009667DE" w:rsidRDefault="0066038E" w:rsidP="003C5D5D">
            <w:pPr>
              <w:pStyle w:val="Default"/>
              <w:rPr>
                <w:color w:val="auto"/>
                <w:sz w:val="22"/>
                <w:szCs w:val="22"/>
              </w:rPr>
            </w:pPr>
          </w:p>
        </w:tc>
      </w:tr>
    </w:tbl>
    <w:p w14:paraId="19F65B6C" w14:textId="77777777" w:rsidR="0066038E" w:rsidRPr="009667DE" w:rsidRDefault="0066038E" w:rsidP="0066038E"/>
    <w:p w14:paraId="1B1DFE3A" w14:textId="77777777" w:rsidR="0066038E" w:rsidRPr="009667DE" w:rsidRDefault="0066038E" w:rsidP="0066038E">
      <w:r w:rsidRPr="009667DE">
        <w:br w:type="page"/>
      </w:r>
    </w:p>
    <w:tbl>
      <w:tblPr>
        <w:tblStyle w:val="Tabela-Siatka"/>
        <w:tblW w:w="0" w:type="auto"/>
        <w:tblLook w:val="04A0" w:firstRow="1" w:lastRow="0" w:firstColumn="1" w:lastColumn="0" w:noHBand="0" w:noVBand="1"/>
      </w:tblPr>
      <w:tblGrid>
        <w:gridCol w:w="686"/>
        <w:gridCol w:w="2003"/>
        <w:gridCol w:w="11198"/>
      </w:tblGrid>
      <w:tr w:rsidR="0066038E" w:rsidRPr="009667DE" w14:paraId="44B35CE8" w14:textId="77777777" w:rsidTr="003C5D5D">
        <w:tc>
          <w:tcPr>
            <w:tcW w:w="686" w:type="dxa"/>
          </w:tcPr>
          <w:p w14:paraId="68AEAF30" w14:textId="77777777" w:rsidR="0066038E" w:rsidRPr="009667DE" w:rsidRDefault="0066038E" w:rsidP="003C5D5D">
            <w:proofErr w:type="spellStart"/>
            <w:r w:rsidRPr="009667DE">
              <w:lastRenderedPageBreak/>
              <w:t>Lp</w:t>
            </w:r>
            <w:proofErr w:type="spellEnd"/>
          </w:p>
        </w:tc>
        <w:tc>
          <w:tcPr>
            <w:tcW w:w="2003" w:type="dxa"/>
          </w:tcPr>
          <w:p w14:paraId="1083C684" w14:textId="77777777" w:rsidR="0066038E" w:rsidRPr="009667DE" w:rsidRDefault="0066038E" w:rsidP="003C5D5D">
            <w:r w:rsidRPr="009667DE">
              <w:t>Pole formularza</w:t>
            </w:r>
          </w:p>
        </w:tc>
        <w:tc>
          <w:tcPr>
            <w:tcW w:w="11198" w:type="dxa"/>
          </w:tcPr>
          <w:p w14:paraId="2A637605" w14:textId="77777777" w:rsidR="0066038E" w:rsidRPr="009667DE" w:rsidRDefault="0066038E" w:rsidP="003C5D5D">
            <w:r w:rsidRPr="009667DE">
              <w:t>Treść</w:t>
            </w:r>
          </w:p>
        </w:tc>
      </w:tr>
      <w:tr w:rsidR="0066038E" w:rsidRPr="009667DE" w14:paraId="36B14020" w14:textId="77777777" w:rsidTr="003C5D5D">
        <w:tc>
          <w:tcPr>
            <w:tcW w:w="686" w:type="dxa"/>
          </w:tcPr>
          <w:p w14:paraId="300007E0" w14:textId="77777777" w:rsidR="0066038E" w:rsidRPr="009667DE" w:rsidRDefault="0066038E" w:rsidP="003C5D5D">
            <w:pPr>
              <w:pStyle w:val="Akapitzlist"/>
              <w:numPr>
                <w:ilvl w:val="0"/>
                <w:numId w:val="12"/>
              </w:numPr>
            </w:pPr>
          </w:p>
        </w:tc>
        <w:tc>
          <w:tcPr>
            <w:tcW w:w="2003" w:type="dxa"/>
          </w:tcPr>
          <w:p w14:paraId="0C3ADCD1" w14:textId="77777777" w:rsidR="0066038E" w:rsidRPr="009667DE" w:rsidRDefault="0066038E" w:rsidP="003C5D5D">
            <w:r w:rsidRPr="009667DE">
              <w:t>Imię</w:t>
            </w:r>
          </w:p>
        </w:tc>
        <w:tc>
          <w:tcPr>
            <w:tcW w:w="11198" w:type="dxa"/>
            <w:shd w:val="clear" w:color="auto" w:fill="A6A6A6" w:themeFill="background1" w:themeFillShade="A6"/>
          </w:tcPr>
          <w:p w14:paraId="4935F97E" w14:textId="77777777" w:rsidR="0066038E" w:rsidRPr="009667DE" w:rsidRDefault="0066038E" w:rsidP="003C5D5D"/>
        </w:tc>
      </w:tr>
      <w:tr w:rsidR="0066038E" w:rsidRPr="009667DE" w14:paraId="07BA4F42" w14:textId="77777777" w:rsidTr="003C5D5D">
        <w:tc>
          <w:tcPr>
            <w:tcW w:w="686" w:type="dxa"/>
          </w:tcPr>
          <w:p w14:paraId="48F5CDF0" w14:textId="77777777" w:rsidR="0066038E" w:rsidRPr="009667DE" w:rsidRDefault="0066038E" w:rsidP="003C5D5D">
            <w:pPr>
              <w:pStyle w:val="Akapitzlist"/>
              <w:numPr>
                <w:ilvl w:val="0"/>
                <w:numId w:val="12"/>
              </w:numPr>
            </w:pPr>
          </w:p>
        </w:tc>
        <w:tc>
          <w:tcPr>
            <w:tcW w:w="2003" w:type="dxa"/>
          </w:tcPr>
          <w:p w14:paraId="18EA4083" w14:textId="77777777" w:rsidR="0066038E" w:rsidRPr="009667DE" w:rsidRDefault="0066038E" w:rsidP="003C5D5D">
            <w:r w:rsidRPr="009667DE">
              <w:t>Nazwisko</w:t>
            </w:r>
          </w:p>
        </w:tc>
        <w:tc>
          <w:tcPr>
            <w:tcW w:w="11198" w:type="dxa"/>
            <w:shd w:val="clear" w:color="auto" w:fill="A6A6A6" w:themeFill="background1" w:themeFillShade="A6"/>
          </w:tcPr>
          <w:p w14:paraId="6DB9B0A3" w14:textId="77777777" w:rsidR="0066038E" w:rsidRPr="009667DE" w:rsidRDefault="0066038E" w:rsidP="003C5D5D"/>
        </w:tc>
      </w:tr>
      <w:tr w:rsidR="0066038E" w:rsidRPr="009667DE" w14:paraId="77CA3FB7" w14:textId="77777777" w:rsidTr="003C5D5D">
        <w:tc>
          <w:tcPr>
            <w:tcW w:w="686" w:type="dxa"/>
          </w:tcPr>
          <w:p w14:paraId="117F5C23" w14:textId="77777777" w:rsidR="0066038E" w:rsidRPr="009667DE" w:rsidRDefault="0066038E" w:rsidP="003C5D5D">
            <w:pPr>
              <w:pStyle w:val="Akapitzlist"/>
              <w:numPr>
                <w:ilvl w:val="0"/>
                <w:numId w:val="12"/>
              </w:numPr>
            </w:pPr>
          </w:p>
        </w:tc>
        <w:tc>
          <w:tcPr>
            <w:tcW w:w="2003" w:type="dxa"/>
          </w:tcPr>
          <w:p w14:paraId="5DFE774A" w14:textId="77777777" w:rsidR="0066038E" w:rsidRPr="009667DE" w:rsidRDefault="0066038E" w:rsidP="003C5D5D">
            <w:r w:rsidRPr="009667DE">
              <w:t>Instytucja</w:t>
            </w:r>
          </w:p>
        </w:tc>
        <w:tc>
          <w:tcPr>
            <w:tcW w:w="11198" w:type="dxa"/>
            <w:shd w:val="clear" w:color="auto" w:fill="A6A6A6" w:themeFill="background1" w:themeFillShade="A6"/>
          </w:tcPr>
          <w:p w14:paraId="06334427" w14:textId="77777777" w:rsidR="0066038E" w:rsidRPr="009667DE" w:rsidRDefault="0066038E" w:rsidP="003C5D5D"/>
        </w:tc>
      </w:tr>
      <w:tr w:rsidR="0066038E" w:rsidRPr="009667DE" w14:paraId="0014E8AB" w14:textId="77777777" w:rsidTr="003C5D5D">
        <w:tc>
          <w:tcPr>
            <w:tcW w:w="686" w:type="dxa"/>
          </w:tcPr>
          <w:p w14:paraId="24FB4E7C" w14:textId="77777777" w:rsidR="0066038E" w:rsidRPr="009667DE" w:rsidRDefault="0066038E" w:rsidP="003C5D5D">
            <w:pPr>
              <w:pStyle w:val="Akapitzlist"/>
              <w:numPr>
                <w:ilvl w:val="0"/>
                <w:numId w:val="12"/>
              </w:numPr>
            </w:pPr>
          </w:p>
        </w:tc>
        <w:tc>
          <w:tcPr>
            <w:tcW w:w="2003" w:type="dxa"/>
          </w:tcPr>
          <w:p w14:paraId="57FEC064" w14:textId="77777777" w:rsidR="0066038E" w:rsidRPr="009667DE" w:rsidRDefault="0066038E" w:rsidP="003C5D5D">
            <w:r w:rsidRPr="009667DE">
              <w:t>Województwo</w:t>
            </w:r>
          </w:p>
        </w:tc>
        <w:tc>
          <w:tcPr>
            <w:tcW w:w="11198" w:type="dxa"/>
            <w:shd w:val="clear" w:color="auto" w:fill="A6A6A6" w:themeFill="background1" w:themeFillShade="A6"/>
          </w:tcPr>
          <w:p w14:paraId="632791E5" w14:textId="77777777" w:rsidR="0066038E" w:rsidRPr="009667DE" w:rsidRDefault="0066038E" w:rsidP="003C5D5D"/>
        </w:tc>
      </w:tr>
      <w:tr w:rsidR="0066038E" w:rsidRPr="009667DE" w14:paraId="4B7B21BE" w14:textId="77777777" w:rsidTr="003C5D5D">
        <w:tc>
          <w:tcPr>
            <w:tcW w:w="686" w:type="dxa"/>
          </w:tcPr>
          <w:p w14:paraId="3D2E9FDE" w14:textId="77777777" w:rsidR="0066038E" w:rsidRPr="009667DE" w:rsidRDefault="0066038E" w:rsidP="003C5D5D">
            <w:pPr>
              <w:pStyle w:val="Akapitzlist"/>
              <w:numPr>
                <w:ilvl w:val="0"/>
                <w:numId w:val="12"/>
              </w:numPr>
            </w:pPr>
          </w:p>
        </w:tc>
        <w:tc>
          <w:tcPr>
            <w:tcW w:w="2003" w:type="dxa"/>
          </w:tcPr>
          <w:p w14:paraId="40B7E6E2" w14:textId="77777777" w:rsidR="0066038E" w:rsidRPr="009667DE" w:rsidRDefault="0066038E" w:rsidP="003C5D5D">
            <w:r w:rsidRPr="009667DE">
              <w:t>Część KPO</w:t>
            </w:r>
          </w:p>
        </w:tc>
        <w:tc>
          <w:tcPr>
            <w:tcW w:w="11198" w:type="dxa"/>
          </w:tcPr>
          <w:p w14:paraId="6A214E68" w14:textId="77777777" w:rsidR="0066038E" w:rsidRPr="009667DE" w:rsidRDefault="0066038E" w:rsidP="003C5D5D">
            <w:r w:rsidRPr="009667DE">
              <w:t>Komponent E „Zielona, inteligentna mobilność”</w:t>
            </w:r>
          </w:p>
          <w:p w14:paraId="1AC9D19D" w14:textId="77777777" w:rsidR="0066038E" w:rsidRPr="009667DE" w:rsidRDefault="0066038E" w:rsidP="003C5D5D">
            <w:r w:rsidRPr="009667DE">
              <w:t>2. Główne Wyzwania i Cele, a. Wyzwania</w:t>
            </w:r>
          </w:p>
        </w:tc>
      </w:tr>
      <w:tr w:rsidR="0066038E" w:rsidRPr="009667DE" w14:paraId="48447E3C" w14:textId="77777777" w:rsidTr="003C5D5D">
        <w:tc>
          <w:tcPr>
            <w:tcW w:w="686" w:type="dxa"/>
          </w:tcPr>
          <w:p w14:paraId="4DCA4838" w14:textId="77777777" w:rsidR="0066038E" w:rsidRPr="009667DE" w:rsidRDefault="0066038E" w:rsidP="003C5D5D">
            <w:pPr>
              <w:pStyle w:val="Akapitzlist"/>
              <w:numPr>
                <w:ilvl w:val="0"/>
                <w:numId w:val="12"/>
              </w:numPr>
            </w:pPr>
          </w:p>
        </w:tc>
        <w:tc>
          <w:tcPr>
            <w:tcW w:w="2003" w:type="dxa"/>
          </w:tcPr>
          <w:p w14:paraId="64417025" w14:textId="77777777" w:rsidR="0066038E" w:rsidRPr="009667DE" w:rsidRDefault="0066038E" w:rsidP="003C5D5D">
            <w:r w:rsidRPr="009667DE">
              <w:t>Strona</w:t>
            </w:r>
          </w:p>
        </w:tc>
        <w:tc>
          <w:tcPr>
            <w:tcW w:w="11198" w:type="dxa"/>
          </w:tcPr>
          <w:p w14:paraId="3D78398C" w14:textId="77777777" w:rsidR="0066038E" w:rsidRPr="009667DE" w:rsidRDefault="0066038E" w:rsidP="003C5D5D">
            <w:r w:rsidRPr="009667DE">
              <w:t>197-200</w:t>
            </w:r>
          </w:p>
        </w:tc>
      </w:tr>
      <w:tr w:rsidR="0066038E" w:rsidRPr="009667DE" w14:paraId="0939928A" w14:textId="77777777" w:rsidTr="003C5D5D">
        <w:tc>
          <w:tcPr>
            <w:tcW w:w="686" w:type="dxa"/>
          </w:tcPr>
          <w:p w14:paraId="06AB9D7D" w14:textId="77777777" w:rsidR="0066038E" w:rsidRPr="009667DE" w:rsidRDefault="0066038E" w:rsidP="003C5D5D">
            <w:pPr>
              <w:pStyle w:val="Akapitzlist"/>
              <w:numPr>
                <w:ilvl w:val="0"/>
                <w:numId w:val="12"/>
              </w:numPr>
            </w:pPr>
          </w:p>
        </w:tc>
        <w:tc>
          <w:tcPr>
            <w:tcW w:w="2003" w:type="dxa"/>
          </w:tcPr>
          <w:p w14:paraId="00C58826" w14:textId="77777777" w:rsidR="0066038E" w:rsidRPr="009667DE" w:rsidRDefault="0066038E" w:rsidP="003C5D5D">
            <w:r w:rsidRPr="009667DE">
              <w:t>Treść Uwagi</w:t>
            </w:r>
          </w:p>
        </w:tc>
        <w:tc>
          <w:tcPr>
            <w:tcW w:w="11198" w:type="dxa"/>
          </w:tcPr>
          <w:p w14:paraId="3504D513"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części „Wyzwania”</w:t>
            </w:r>
            <w:r w:rsidRPr="009667DE">
              <w:rPr>
                <w:rFonts w:ascii="Calibri" w:hAnsi="Calibri" w:cs="Calibri"/>
              </w:rPr>
              <w:br/>
            </w:r>
          </w:p>
          <w:p w14:paraId="156F0762" w14:textId="77777777" w:rsidR="0066038E" w:rsidRPr="009667DE" w:rsidRDefault="0066038E" w:rsidP="003C5D5D">
            <w:pPr>
              <w:pStyle w:val="Default"/>
              <w:rPr>
                <w:color w:val="auto"/>
                <w:sz w:val="22"/>
                <w:szCs w:val="22"/>
              </w:rPr>
            </w:pPr>
            <w:r w:rsidRPr="009667DE">
              <w:rPr>
                <w:color w:val="auto"/>
                <w:sz w:val="22"/>
                <w:szCs w:val="22"/>
              </w:rPr>
              <w:t xml:space="preserve">Polskie miasta nie posiadają spójnych systemów tras rowerowych, co nie pozwala na pełny rozwój potencjału z zakresie transportu rowerowego. Miasta liderujące pod względem udziału ruchu rowerowego w podróżach mają go na poziomie ok. 7%, w czasie, gdy potencjał (pod w warunkiem powstania w miastach funkcjonalnego systemu tras) można szacować na poziom ok. 15-20% (na podstawie zbliżonych uwarunkowaniami miasto wschodnio niemieckich). </w:t>
            </w:r>
          </w:p>
          <w:p w14:paraId="5F7AF289" w14:textId="77777777" w:rsidR="0066038E" w:rsidRPr="009667DE" w:rsidRDefault="0066038E" w:rsidP="003C5D5D">
            <w:pPr>
              <w:pStyle w:val="Default"/>
              <w:rPr>
                <w:color w:val="auto"/>
                <w:sz w:val="22"/>
                <w:szCs w:val="22"/>
              </w:rPr>
            </w:pPr>
          </w:p>
          <w:p w14:paraId="0AB74F3F" w14:textId="3426C5AA" w:rsidR="0066038E" w:rsidRPr="009667DE" w:rsidRDefault="0066038E" w:rsidP="003C5D5D">
            <w:pPr>
              <w:pStyle w:val="Default"/>
              <w:rPr>
                <w:color w:val="auto"/>
                <w:sz w:val="22"/>
                <w:szCs w:val="22"/>
              </w:rPr>
            </w:pPr>
            <w:r w:rsidRPr="009667DE">
              <w:rPr>
                <w:color w:val="auto"/>
                <w:sz w:val="22"/>
                <w:szCs w:val="22"/>
              </w:rPr>
              <w:t>Jednocześnie, jak wskazuje Strategia Rozwoju Transportu do 2030 zdecydowana większość została zbudowana w miastach, wynosiła w 2017 r. ponad 12 tys. km (wzrost o blisko 75% w latach 2012-2017). Przekłada się to na gęstość ścieżek rowerowych wynoszącą 388,2 km na 10 tys. km2 w skali całego kraju. Systemy rowerów publicznych funkcjonowały w ok. 33 polskich miastach i gminach. Strategia wskazuje m.in. na problemy w dostępności ścieżek</w:t>
            </w:r>
            <w:r w:rsidR="00C92263">
              <w:rPr>
                <w:color w:val="auto"/>
                <w:sz w:val="22"/>
                <w:szCs w:val="22"/>
              </w:rPr>
              <w:t xml:space="preserve"> </w:t>
            </w:r>
            <w:r w:rsidRPr="009667DE">
              <w:rPr>
                <w:color w:val="auto"/>
                <w:sz w:val="22"/>
                <w:szCs w:val="22"/>
              </w:rPr>
              <w:t>rowerowych</w:t>
            </w:r>
            <w:r w:rsidR="00C92263">
              <w:rPr>
                <w:color w:val="auto"/>
                <w:sz w:val="22"/>
                <w:szCs w:val="22"/>
              </w:rPr>
              <w:t>, które</w:t>
            </w:r>
            <w:r w:rsidRPr="009667DE">
              <w:rPr>
                <w:color w:val="auto"/>
                <w:sz w:val="22"/>
                <w:szCs w:val="22"/>
              </w:rPr>
              <w:t xml:space="preserve"> przekładały się dotychczas na bardzo niewielki udział ruchu rowerowego, który wynosił ok. 1-6% podróży ogółem. Rośnie również liczba przewozów rowerów koleją jako łączonego środka transportu "Przesiadaj się i jedź”. W 2017 r. bilet na przewóz roweru pociągiem PKP Intercity kupiło ok. 113 tys. osób. W pierwszym półroczu 2018 r., w stosunku do analogicznego okresu 2017 r., w pociągach PKP Intercity o 18% zwiększyła się liczba przewiezionych rowerów.</w:t>
            </w:r>
          </w:p>
          <w:p w14:paraId="3567DB09" w14:textId="77777777" w:rsidR="0066038E" w:rsidRPr="009667DE" w:rsidRDefault="0066038E" w:rsidP="003C5D5D">
            <w:pPr>
              <w:pStyle w:val="Default"/>
              <w:rPr>
                <w:color w:val="auto"/>
                <w:sz w:val="22"/>
                <w:szCs w:val="22"/>
              </w:rPr>
            </w:pPr>
          </w:p>
          <w:p w14:paraId="6C4AB61E" w14:textId="77777777" w:rsidR="0066038E" w:rsidRPr="009667DE" w:rsidRDefault="0066038E" w:rsidP="003C5D5D">
            <w:pPr>
              <w:autoSpaceDE w:val="0"/>
              <w:autoSpaceDN w:val="0"/>
              <w:adjustRightInd w:val="0"/>
              <w:rPr>
                <w:rFonts w:ascii="Calibri" w:hAnsi="Calibri" w:cs="Calibri"/>
              </w:rPr>
            </w:pPr>
            <w:r w:rsidRPr="009667DE">
              <w:t>Problem będącym przyczyną niewykorzystania potencjału np. komunikacji rowerowej jest problem z podziałem przestrzeni pomiędzy różne środki transportu, co powoduje stymulowanie indywidualnej komunikacji samochodowej, zaś zaniżanie ruchu rowerowego. Dzieje się tak, ponieważ mieszkańcy nie uznają dróg rowerowych za efektywne, bezpieczne i wygodne. W konsekwencji obciążenie środowiskowe poprzez wybór samochodu, jest sprzężona z racjonalną potrzebą zapewnienia bezpieczeństwa i komfortu przemieszczania, w szczególności w miastach, gdzie problem emisji z transportu i kwestie zachowania dystansu społecznego są decydujące dla zatrzymywania rozwoju także przyszłych pandemii</w:t>
            </w:r>
            <w:r w:rsidRPr="009667DE">
              <w:rPr>
                <w:rFonts w:ascii="Calibri" w:hAnsi="Calibri" w:cs="Calibri"/>
              </w:rPr>
              <w:br/>
            </w:r>
          </w:p>
        </w:tc>
      </w:tr>
      <w:tr w:rsidR="0066038E" w:rsidRPr="009667DE" w14:paraId="56D513CD" w14:textId="77777777" w:rsidTr="003C5D5D">
        <w:tc>
          <w:tcPr>
            <w:tcW w:w="686" w:type="dxa"/>
          </w:tcPr>
          <w:p w14:paraId="00B77282" w14:textId="77777777" w:rsidR="0066038E" w:rsidRPr="009667DE" w:rsidRDefault="0066038E" w:rsidP="003C5D5D">
            <w:pPr>
              <w:pStyle w:val="Akapitzlist"/>
              <w:numPr>
                <w:ilvl w:val="0"/>
                <w:numId w:val="12"/>
              </w:numPr>
            </w:pPr>
          </w:p>
        </w:tc>
        <w:tc>
          <w:tcPr>
            <w:tcW w:w="2003" w:type="dxa"/>
          </w:tcPr>
          <w:p w14:paraId="18B08573" w14:textId="77777777" w:rsidR="0066038E" w:rsidRPr="009667DE" w:rsidRDefault="0066038E" w:rsidP="003C5D5D">
            <w:r w:rsidRPr="009667DE">
              <w:t>Uzasadnienie uwagi</w:t>
            </w:r>
          </w:p>
        </w:tc>
        <w:tc>
          <w:tcPr>
            <w:tcW w:w="11198" w:type="dxa"/>
          </w:tcPr>
          <w:p w14:paraId="46FC444D" w14:textId="77777777" w:rsidR="0066038E" w:rsidRPr="009667DE" w:rsidRDefault="0066038E" w:rsidP="003C5D5D">
            <w:pPr>
              <w:pStyle w:val="Default"/>
              <w:rPr>
                <w:color w:val="auto"/>
                <w:sz w:val="22"/>
                <w:szCs w:val="22"/>
              </w:rPr>
            </w:pPr>
          </w:p>
        </w:tc>
      </w:tr>
    </w:tbl>
    <w:p w14:paraId="47658F1E" w14:textId="77777777" w:rsidR="0066038E" w:rsidRPr="009667DE" w:rsidRDefault="0066038E" w:rsidP="0066038E"/>
    <w:tbl>
      <w:tblPr>
        <w:tblStyle w:val="Tabela-Siatka"/>
        <w:tblW w:w="0" w:type="auto"/>
        <w:tblLook w:val="04A0" w:firstRow="1" w:lastRow="0" w:firstColumn="1" w:lastColumn="0" w:noHBand="0" w:noVBand="1"/>
      </w:tblPr>
      <w:tblGrid>
        <w:gridCol w:w="686"/>
        <w:gridCol w:w="2003"/>
        <w:gridCol w:w="11198"/>
      </w:tblGrid>
      <w:tr w:rsidR="0066038E" w:rsidRPr="009667DE" w14:paraId="18D05964" w14:textId="77777777" w:rsidTr="003C5D5D">
        <w:tc>
          <w:tcPr>
            <w:tcW w:w="686" w:type="dxa"/>
          </w:tcPr>
          <w:p w14:paraId="1E303E1A" w14:textId="77777777" w:rsidR="0066038E" w:rsidRPr="009667DE" w:rsidRDefault="0066038E" w:rsidP="003C5D5D">
            <w:proofErr w:type="spellStart"/>
            <w:r w:rsidRPr="009667DE">
              <w:lastRenderedPageBreak/>
              <w:t>Lp</w:t>
            </w:r>
            <w:proofErr w:type="spellEnd"/>
          </w:p>
        </w:tc>
        <w:tc>
          <w:tcPr>
            <w:tcW w:w="2003" w:type="dxa"/>
          </w:tcPr>
          <w:p w14:paraId="3BCB3ADF" w14:textId="77777777" w:rsidR="0066038E" w:rsidRPr="009667DE" w:rsidRDefault="0066038E" w:rsidP="003C5D5D">
            <w:r w:rsidRPr="009667DE">
              <w:t>Pole formularza</w:t>
            </w:r>
          </w:p>
        </w:tc>
        <w:tc>
          <w:tcPr>
            <w:tcW w:w="11198" w:type="dxa"/>
          </w:tcPr>
          <w:p w14:paraId="7E9E452A" w14:textId="77777777" w:rsidR="0066038E" w:rsidRPr="009667DE" w:rsidRDefault="0066038E" w:rsidP="003C5D5D">
            <w:r w:rsidRPr="009667DE">
              <w:t>Treść</w:t>
            </w:r>
          </w:p>
        </w:tc>
      </w:tr>
      <w:tr w:rsidR="0066038E" w:rsidRPr="009667DE" w14:paraId="08396750" w14:textId="77777777" w:rsidTr="003C5D5D">
        <w:tc>
          <w:tcPr>
            <w:tcW w:w="686" w:type="dxa"/>
          </w:tcPr>
          <w:p w14:paraId="0C0211FF" w14:textId="77777777" w:rsidR="0066038E" w:rsidRPr="009667DE" w:rsidRDefault="0066038E" w:rsidP="003C5D5D">
            <w:pPr>
              <w:pStyle w:val="Akapitzlist"/>
              <w:numPr>
                <w:ilvl w:val="0"/>
                <w:numId w:val="13"/>
              </w:numPr>
            </w:pPr>
          </w:p>
        </w:tc>
        <w:tc>
          <w:tcPr>
            <w:tcW w:w="2003" w:type="dxa"/>
          </w:tcPr>
          <w:p w14:paraId="46790DBF" w14:textId="77777777" w:rsidR="0066038E" w:rsidRPr="009667DE" w:rsidRDefault="0066038E" w:rsidP="003C5D5D">
            <w:r w:rsidRPr="009667DE">
              <w:t>Imię</w:t>
            </w:r>
          </w:p>
        </w:tc>
        <w:tc>
          <w:tcPr>
            <w:tcW w:w="11198" w:type="dxa"/>
            <w:shd w:val="clear" w:color="auto" w:fill="A6A6A6" w:themeFill="background1" w:themeFillShade="A6"/>
          </w:tcPr>
          <w:p w14:paraId="2D113560" w14:textId="77777777" w:rsidR="0066038E" w:rsidRPr="009667DE" w:rsidRDefault="0066038E" w:rsidP="003C5D5D"/>
        </w:tc>
      </w:tr>
      <w:tr w:rsidR="0066038E" w:rsidRPr="009667DE" w14:paraId="755D06C4" w14:textId="77777777" w:rsidTr="003C5D5D">
        <w:tc>
          <w:tcPr>
            <w:tcW w:w="686" w:type="dxa"/>
          </w:tcPr>
          <w:p w14:paraId="1D3D2DD3" w14:textId="77777777" w:rsidR="0066038E" w:rsidRPr="009667DE" w:rsidRDefault="0066038E" w:rsidP="003C5D5D">
            <w:pPr>
              <w:pStyle w:val="Akapitzlist"/>
              <w:numPr>
                <w:ilvl w:val="0"/>
                <w:numId w:val="13"/>
              </w:numPr>
            </w:pPr>
          </w:p>
        </w:tc>
        <w:tc>
          <w:tcPr>
            <w:tcW w:w="2003" w:type="dxa"/>
          </w:tcPr>
          <w:p w14:paraId="4F13AF40" w14:textId="77777777" w:rsidR="0066038E" w:rsidRPr="009667DE" w:rsidRDefault="0066038E" w:rsidP="003C5D5D">
            <w:r w:rsidRPr="009667DE">
              <w:t>Nazwisko</w:t>
            </w:r>
          </w:p>
        </w:tc>
        <w:tc>
          <w:tcPr>
            <w:tcW w:w="11198" w:type="dxa"/>
            <w:shd w:val="clear" w:color="auto" w:fill="A6A6A6" w:themeFill="background1" w:themeFillShade="A6"/>
          </w:tcPr>
          <w:p w14:paraId="4136FB8C" w14:textId="77777777" w:rsidR="0066038E" w:rsidRPr="009667DE" w:rsidRDefault="0066038E" w:rsidP="003C5D5D"/>
        </w:tc>
      </w:tr>
      <w:tr w:rsidR="0066038E" w:rsidRPr="009667DE" w14:paraId="73AA40DA" w14:textId="77777777" w:rsidTr="003C5D5D">
        <w:tc>
          <w:tcPr>
            <w:tcW w:w="686" w:type="dxa"/>
          </w:tcPr>
          <w:p w14:paraId="0CD99666" w14:textId="77777777" w:rsidR="0066038E" w:rsidRPr="009667DE" w:rsidRDefault="0066038E" w:rsidP="003C5D5D">
            <w:pPr>
              <w:pStyle w:val="Akapitzlist"/>
              <w:numPr>
                <w:ilvl w:val="0"/>
                <w:numId w:val="13"/>
              </w:numPr>
            </w:pPr>
          </w:p>
        </w:tc>
        <w:tc>
          <w:tcPr>
            <w:tcW w:w="2003" w:type="dxa"/>
          </w:tcPr>
          <w:p w14:paraId="126B9103" w14:textId="77777777" w:rsidR="0066038E" w:rsidRPr="009667DE" w:rsidRDefault="0066038E" w:rsidP="003C5D5D">
            <w:r w:rsidRPr="009667DE">
              <w:t>Instytucja</w:t>
            </w:r>
          </w:p>
        </w:tc>
        <w:tc>
          <w:tcPr>
            <w:tcW w:w="11198" w:type="dxa"/>
            <w:shd w:val="clear" w:color="auto" w:fill="A6A6A6" w:themeFill="background1" w:themeFillShade="A6"/>
          </w:tcPr>
          <w:p w14:paraId="43A6DE48" w14:textId="77777777" w:rsidR="0066038E" w:rsidRPr="009667DE" w:rsidRDefault="0066038E" w:rsidP="003C5D5D"/>
        </w:tc>
      </w:tr>
      <w:tr w:rsidR="0066038E" w:rsidRPr="009667DE" w14:paraId="10D9ADDF" w14:textId="77777777" w:rsidTr="003C5D5D">
        <w:tc>
          <w:tcPr>
            <w:tcW w:w="686" w:type="dxa"/>
          </w:tcPr>
          <w:p w14:paraId="6586DD16" w14:textId="77777777" w:rsidR="0066038E" w:rsidRPr="009667DE" w:rsidRDefault="0066038E" w:rsidP="003C5D5D">
            <w:pPr>
              <w:pStyle w:val="Akapitzlist"/>
              <w:numPr>
                <w:ilvl w:val="0"/>
                <w:numId w:val="13"/>
              </w:numPr>
            </w:pPr>
          </w:p>
        </w:tc>
        <w:tc>
          <w:tcPr>
            <w:tcW w:w="2003" w:type="dxa"/>
          </w:tcPr>
          <w:p w14:paraId="01DC726F" w14:textId="77777777" w:rsidR="0066038E" w:rsidRPr="009667DE" w:rsidRDefault="0066038E" w:rsidP="003C5D5D">
            <w:r w:rsidRPr="009667DE">
              <w:t>Województwo</w:t>
            </w:r>
          </w:p>
        </w:tc>
        <w:tc>
          <w:tcPr>
            <w:tcW w:w="11198" w:type="dxa"/>
            <w:shd w:val="clear" w:color="auto" w:fill="A6A6A6" w:themeFill="background1" w:themeFillShade="A6"/>
          </w:tcPr>
          <w:p w14:paraId="011EACD9" w14:textId="77777777" w:rsidR="0066038E" w:rsidRPr="009667DE" w:rsidRDefault="0066038E" w:rsidP="003C5D5D"/>
        </w:tc>
      </w:tr>
      <w:tr w:rsidR="0066038E" w:rsidRPr="009667DE" w14:paraId="12150ADE" w14:textId="77777777" w:rsidTr="003C5D5D">
        <w:tc>
          <w:tcPr>
            <w:tcW w:w="686" w:type="dxa"/>
          </w:tcPr>
          <w:p w14:paraId="09EFEE7E" w14:textId="77777777" w:rsidR="0066038E" w:rsidRPr="009667DE" w:rsidRDefault="0066038E" w:rsidP="003C5D5D">
            <w:pPr>
              <w:pStyle w:val="Akapitzlist"/>
              <w:numPr>
                <w:ilvl w:val="0"/>
                <w:numId w:val="13"/>
              </w:numPr>
            </w:pPr>
          </w:p>
        </w:tc>
        <w:tc>
          <w:tcPr>
            <w:tcW w:w="2003" w:type="dxa"/>
          </w:tcPr>
          <w:p w14:paraId="549D1E1D" w14:textId="77777777" w:rsidR="0066038E" w:rsidRPr="009667DE" w:rsidRDefault="0066038E" w:rsidP="003C5D5D">
            <w:r w:rsidRPr="009667DE">
              <w:t>Część KPO</w:t>
            </w:r>
          </w:p>
        </w:tc>
        <w:tc>
          <w:tcPr>
            <w:tcW w:w="11198" w:type="dxa"/>
          </w:tcPr>
          <w:p w14:paraId="2A990F5E" w14:textId="77777777" w:rsidR="0066038E" w:rsidRPr="009667DE" w:rsidRDefault="0066038E" w:rsidP="003C5D5D">
            <w:r w:rsidRPr="009667DE">
              <w:t>Komponent E „Zielona, inteligentna mobilność”</w:t>
            </w:r>
          </w:p>
          <w:p w14:paraId="4CEF441E" w14:textId="77777777" w:rsidR="0066038E" w:rsidRPr="009667DE" w:rsidRDefault="0066038E" w:rsidP="003C5D5D">
            <w:r w:rsidRPr="009667DE">
              <w:t>2. Główne Wyzwania i Cele, a. Cele, Cele Szczegółowe E1</w:t>
            </w:r>
          </w:p>
        </w:tc>
      </w:tr>
      <w:tr w:rsidR="0066038E" w:rsidRPr="009667DE" w14:paraId="640EB7D9" w14:textId="77777777" w:rsidTr="003C5D5D">
        <w:tc>
          <w:tcPr>
            <w:tcW w:w="686" w:type="dxa"/>
          </w:tcPr>
          <w:p w14:paraId="4C4EA391" w14:textId="77777777" w:rsidR="0066038E" w:rsidRPr="009667DE" w:rsidRDefault="0066038E" w:rsidP="003C5D5D">
            <w:pPr>
              <w:pStyle w:val="Akapitzlist"/>
              <w:numPr>
                <w:ilvl w:val="0"/>
                <w:numId w:val="13"/>
              </w:numPr>
            </w:pPr>
          </w:p>
        </w:tc>
        <w:tc>
          <w:tcPr>
            <w:tcW w:w="2003" w:type="dxa"/>
          </w:tcPr>
          <w:p w14:paraId="7FE5BF00" w14:textId="77777777" w:rsidR="0066038E" w:rsidRPr="009667DE" w:rsidRDefault="0066038E" w:rsidP="003C5D5D">
            <w:r w:rsidRPr="009667DE">
              <w:t>Strona</w:t>
            </w:r>
          </w:p>
        </w:tc>
        <w:tc>
          <w:tcPr>
            <w:tcW w:w="11198" w:type="dxa"/>
          </w:tcPr>
          <w:p w14:paraId="2BDD4E39" w14:textId="77777777" w:rsidR="0066038E" w:rsidRPr="009667DE" w:rsidRDefault="0066038E" w:rsidP="003C5D5D">
            <w:r w:rsidRPr="009667DE">
              <w:t>197-200</w:t>
            </w:r>
          </w:p>
        </w:tc>
      </w:tr>
      <w:tr w:rsidR="0066038E" w:rsidRPr="009667DE" w14:paraId="14A5FA5C" w14:textId="77777777" w:rsidTr="003C5D5D">
        <w:tc>
          <w:tcPr>
            <w:tcW w:w="686" w:type="dxa"/>
          </w:tcPr>
          <w:p w14:paraId="23AFE330" w14:textId="77777777" w:rsidR="0066038E" w:rsidRPr="009667DE" w:rsidRDefault="0066038E" w:rsidP="003C5D5D">
            <w:pPr>
              <w:pStyle w:val="Akapitzlist"/>
              <w:numPr>
                <w:ilvl w:val="0"/>
                <w:numId w:val="13"/>
              </w:numPr>
            </w:pPr>
          </w:p>
        </w:tc>
        <w:tc>
          <w:tcPr>
            <w:tcW w:w="2003" w:type="dxa"/>
          </w:tcPr>
          <w:p w14:paraId="2DAB7CBC" w14:textId="77777777" w:rsidR="0066038E" w:rsidRPr="009667DE" w:rsidRDefault="0066038E" w:rsidP="003C5D5D">
            <w:r w:rsidRPr="009667DE">
              <w:t>Treść Uwagi</w:t>
            </w:r>
          </w:p>
        </w:tc>
        <w:tc>
          <w:tcPr>
            <w:tcW w:w="11198" w:type="dxa"/>
          </w:tcPr>
          <w:p w14:paraId="26DCF909"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części „Cele szczegółowe”</w:t>
            </w:r>
            <w:r w:rsidRPr="009667DE">
              <w:rPr>
                <w:rFonts w:ascii="Calibri" w:hAnsi="Calibri" w:cs="Calibri"/>
              </w:rPr>
              <w:br/>
            </w:r>
          </w:p>
          <w:p w14:paraId="064AA5B7" w14:textId="77777777" w:rsidR="0066038E" w:rsidRPr="009667DE" w:rsidRDefault="0066038E" w:rsidP="003C5D5D">
            <w:pPr>
              <w:autoSpaceDE w:val="0"/>
              <w:autoSpaceDN w:val="0"/>
              <w:adjustRightInd w:val="0"/>
              <w:rPr>
                <w:rFonts w:ascii="Calibri" w:hAnsi="Calibri" w:cs="Calibri"/>
              </w:rPr>
            </w:pPr>
            <w:r w:rsidRPr="009667DE">
              <w:t>Zmiany te będą służyć m.in. poprawie stanu oraz ograniczeniu emisyjności taboru w transporcie pasażerskim. Wzrośnie zatem atrakcyjność transportu publicznego, która będzie realizowana w większym zakresie przy wykorzystaniu zeroemisyjnych środków transportu. Poprawie ulegnie także sieć dróg rowerowych, dzięki czemu zwiększy się rola zeroemisyjnego i odpornego na pandemię środka transportu indywidualnego, jak również poprawi się intermodalność podróży, dzięki integracji roweru z innymi środkami transportu zbiorowego na pierwszej lub ostatniej mili.</w:t>
            </w:r>
          </w:p>
          <w:p w14:paraId="78C40FFB" w14:textId="77777777" w:rsidR="0066038E" w:rsidRPr="009667DE" w:rsidRDefault="0066038E" w:rsidP="003C5D5D">
            <w:pPr>
              <w:autoSpaceDE w:val="0"/>
              <w:autoSpaceDN w:val="0"/>
              <w:adjustRightInd w:val="0"/>
              <w:rPr>
                <w:rFonts w:ascii="Calibri" w:hAnsi="Calibri" w:cs="Calibri"/>
              </w:rPr>
            </w:pPr>
          </w:p>
        </w:tc>
      </w:tr>
      <w:tr w:rsidR="0066038E" w:rsidRPr="009667DE" w14:paraId="4EB20FA3" w14:textId="77777777" w:rsidTr="003C5D5D">
        <w:tc>
          <w:tcPr>
            <w:tcW w:w="686" w:type="dxa"/>
          </w:tcPr>
          <w:p w14:paraId="3E825DBC" w14:textId="77777777" w:rsidR="0066038E" w:rsidRPr="009667DE" w:rsidRDefault="0066038E" w:rsidP="003C5D5D">
            <w:pPr>
              <w:pStyle w:val="Akapitzlist"/>
              <w:numPr>
                <w:ilvl w:val="0"/>
                <w:numId w:val="13"/>
              </w:numPr>
            </w:pPr>
          </w:p>
        </w:tc>
        <w:tc>
          <w:tcPr>
            <w:tcW w:w="2003" w:type="dxa"/>
          </w:tcPr>
          <w:p w14:paraId="2A52C59F" w14:textId="77777777" w:rsidR="0066038E" w:rsidRPr="009667DE" w:rsidRDefault="0066038E" w:rsidP="003C5D5D">
            <w:r w:rsidRPr="009667DE">
              <w:t>Uzasadnienie uwagi</w:t>
            </w:r>
          </w:p>
        </w:tc>
        <w:tc>
          <w:tcPr>
            <w:tcW w:w="11198" w:type="dxa"/>
          </w:tcPr>
          <w:p w14:paraId="447433D0" w14:textId="77777777" w:rsidR="0066038E" w:rsidRPr="009667DE" w:rsidRDefault="0066038E" w:rsidP="003C5D5D">
            <w:pPr>
              <w:pStyle w:val="Default"/>
              <w:rPr>
                <w:color w:val="auto"/>
                <w:sz w:val="22"/>
                <w:szCs w:val="22"/>
              </w:rPr>
            </w:pPr>
            <w:r w:rsidRPr="009667DE">
              <w:rPr>
                <w:color w:val="auto"/>
                <w:sz w:val="22"/>
                <w:szCs w:val="22"/>
              </w:rPr>
              <w:t xml:space="preserve">Zwraca się uwagę na fakt, iż cel główny komponentu E to Rozwój zrównoważonego, bezpiecznego i odpornego systemu transportowego, zapewniającego odpowiednią obsługę potrzeb gospodarki i społeczeństwa, poprzez zwiększenie dostępności transportowej i walkę z wykluczeniem komunikacyjnym m.in. za pomocą zrównoważonych i cyfrowych rozwiązań minimalizujących negatywne oddziaływanie na środowisko. Należy z całą mocą podkreślić, że choć elektryczne autobusy wyczerpują do pewnego stopnia znamiona "zrównoważonego" elementu systemu transportowego, to nie można uznać ich za element "bezpieczny" i "odporny". Co więcej, właśnie transport publiczny - niezależnie od trakcji, czy źródła napędu w przypadku pandemii i związanego z nią obowiązku zachowania dystansu społecznego - podlega największym obostrzeniom. W sytuacji konieczności jednoczesnej poprawy warunków </w:t>
            </w:r>
            <w:proofErr w:type="spellStart"/>
            <w:r w:rsidRPr="009667DE">
              <w:rPr>
                <w:color w:val="auto"/>
                <w:sz w:val="22"/>
                <w:szCs w:val="22"/>
              </w:rPr>
              <w:t>aerosanitarnych</w:t>
            </w:r>
            <w:proofErr w:type="spellEnd"/>
            <w:r w:rsidRPr="009667DE">
              <w:rPr>
                <w:color w:val="auto"/>
                <w:sz w:val="22"/>
                <w:szCs w:val="22"/>
              </w:rPr>
              <w:t xml:space="preserve"> oraz wymogu zachowywania dystansu społecznego to właśnie transport rowerowy staje się kluczowym elementem pozwalającym zachować odporność, przy jednoczesnym utrzymaniu poziomu mobilności mieszkańców. Zwraca się jednak ponownie uwagę na fakt, że w większości polskich miast jego wykorzystanie jest tłamszone ze względu na brak infrastruktury, która umożliwia realizację podróży w sposób bezpieczny, wygodny i efektywny. Zgodnie z badaniami CBOS aż 64% Polaków nie czuje się bezpiecznie jadąc rowerem. To istotne ograniczenie w rozwoju transportu rowerowego.</w:t>
            </w:r>
          </w:p>
          <w:p w14:paraId="38F47E3E" w14:textId="77777777" w:rsidR="0066038E" w:rsidRPr="009667DE" w:rsidRDefault="0066038E" w:rsidP="003C5D5D">
            <w:pPr>
              <w:pStyle w:val="Default"/>
              <w:rPr>
                <w:color w:val="auto"/>
                <w:sz w:val="22"/>
                <w:szCs w:val="22"/>
              </w:rPr>
            </w:pPr>
          </w:p>
          <w:p w14:paraId="169BD589" w14:textId="77777777" w:rsidR="0066038E" w:rsidRPr="009667DE" w:rsidRDefault="0066038E" w:rsidP="003C5D5D">
            <w:pPr>
              <w:pStyle w:val="Default"/>
              <w:rPr>
                <w:color w:val="auto"/>
                <w:sz w:val="22"/>
                <w:szCs w:val="22"/>
              </w:rPr>
            </w:pPr>
            <w:r w:rsidRPr="009667DE">
              <w:rPr>
                <w:color w:val="auto"/>
                <w:sz w:val="22"/>
                <w:szCs w:val="22"/>
              </w:rPr>
              <w:t>Podkreślić należy także fakt, ze wymiana taboru autobusowego komunikacji miejskiej w niewielkim stopniu przyczyni się do redukcji emisji substancji szkodliwych.</w:t>
            </w:r>
            <w:r w:rsidRPr="009667DE">
              <w:rPr>
                <w:color w:val="auto"/>
              </w:rPr>
              <w:t xml:space="preserve"> </w:t>
            </w:r>
            <w:r w:rsidRPr="009667DE">
              <w:rPr>
                <w:color w:val="auto"/>
                <w:sz w:val="22"/>
                <w:szCs w:val="22"/>
              </w:rPr>
              <w:t xml:space="preserve">Autobusy są głównym emitentem szkodliwych substancji. Transport publiczny, według badań krakowskiej AGH, odpowiada jedynie za 2,2 proc. całkowitej emisji zanieczyszczeń do powietrza, za to </w:t>
            </w:r>
            <w:r w:rsidRPr="009667DE">
              <w:rPr>
                <w:color w:val="auto"/>
                <w:sz w:val="22"/>
                <w:szCs w:val="22"/>
              </w:rPr>
              <w:lastRenderedPageBreak/>
              <w:t>samochody za 65-70 proc. zanieczyszczeń. Stąd należy dążyć do jak największego ograniczania ruchu samochodowego, m.in. poprzez tworzenie alternatywy w postaci bezpiecznego, wygodnego i efektu transportu rowerowego.</w:t>
            </w:r>
          </w:p>
          <w:p w14:paraId="735BA768" w14:textId="77777777" w:rsidR="0066038E" w:rsidRPr="009667DE" w:rsidRDefault="0066038E" w:rsidP="003C5D5D">
            <w:pPr>
              <w:pStyle w:val="Default"/>
              <w:rPr>
                <w:color w:val="auto"/>
                <w:sz w:val="22"/>
                <w:szCs w:val="22"/>
              </w:rPr>
            </w:pPr>
          </w:p>
          <w:p w14:paraId="1E323B4B" w14:textId="77777777" w:rsidR="0066038E" w:rsidRPr="009667DE" w:rsidRDefault="0066038E" w:rsidP="003C5D5D">
            <w:pPr>
              <w:pStyle w:val="Default"/>
              <w:rPr>
                <w:color w:val="auto"/>
                <w:sz w:val="22"/>
                <w:szCs w:val="22"/>
              </w:rPr>
            </w:pPr>
            <w:r w:rsidRPr="009667DE">
              <w:rPr>
                <w:color w:val="auto"/>
                <w:sz w:val="22"/>
                <w:szCs w:val="22"/>
              </w:rPr>
              <w:t xml:space="preserve">Zwraca się również uwagę, że elektryfikacja transportu autobusowego nie eliminuje wszystkich rodzajów zanieczyszczeń w transporcie drogowym. Nadal bowiem autobusy elektryczne poruszają się w gumowych oponach, hamują używając klocków i tarcz hamulcowych. Zgodnie z badaniami politechniki berlińskiej opona samochodowa traci w czasie eksploatacji w wyniku ścierania się materiału nawet do 2 kg masy, zaś w przypadku opon do ciężarówek i autobusów może to być nawet 12 kg. Ok. 9 proc. startej gumy trafia do atmosfery właśnie w formie pyłu. Opona zawiera liczne substancje, które w istotny sposób niekorzystnie wpływają na środowisko naturalne i stanowią dla niego zagrożenie. W ich skład mogą wchodzić metale ciężkie, rakotwórcze substancje takie jak benzen, szkodliwe polimery, fenole i wiele innych. </w:t>
            </w:r>
          </w:p>
          <w:p w14:paraId="08195F20" w14:textId="77777777" w:rsidR="0066038E" w:rsidRPr="009667DE" w:rsidRDefault="0066038E" w:rsidP="003C5D5D">
            <w:pPr>
              <w:pStyle w:val="Default"/>
              <w:rPr>
                <w:color w:val="auto"/>
                <w:sz w:val="22"/>
                <w:szCs w:val="22"/>
              </w:rPr>
            </w:pPr>
          </w:p>
          <w:p w14:paraId="50630EEA" w14:textId="77777777" w:rsidR="0066038E" w:rsidRPr="009667DE" w:rsidRDefault="0066038E" w:rsidP="003C5D5D">
            <w:pPr>
              <w:pStyle w:val="Default"/>
              <w:rPr>
                <w:color w:val="auto"/>
                <w:sz w:val="22"/>
                <w:szCs w:val="22"/>
              </w:rPr>
            </w:pPr>
            <w:r w:rsidRPr="009667DE">
              <w:rPr>
                <w:color w:val="auto"/>
                <w:sz w:val="22"/>
                <w:szCs w:val="22"/>
              </w:rPr>
              <w:t>Jednocześnie warto zauważyć, że autobusy elektryczne do hamowania zużywają nakładki hamulcowe zawierające materiały cierne. Głównymi składnikami materiału ciernego są: wypełniacze (m. in. stal, metale kolorowe, materiały mineralne i organiczne, siarka, grafit, kreda); plastyfikatory (np. olej talowy); modyfikatory (kauczuki syntetyczne butadienowe); przyśpieszacze; spoiwa (żywice fenolowo-formaldehydowe). Wyliczenia wskazują, że rocznie jeden samochód zużywa około pół kilograma materiału ciernego, co daje niecałe 0,2 grama dziennie na jedną nakładkę - autobus elektryczny z racji masy zużywa więcej materiału. W efekcie tarcia nakładek o tarcze hamulcowe również powstają pyły o różnym wymiarze: począwszy od cząsteczek gazowych, do pyłów o wielkości ułamka milimetra. Elementy te, w podobny sposób jak spaliny produkowane przez silniki diesla obniżają jakość powietrza.</w:t>
            </w:r>
          </w:p>
          <w:p w14:paraId="033FFB02" w14:textId="77777777" w:rsidR="0066038E" w:rsidRPr="009667DE" w:rsidRDefault="0066038E" w:rsidP="003C5D5D">
            <w:pPr>
              <w:pStyle w:val="Default"/>
              <w:rPr>
                <w:color w:val="auto"/>
                <w:sz w:val="22"/>
                <w:szCs w:val="22"/>
              </w:rPr>
            </w:pPr>
          </w:p>
          <w:p w14:paraId="488D2097" w14:textId="77777777" w:rsidR="0066038E" w:rsidRPr="009667DE" w:rsidRDefault="0066038E" w:rsidP="003C5D5D">
            <w:pPr>
              <w:pStyle w:val="Default"/>
              <w:rPr>
                <w:color w:val="auto"/>
                <w:sz w:val="22"/>
                <w:szCs w:val="22"/>
              </w:rPr>
            </w:pPr>
            <w:r w:rsidRPr="009667DE">
              <w:rPr>
                <w:color w:val="auto"/>
                <w:sz w:val="22"/>
                <w:szCs w:val="22"/>
              </w:rPr>
              <w:t>Elektryfikacja transportu nie rozwiązuje także zjawiska tzw. pyłu wzbudzonego, tj. wtórnego unoszenia się szkodliwych substancji pochodzących z różnych źródeł (ogrzewanie, transport, przemysł) osadzających się na powierzchni jezdni. Ruch pojazdów, w tym autobusów elektrycznych, powoduje turbulencje powietrza mogące ponownie wzbudzić pył drogowy. Wymiana autobusu z napędem diesla na elektryczny nie eliminuje tych problemów. Zjawisko to opisują m.in. raporty poszczególnych WIOŚ, czy prace badawcze Uniwersytetu Medycznego w Lublinie.</w:t>
            </w:r>
          </w:p>
          <w:p w14:paraId="692828C8" w14:textId="77777777" w:rsidR="0066038E" w:rsidRPr="009667DE" w:rsidRDefault="0066038E" w:rsidP="003C5D5D">
            <w:pPr>
              <w:pStyle w:val="Default"/>
              <w:rPr>
                <w:color w:val="auto"/>
                <w:sz w:val="22"/>
                <w:szCs w:val="22"/>
              </w:rPr>
            </w:pPr>
          </w:p>
          <w:p w14:paraId="44B16F07" w14:textId="77777777" w:rsidR="0066038E" w:rsidRPr="009667DE" w:rsidRDefault="0066038E" w:rsidP="003C5D5D">
            <w:pPr>
              <w:pStyle w:val="Default"/>
              <w:rPr>
                <w:color w:val="auto"/>
                <w:sz w:val="22"/>
                <w:szCs w:val="22"/>
              </w:rPr>
            </w:pPr>
            <w:r w:rsidRPr="009667DE">
              <w:rPr>
                <w:color w:val="auto"/>
                <w:sz w:val="22"/>
                <w:szCs w:val="22"/>
              </w:rPr>
              <w:t xml:space="preserve">Jednocześnie podkreślić należy, że w ujęciu Green Product Life </w:t>
            </w:r>
            <w:proofErr w:type="spellStart"/>
            <w:r w:rsidRPr="009667DE">
              <w:rPr>
                <w:color w:val="auto"/>
                <w:sz w:val="22"/>
                <w:szCs w:val="22"/>
              </w:rPr>
              <w:t>Cycle</w:t>
            </w:r>
            <w:proofErr w:type="spellEnd"/>
            <w:r w:rsidRPr="009667DE">
              <w:rPr>
                <w:color w:val="auto"/>
                <w:sz w:val="22"/>
                <w:szCs w:val="22"/>
              </w:rPr>
              <w:t xml:space="preserve"> produkcja i utylizacja autobusu elektrycznego jest zdecydowanie bardziej obciążająca środowisko niż produkcja roweru. W dodatku, co warto podkreślić, infrastruktura rowerowa pozwoli na wykorzystanie już posiadanych rowerów, co nie będzie wymagać zwiększania śladu węglowego związanego z produkcją oraz transportem.</w:t>
            </w:r>
          </w:p>
          <w:p w14:paraId="65FD285F" w14:textId="77777777" w:rsidR="0066038E" w:rsidRPr="009667DE" w:rsidRDefault="0066038E" w:rsidP="003C5D5D">
            <w:pPr>
              <w:pStyle w:val="Default"/>
              <w:rPr>
                <w:color w:val="auto"/>
                <w:sz w:val="22"/>
                <w:szCs w:val="22"/>
              </w:rPr>
            </w:pPr>
          </w:p>
          <w:p w14:paraId="3C02B3A2" w14:textId="77777777" w:rsidR="0066038E" w:rsidRPr="009667DE" w:rsidRDefault="0066038E" w:rsidP="003C5D5D">
            <w:pPr>
              <w:pStyle w:val="Default"/>
              <w:rPr>
                <w:color w:val="auto"/>
                <w:sz w:val="22"/>
                <w:szCs w:val="22"/>
              </w:rPr>
            </w:pPr>
            <w:r w:rsidRPr="009667DE">
              <w:rPr>
                <w:color w:val="auto"/>
                <w:sz w:val="22"/>
                <w:szCs w:val="22"/>
              </w:rPr>
              <w:lastRenderedPageBreak/>
              <w:t>Doprecyzowanie zapisu powyższego celu szczegółowego nie będzie wymagać korekty celu głównego komponentu E, stanowi jedynie jego dopełnienie i pozwala na holistyczne ujęcie zagadnienia obniżania emisji szkodliwych substancji w transporcie.</w:t>
            </w:r>
          </w:p>
        </w:tc>
      </w:tr>
    </w:tbl>
    <w:p w14:paraId="200ECC7D" w14:textId="77777777" w:rsidR="0066038E" w:rsidRPr="009667DE" w:rsidRDefault="0066038E" w:rsidP="0066038E">
      <w:r w:rsidRPr="009667DE">
        <w:lastRenderedPageBreak/>
        <w:br w:type="column"/>
      </w:r>
    </w:p>
    <w:tbl>
      <w:tblPr>
        <w:tblStyle w:val="Tabela-Siatka"/>
        <w:tblW w:w="0" w:type="auto"/>
        <w:tblLook w:val="04A0" w:firstRow="1" w:lastRow="0" w:firstColumn="1" w:lastColumn="0" w:noHBand="0" w:noVBand="1"/>
      </w:tblPr>
      <w:tblGrid>
        <w:gridCol w:w="686"/>
        <w:gridCol w:w="2003"/>
        <w:gridCol w:w="11198"/>
      </w:tblGrid>
      <w:tr w:rsidR="0066038E" w:rsidRPr="009667DE" w14:paraId="3087AAD9" w14:textId="77777777" w:rsidTr="003C5D5D">
        <w:tc>
          <w:tcPr>
            <w:tcW w:w="686" w:type="dxa"/>
          </w:tcPr>
          <w:p w14:paraId="72C79CF1" w14:textId="77777777" w:rsidR="0066038E" w:rsidRPr="009667DE" w:rsidRDefault="0066038E" w:rsidP="003C5D5D">
            <w:proofErr w:type="spellStart"/>
            <w:r w:rsidRPr="009667DE">
              <w:t>Lp</w:t>
            </w:r>
            <w:proofErr w:type="spellEnd"/>
          </w:p>
        </w:tc>
        <w:tc>
          <w:tcPr>
            <w:tcW w:w="2003" w:type="dxa"/>
          </w:tcPr>
          <w:p w14:paraId="6EDCB8F7" w14:textId="77777777" w:rsidR="0066038E" w:rsidRPr="009667DE" w:rsidRDefault="0066038E" w:rsidP="003C5D5D">
            <w:r w:rsidRPr="009667DE">
              <w:t>Pole formularza</w:t>
            </w:r>
          </w:p>
        </w:tc>
        <w:tc>
          <w:tcPr>
            <w:tcW w:w="11198" w:type="dxa"/>
          </w:tcPr>
          <w:p w14:paraId="24B0DFD5" w14:textId="77777777" w:rsidR="0066038E" w:rsidRPr="009667DE" w:rsidRDefault="0066038E" w:rsidP="003C5D5D">
            <w:r w:rsidRPr="009667DE">
              <w:t>Treść</w:t>
            </w:r>
          </w:p>
        </w:tc>
      </w:tr>
      <w:tr w:rsidR="0066038E" w:rsidRPr="009667DE" w14:paraId="1D7383C6" w14:textId="77777777" w:rsidTr="003C5D5D">
        <w:tc>
          <w:tcPr>
            <w:tcW w:w="686" w:type="dxa"/>
          </w:tcPr>
          <w:p w14:paraId="5FB210B6" w14:textId="77777777" w:rsidR="0066038E" w:rsidRPr="009667DE" w:rsidRDefault="0066038E" w:rsidP="003C5D5D">
            <w:pPr>
              <w:pStyle w:val="Akapitzlist"/>
              <w:numPr>
                <w:ilvl w:val="0"/>
                <w:numId w:val="14"/>
              </w:numPr>
            </w:pPr>
          </w:p>
        </w:tc>
        <w:tc>
          <w:tcPr>
            <w:tcW w:w="2003" w:type="dxa"/>
          </w:tcPr>
          <w:p w14:paraId="4D37F3B4" w14:textId="77777777" w:rsidR="0066038E" w:rsidRPr="009667DE" w:rsidRDefault="0066038E" w:rsidP="003C5D5D">
            <w:r w:rsidRPr="009667DE">
              <w:t>Imię</w:t>
            </w:r>
          </w:p>
        </w:tc>
        <w:tc>
          <w:tcPr>
            <w:tcW w:w="11198" w:type="dxa"/>
            <w:shd w:val="clear" w:color="auto" w:fill="A6A6A6" w:themeFill="background1" w:themeFillShade="A6"/>
          </w:tcPr>
          <w:p w14:paraId="768D1535" w14:textId="77777777" w:rsidR="0066038E" w:rsidRPr="009667DE" w:rsidRDefault="0066038E" w:rsidP="003C5D5D"/>
        </w:tc>
      </w:tr>
      <w:tr w:rsidR="0066038E" w:rsidRPr="009667DE" w14:paraId="1CE91ED7" w14:textId="77777777" w:rsidTr="003C5D5D">
        <w:tc>
          <w:tcPr>
            <w:tcW w:w="686" w:type="dxa"/>
          </w:tcPr>
          <w:p w14:paraId="7392FD99" w14:textId="77777777" w:rsidR="0066038E" w:rsidRPr="009667DE" w:rsidRDefault="0066038E" w:rsidP="003C5D5D">
            <w:pPr>
              <w:pStyle w:val="Akapitzlist"/>
              <w:numPr>
                <w:ilvl w:val="0"/>
                <w:numId w:val="14"/>
              </w:numPr>
            </w:pPr>
          </w:p>
        </w:tc>
        <w:tc>
          <w:tcPr>
            <w:tcW w:w="2003" w:type="dxa"/>
          </w:tcPr>
          <w:p w14:paraId="6917B909" w14:textId="77777777" w:rsidR="0066038E" w:rsidRPr="009667DE" w:rsidRDefault="0066038E" w:rsidP="003C5D5D">
            <w:r w:rsidRPr="009667DE">
              <w:t>Nazwisko</w:t>
            </w:r>
          </w:p>
        </w:tc>
        <w:tc>
          <w:tcPr>
            <w:tcW w:w="11198" w:type="dxa"/>
            <w:shd w:val="clear" w:color="auto" w:fill="A6A6A6" w:themeFill="background1" w:themeFillShade="A6"/>
          </w:tcPr>
          <w:p w14:paraId="4E22822F" w14:textId="77777777" w:rsidR="0066038E" w:rsidRPr="009667DE" w:rsidRDefault="0066038E" w:rsidP="003C5D5D"/>
        </w:tc>
      </w:tr>
      <w:tr w:rsidR="0066038E" w:rsidRPr="009667DE" w14:paraId="41B5DA5E" w14:textId="77777777" w:rsidTr="003C5D5D">
        <w:tc>
          <w:tcPr>
            <w:tcW w:w="686" w:type="dxa"/>
          </w:tcPr>
          <w:p w14:paraId="3650E8CF" w14:textId="77777777" w:rsidR="0066038E" w:rsidRPr="009667DE" w:rsidRDefault="0066038E" w:rsidP="003C5D5D">
            <w:pPr>
              <w:pStyle w:val="Akapitzlist"/>
              <w:numPr>
                <w:ilvl w:val="0"/>
                <w:numId w:val="14"/>
              </w:numPr>
            </w:pPr>
          </w:p>
        </w:tc>
        <w:tc>
          <w:tcPr>
            <w:tcW w:w="2003" w:type="dxa"/>
          </w:tcPr>
          <w:p w14:paraId="59002AB5" w14:textId="77777777" w:rsidR="0066038E" w:rsidRPr="009667DE" w:rsidRDefault="0066038E" w:rsidP="003C5D5D">
            <w:r w:rsidRPr="009667DE">
              <w:t>Instytucja</w:t>
            </w:r>
          </w:p>
        </w:tc>
        <w:tc>
          <w:tcPr>
            <w:tcW w:w="11198" w:type="dxa"/>
            <w:shd w:val="clear" w:color="auto" w:fill="A6A6A6" w:themeFill="background1" w:themeFillShade="A6"/>
          </w:tcPr>
          <w:p w14:paraId="767355F7" w14:textId="77777777" w:rsidR="0066038E" w:rsidRPr="009667DE" w:rsidRDefault="0066038E" w:rsidP="003C5D5D"/>
        </w:tc>
      </w:tr>
      <w:tr w:rsidR="0066038E" w:rsidRPr="009667DE" w14:paraId="52582003" w14:textId="77777777" w:rsidTr="003C5D5D">
        <w:tc>
          <w:tcPr>
            <w:tcW w:w="686" w:type="dxa"/>
          </w:tcPr>
          <w:p w14:paraId="788728E1" w14:textId="77777777" w:rsidR="0066038E" w:rsidRPr="009667DE" w:rsidRDefault="0066038E" w:rsidP="003C5D5D">
            <w:pPr>
              <w:pStyle w:val="Akapitzlist"/>
              <w:numPr>
                <w:ilvl w:val="0"/>
                <w:numId w:val="14"/>
              </w:numPr>
            </w:pPr>
          </w:p>
        </w:tc>
        <w:tc>
          <w:tcPr>
            <w:tcW w:w="2003" w:type="dxa"/>
          </w:tcPr>
          <w:p w14:paraId="74382CAE" w14:textId="77777777" w:rsidR="0066038E" w:rsidRPr="009667DE" w:rsidRDefault="0066038E" w:rsidP="003C5D5D">
            <w:r w:rsidRPr="009667DE">
              <w:t>Województwo</w:t>
            </w:r>
          </w:p>
        </w:tc>
        <w:tc>
          <w:tcPr>
            <w:tcW w:w="11198" w:type="dxa"/>
            <w:shd w:val="clear" w:color="auto" w:fill="A6A6A6" w:themeFill="background1" w:themeFillShade="A6"/>
          </w:tcPr>
          <w:p w14:paraId="2A17139C" w14:textId="77777777" w:rsidR="0066038E" w:rsidRPr="009667DE" w:rsidRDefault="0066038E" w:rsidP="003C5D5D"/>
        </w:tc>
      </w:tr>
      <w:tr w:rsidR="0066038E" w:rsidRPr="009667DE" w14:paraId="339C0304" w14:textId="77777777" w:rsidTr="003C5D5D">
        <w:tc>
          <w:tcPr>
            <w:tcW w:w="686" w:type="dxa"/>
          </w:tcPr>
          <w:p w14:paraId="19D0F2DA" w14:textId="77777777" w:rsidR="0066038E" w:rsidRPr="009667DE" w:rsidRDefault="0066038E" w:rsidP="003C5D5D">
            <w:pPr>
              <w:pStyle w:val="Akapitzlist"/>
              <w:numPr>
                <w:ilvl w:val="0"/>
                <w:numId w:val="14"/>
              </w:numPr>
            </w:pPr>
          </w:p>
        </w:tc>
        <w:tc>
          <w:tcPr>
            <w:tcW w:w="2003" w:type="dxa"/>
          </w:tcPr>
          <w:p w14:paraId="00014DEC" w14:textId="77777777" w:rsidR="0066038E" w:rsidRPr="009667DE" w:rsidRDefault="0066038E" w:rsidP="003C5D5D">
            <w:r w:rsidRPr="009667DE">
              <w:t>Część KPO</w:t>
            </w:r>
          </w:p>
        </w:tc>
        <w:tc>
          <w:tcPr>
            <w:tcW w:w="11198" w:type="dxa"/>
          </w:tcPr>
          <w:p w14:paraId="4D16F71A" w14:textId="77777777" w:rsidR="0066038E" w:rsidRPr="009667DE" w:rsidRDefault="0066038E" w:rsidP="003C5D5D">
            <w:r w:rsidRPr="009667DE">
              <w:t>Komponent E „Zielona, inteligentna mobilność”</w:t>
            </w:r>
          </w:p>
          <w:p w14:paraId="05128C46" w14:textId="77777777" w:rsidR="0066038E" w:rsidRPr="009667DE" w:rsidRDefault="0066038E" w:rsidP="003C5D5D">
            <w:pPr>
              <w:pStyle w:val="Default"/>
              <w:rPr>
                <w:color w:val="auto"/>
              </w:rPr>
            </w:pPr>
            <w:r w:rsidRPr="009667DE">
              <w:rPr>
                <w:color w:val="auto"/>
                <w:sz w:val="22"/>
                <w:szCs w:val="22"/>
              </w:rPr>
              <w:t xml:space="preserve">3. Opis Reform i Inwestycji </w:t>
            </w:r>
          </w:p>
        </w:tc>
      </w:tr>
      <w:tr w:rsidR="0066038E" w:rsidRPr="009667DE" w14:paraId="71FD3A66" w14:textId="77777777" w:rsidTr="003C5D5D">
        <w:tc>
          <w:tcPr>
            <w:tcW w:w="686" w:type="dxa"/>
          </w:tcPr>
          <w:p w14:paraId="032C8307" w14:textId="77777777" w:rsidR="0066038E" w:rsidRPr="009667DE" w:rsidRDefault="0066038E" w:rsidP="003C5D5D">
            <w:pPr>
              <w:pStyle w:val="Akapitzlist"/>
              <w:numPr>
                <w:ilvl w:val="0"/>
                <w:numId w:val="14"/>
              </w:numPr>
            </w:pPr>
          </w:p>
        </w:tc>
        <w:tc>
          <w:tcPr>
            <w:tcW w:w="2003" w:type="dxa"/>
          </w:tcPr>
          <w:p w14:paraId="5DAB5D76" w14:textId="77777777" w:rsidR="0066038E" w:rsidRPr="009667DE" w:rsidRDefault="0066038E" w:rsidP="003C5D5D">
            <w:r w:rsidRPr="009667DE">
              <w:t>Strona</w:t>
            </w:r>
          </w:p>
        </w:tc>
        <w:tc>
          <w:tcPr>
            <w:tcW w:w="11198" w:type="dxa"/>
          </w:tcPr>
          <w:p w14:paraId="122D615F" w14:textId="77777777" w:rsidR="0066038E" w:rsidRPr="009667DE" w:rsidRDefault="0066038E" w:rsidP="003C5D5D">
            <w:r w:rsidRPr="009667DE">
              <w:t>201</w:t>
            </w:r>
          </w:p>
        </w:tc>
      </w:tr>
      <w:tr w:rsidR="0066038E" w:rsidRPr="009667DE" w14:paraId="63C4C948" w14:textId="77777777" w:rsidTr="003C5D5D">
        <w:tc>
          <w:tcPr>
            <w:tcW w:w="686" w:type="dxa"/>
          </w:tcPr>
          <w:p w14:paraId="1AB6406F" w14:textId="77777777" w:rsidR="0066038E" w:rsidRPr="009667DE" w:rsidRDefault="0066038E" w:rsidP="003C5D5D">
            <w:pPr>
              <w:pStyle w:val="Akapitzlist"/>
              <w:numPr>
                <w:ilvl w:val="0"/>
                <w:numId w:val="14"/>
              </w:numPr>
            </w:pPr>
          </w:p>
        </w:tc>
        <w:tc>
          <w:tcPr>
            <w:tcW w:w="2003" w:type="dxa"/>
          </w:tcPr>
          <w:p w14:paraId="5CD2B305" w14:textId="77777777" w:rsidR="0066038E" w:rsidRPr="009667DE" w:rsidRDefault="0066038E" w:rsidP="003C5D5D">
            <w:r w:rsidRPr="009667DE">
              <w:t>Treść Uwagi</w:t>
            </w:r>
          </w:p>
        </w:tc>
        <w:tc>
          <w:tcPr>
            <w:tcW w:w="11198" w:type="dxa"/>
          </w:tcPr>
          <w:p w14:paraId="1A2AB8B6"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komponentu E1.1.3 „Wsparcie rozwoju infrastruktury rowerowej” w tabeli w kolumnie „Inwestycje” oraz zapisów w kolumnie „Cel inwestycji”</w:t>
            </w:r>
          </w:p>
          <w:p w14:paraId="73FCD530" w14:textId="77777777" w:rsidR="0066038E" w:rsidRPr="009667DE" w:rsidRDefault="0066038E" w:rsidP="003C5D5D">
            <w:pPr>
              <w:autoSpaceDE w:val="0"/>
              <w:autoSpaceDN w:val="0"/>
              <w:adjustRightInd w:val="0"/>
              <w:rPr>
                <w:rFonts w:ascii="Calibri" w:hAnsi="Calibri" w:cs="Calibri"/>
              </w:rPr>
            </w:pPr>
          </w:p>
          <w:p w14:paraId="458B7FAF" w14:textId="77777777" w:rsidR="0066038E" w:rsidRPr="009667DE" w:rsidRDefault="0066038E" w:rsidP="003C5D5D">
            <w:pPr>
              <w:pStyle w:val="Akapitzlist"/>
              <w:numPr>
                <w:ilvl w:val="0"/>
                <w:numId w:val="15"/>
              </w:numPr>
              <w:autoSpaceDE w:val="0"/>
              <w:autoSpaceDN w:val="0"/>
              <w:adjustRightInd w:val="0"/>
              <w:rPr>
                <w:rFonts w:ascii="Calibri" w:hAnsi="Calibri" w:cs="Calibri"/>
              </w:rPr>
            </w:pPr>
            <w:r w:rsidRPr="009667DE">
              <w:rPr>
                <w:rFonts w:ascii="Calibri" w:hAnsi="Calibri" w:cs="Calibri"/>
              </w:rPr>
              <w:t>Zwiększenie udziału roweru w podróżach</w:t>
            </w:r>
          </w:p>
          <w:p w14:paraId="13AE301F" w14:textId="77777777" w:rsidR="0066038E" w:rsidRPr="009667DE" w:rsidRDefault="0066038E" w:rsidP="003C5D5D">
            <w:pPr>
              <w:pStyle w:val="Akapitzlist"/>
              <w:numPr>
                <w:ilvl w:val="0"/>
                <w:numId w:val="15"/>
              </w:numPr>
              <w:autoSpaceDE w:val="0"/>
              <w:autoSpaceDN w:val="0"/>
              <w:adjustRightInd w:val="0"/>
              <w:rPr>
                <w:rFonts w:ascii="Calibri" w:hAnsi="Calibri" w:cs="Calibri"/>
              </w:rPr>
            </w:pPr>
            <w:r w:rsidRPr="009667DE">
              <w:rPr>
                <w:rFonts w:ascii="Calibri" w:hAnsi="Calibri" w:cs="Calibri"/>
              </w:rPr>
              <w:t>Poprawa integracji roweru ze środkami transportu publicznego</w:t>
            </w:r>
          </w:p>
          <w:p w14:paraId="1C78DD0C" w14:textId="77777777" w:rsidR="0066038E" w:rsidRPr="009667DE" w:rsidRDefault="0066038E" w:rsidP="003C5D5D">
            <w:pPr>
              <w:autoSpaceDE w:val="0"/>
              <w:autoSpaceDN w:val="0"/>
              <w:adjustRightInd w:val="0"/>
              <w:rPr>
                <w:rFonts w:ascii="Calibri" w:hAnsi="Calibri" w:cs="Calibri"/>
              </w:rPr>
            </w:pPr>
          </w:p>
        </w:tc>
      </w:tr>
      <w:tr w:rsidR="0066038E" w:rsidRPr="009667DE" w14:paraId="59E1327A" w14:textId="77777777" w:rsidTr="003C5D5D">
        <w:tc>
          <w:tcPr>
            <w:tcW w:w="686" w:type="dxa"/>
          </w:tcPr>
          <w:p w14:paraId="0F6ACAA4" w14:textId="77777777" w:rsidR="0066038E" w:rsidRPr="009667DE" w:rsidRDefault="0066038E" w:rsidP="003C5D5D">
            <w:pPr>
              <w:pStyle w:val="Akapitzlist"/>
              <w:numPr>
                <w:ilvl w:val="0"/>
                <w:numId w:val="14"/>
              </w:numPr>
            </w:pPr>
          </w:p>
        </w:tc>
        <w:tc>
          <w:tcPr>
            <w:tcW w:w="2003" w:type="dxa"/>
          </w:tcPr>
          <w:p w14:paraId="0EECB63F" w14:textId="77777777" w:rsidR="0066038E" w:rsidRPr="009667DE" w:rsidRDefault="0066038E" w:rsidP="003C5D5D">
            <w:r w:rsidRPr="009667DE">
              <w:t>Uzasadnienie uwagi</w:t>
            </w:r>
          </w:p>
        </w:tc>
        <w:tc>
          <w:tcPr>
            <w:tcW w:w="11198" w:type="dxa"/>
          </w:tcPr>
          <w:p w14:paraId="2A183900"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7E4F6B9F" w14:textId="77777777" w:rsidR="0066038E" w:rsidRPr="009667DE" w:rsidRDefault="0066038E" w:rsidP="003C5D5D"/>
          <w:p w14:paraId="47E09C8F" w14:textId="77777777" w:rsidR="0066038E" w:rsidRPr="009667DE" w:rsidRDefault="0066038E" w:rsidP="003C5D5D">
            <w:r w:rsidRPr="009667DE">
              <w:t>Jednym ze zdiagnozowanych głównych wyzwań rozwojowych, jakie przyniosła ze sobą pandemia COVID-19 jest rosnąca presja na system finansów publicznych przejawiająca się ograniczeniem możliwości finansowania inwestycji publicznych. Należy zdecydowanie zgodzić się z powyższym stwierdzeniem, jednocześnie ze zdziwieniem konstatując, że w takich okolicznościach duży nacisk inwestycyjny położony będzie na rozbudowę twardej infrastruktury transportowej, ze szczególnym uwzględnieniem dróg. Zwraca się uwagę, że jest to rozwiązanie kosztowne zarówno w kontekście kosztów samej inwestycji, jak i skutków w postaci wzrostu wydatków związanych z utrzymaniem i funkcjonowaniem określonej oferty transportowej.</w:t>
            </w:r>
          </w:p>
          <w:p w14:paraId="0EE30613" w14:textId="77777777" w:rsidR="0066038E" w:rsidRPr="009667DE" w:rsidRDefault="0066038E" w:rsidP="003C5D5D"/>
          <w:p w14:paraId="366CBE80" w14:textId="77777777" w:rsidR="0066038E" w:rsidRPr="009667DE" w:rsidRDefault="0066038E" w:rsidP="003C5D5D">
            <w:r w:rsidRPr="009667DE">
              <w:t xml:space="preserve">Zgodnie z danymi GDDKiA koszt budowy 1 km autostrady wynosi obecnie od 36,4 do 50,6 mln zł, w przypadku dróg ekspresowych średni koszt to ok. 41 mln zł za kilometr, zaś w przypadku dróg niższej klasy wartość ta waha się od ok. 9 do 24,2 mln zł. Dane podawane przez spółkę CPK wskazują, że 1 km linii konwencjonalnej na 10 mln zł, a linii dużych prędkości </w:t>
            </w:r>
            <w:r w:rsidRPr="009667DE">
              <w:lastRenderedPageBreak/>
              <w:t>na 50 mln zł. Z kolei koszt budowy 1 km linii metra wynosi 470 mln zł, a koszt budowy 1 km linii tramwajowej waha się od 10 do 25 mln zł. (dane Urzędu m. st. Warszawy). Jednocześnie budowa drogi rowerowej zaś to koszt około 2 mln za 1 km. (dane samorządów na podstawie cenników Budżetów Obywatelskich)</w:t>
            </w:r>
          </w:p>
          <w:p w14:paraId="04D505CD" w14:textId="77777777" w:rsidR="0066038E" w:rsidRPr="009667DE" w:rsidRDefault="0066038E" w:rsidP="003C5D5D"/>
          <w:p w14:paraId="7B4C4004" w14:textId="77777777" w:rsidR="0066038E" w:rsidRPr="009667DE" w:rsidRDefault="0066038E" w:rsidP="003C5D5D">
            <w:r w:rsidRPr="009667DE">
              <w:t>Na podstawie powyższego zestawienia widać więc, że przeznaczenie nawet niewielkich środków w porównaniu do pozostałych rodzajów infrastruktury transportowej, daje ogromne przełożenie na przyrost ilości dróg rowerowych.</w:t>
            </w:r>
          </w:p>
          <w:p w14:paraId="3740E2A6" w14:textId="77777777" w:rsidR="0066038E" w:rsidRPr="009667DE" w:rsidRDefault="0066038E" w:rsidP="003C5D5D"/>
          <w:p w14:paraId="4F43C442" w14:textId="77777777" w:rsidR="0066038E" w:rsidRPr="009667DE" w:rsidRDefault="0066038E" w:rsidP="003C5D5D">
            <w:r w:rsidRPr="009667DE">
              <w:t>Zaznaczyć przy tym należy, że nie należy rozpatrywać procesu inwestycyjnego jedynie z punktu widzenia kosztów, ale także rezultatów i kosztów utrzymania. Z tego punktu widzenia wskazać należy, że utrzymanie infrastruktury rowerowej jest nieporównywalnie tańsze w utrzymaniu. Drogi rowerowe co do zasady przenoszą mniejsze obciążenia, w efekcie są trwalsze niż drogi dla samochodów, zaś jedyne koszty to zimowe utrzymanie przejezdności.</w:t>
            </w:r>
          </w:p>
          <w:p w14:paraId="75CCFC87" w14:textId="77777777" w:rsidR="0066038E" w:rsidRPr="009667DE" w:rsidRDefault="0066038E" w:rsidP="003C5D5D"/>
          <w:p w14:paraId="5400BE1A" w14:textId="77777777" w:rsidR="0066038E" w:rsidRPr="009667DE" w:rsidRDefault="0066038E" w:rsidP="003C5D5D">
            <w:r w:rsidRPr="009667DE">
              <w:t>Warto również pamiętać, że każda budowa infrastruktury, a zatem i przetworzenie krajobrazu, niesie za sobą długotrwałe skutki środowiskowe i społeczne takie jak wzrost emisji pyłów i spalin, hałas, tworzenie efektów barier dla ludzi i zwierząt, a także wypadki drogowe. Porównując powyższe efekty należy wskazać, że rower jako środek transportu jest wolny od większości negatywnych efektów funkcjonowania infrastruktury transportowej.</w:t>
            </w:r>
          </w:p>
          <w:p w14:paraId="3B89DD69" w14:textId="77777777" w:rsidR="0066038E" w:rsidRPr="009667DE" w:rsidRDefault="0066038E" w:rsidP="003C5D5D"/>
          <w:p w14:paraId="32FFE98D" w14:textId="0A0A93A4" w:rsidR="0066038E" w:rsidRPr="009667DE" w:rsidRDefault="0066038E" w:rsidP="003C5D5D">
            <w:r w:rsidRPr="009667DE">
              <w:t xml:space="preserve">Jednocześnie rozbudowa infrastruktury dedykowanej indywidualnemu ruchowi samochodowemu pogłębia przepaść pomiędzy efektywnością wyboru samochodów i innych środków transportu, co w warunkach racjonalnych wyborów indywidualnych jednostek prowadzi do wzrostu liczby samochodów i w efekcie do stymulowania szeregu negatywnych zjawisk towarzyszących transportowi samochodowemu takich jak wypadki drogowe, korki, emisja substancji szkodliwych (tzw. smog </w:t>
            </w:r>
            <w:r w:rsidR="00C92263">
              <w:t>fotochemiczny</w:t>
            </w:r>
            <w:r w:rsidRPr="009667DE">
              <w:t>), co jest niekorzystne dla wspólnego interesu społeczności. W wymiarze indywidualnym – nadmierne użytkowanie samochodu w długofalowej perspektywie powoduje pogorszenie stanu zdrowia ze względu na mniejszą ilość ruchu (tzw. nie rekreacyjnej mobilności aktywnej), co wprost przekłada się na wzrost zapadalności na takie schorzenia jak choroby serca, otyłość, choroby narządów ruchu. Emisja smogu fotochemicznego zaś ma bezpośredni wpływ na choroby układu oddechowego, nerwowego oraz choroby oczu. Koszty te – wraz z rosnącymi kosztami leczenia i rehabilitacji ofiar wypadków drogowych – na trwałe obciążać będą krajowy system ochrony zdrowia, co będzie uwydatniać się w przyszłych pokoleniach wraz ze starzeniem się społeczeństwa i pogarszaniem stanu środowiska.</w:t>
            </w:r>
          </w:p>
          <w:p w14:paraId="1EAF88FC" w14:textId="77777777" w:rsidR="0066038E" w:rsidRPr="009667DE" w:rsidRDefault="0066038E" w:rsidP="003C5D5D"/>
          <w:p w14:paraId="4F26FF51" w14:textId="77777777" w:rsidR="0066038E" w:rsidRPr="009667DE" w:rsidRDefault="0066038E" w:rsidP="003C5D5D">
            <w:r w:rsidRPr="009667DE">
              <w:t xml:space="preserve">Warto również zwrócić uwagę na gwałtowny wzrost rynku handlu internetowego oraz konsolidacja silnego rynku logistycznego wytwarza rosnącą presję na ruch w miastach – w metropoliach udział ruchu dostawczego w ruchu kołowym stale wzrasta. Zgodnie z zaleceniami europejskimi należy poszukiwać alternatywnych sposobów na zaspokajanie potrzeb logistycznych w miastach, w tym poprzez promocję i ułatwienie korzystania z lekkich pojazdów elektrycznych oraz </w:t>
            </w:r>
            <w:r w:rsidRPr="009667DE">
              <w:lastRenderedPageBreak/>
              <w:t>wspomaganych elektrycznie rowerów towarowych, tak przez małe jak i duże firmy lub instytucje w logistyce tzw. ostatniej mili.</w:t>
            </w:r>
          </w:p>
          <w:p w14:paraId="261DA31D" w14:textId="77777777" w:rsidR="0066038E" w:rsidRPr="009667DE" w:rsidRDefault="0066038E" w:rsidP="003C5D5D"/>
          <w:p w14:paraId="5A075D76" w14:textId="77777777" w:rsidR="0066038E" w:rsidRPr="009667DE" w:rsidRDefault="0066038E" w:rsidP="003C5D5D">
            <w:r w:rsidRPr="009667DE">
              <w:t>Stworzenie warunków do rozwoju infrastruktury rowerowej będzie przeciwdziałać powyżej wskazanym negatywnym zjawiskom, ponieważ w mniejszym stopniu obciążać będzie budżety jednostek finansów publicznych kosztami utrzymania, będzie generować mniejsze koszty środowiskowe i społeczne, jak również – dzięki tworzeniu warunków do aktywnej mobilności nie rekreacyjnej – korzystnie oddziaływać na ograniczanie negatywnych zjawisk w obszarze zdrowia publicznego.</w:t>
            </w:r>
          </w:p>
          <w:p w14:paraId="67994E1C" w14:textId="77777777" w:rsidR="0066038E" w:rsidRPr="009667DE" w:rsidRDefault="0066038E" w:rsidP="003C5D5D"/>
          <w:p w14:paraId="7F5664A1" w14:textId="77777777" w:rsidR="0066038E" w:rsidRPr="009667DE" w:rsidRDefault="0066038E" w:rsidP="003C5D5D">
            <w:r w:rsidRPr="009667DE">
              <w:t>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ponieważ postulowana zmiana w pełni się w te założenia wpisuje.</w:t>
            </w:r>
          </w:p>
          <w:p w14:paraId="305F7A3D" w14:textId="77777777" w:rsidR="0066038E" w:rsidRPr="009667DE" w:rsidRDefault="0066038E" w:rsidP="003C5D5D">
            <w:pPr>
              <w:pStyle w:val="Default"/>
              <w:rPr>
                <w:color w:val="auto"/>
                <w:sz w:val="22"/>
                <w:szCs w:val="22"/>
              </w:rPr>
            </w:pPr>
          </w:p>
        </w:tc>
      </w:tr>
    </w:tbl>
    <w:p w14:paraId="2F5A54A1" w14:textId="77777777" w:rsidR="0066038E" w:rsidRPr="009667DE" w:rsidRDefault="0066038E" w:rsidP="0066038E"/>
    <w:p w14:paraId="376D63F4" w14:textId="77777777" w:rsidR="0066038E" w:rsidRPr="009667DE" w:rsidRDefault="0066038E" w:rsidP="0066038E">
      <w:r w:rsidRPr="009667DE">
        <w:br w:type="page"/>
      </w:r>
    </w:p>
    <w:tbl>
      <w:tblPr>
        <w:tblStyle w:val="Tabela-Siatka"/>
        <w:tblW w:w="0" w:type="auto"/>
        <w:tblLook w:val="04A0" w:firstRow="1" w:lastRow="0" w:firstColumn="1" w:lastColumn="0" w:noHBand="0" w:noVBand="1"/>
      </w:tblPr>
      <w:tblGrid>
        <w:gridCol w:w="686"/>
        <w:gridCol w:w="2003"/>
        <w:gridCol w:w="11198"/>
      </w:tblGrid>
      <w:tr w:rsidR="0066038E" w:rsidRPr="009667DE" w14:paraId="25E6FB56" w14:textId="77777777" w:rsidTr="003C5D5D">
        <w:tc>
          <w:tcPr>
            <w:tcW w:w="686" w:type="dxa"/>
          </w:tcPr>
          <w:p w14:paraId="7AA05BB5" w14:textId="77777777" w:rsidR="0066038E" w:rsidRPr="009667DE" w:rsidRDefault="0066038E" w:rsidP="003C5D5D">
            <w:proofErr w:type="spellStart"/>
            <w:r w:rsidRPr="009667DE">
              <w:lastRenderedPageBreak/>
              <w:t>Lp</w:t>
            </w:r>
            <w:proofErr w:type="spellEnd"/>
          </w:p>
        </w:tc>
        <w:tc>
          <w:tcPr>
            <w:tcW w:w="2003" w:type="dxa"/>
          </w:tcPr>
          <w:p w14:paraId="74EB2750" w14:textId="77777777" w:rsidR="0066038E" w:rsidRPr="009667DE" w:rsidRDefault="0066038E" w:rsidP="003C5D5D">
            <w:r w:rsidRPr="009667DE">
              <w:t>Pole formularza</w:t>
            </w:r>
          </w:p>
        </w:tc>
        <w:tc>
          <w:tcPr>
            <w:tcW w:w="11198" w:type="dxa"/>
          </w:tcPr>
          <w:p w14:paraId="7C500BF0" w14:textId="77777777" w:rsidR="0066038E" w:rsidRPr="009667DE" w:rsidRDefault="0066038E" w:rsidP="003C5D5D">
            <w:r w:rsidRPr="009667DE">
              <w:t>Treść</w:t>
            </w:r>
          </w:p>
        </w:tc>
      </w:tr>
      <w:tr w:rsidR="0066038E" w:rsidRPr="009667DE" w14:paraId="164988E6" w14:textId="77777777" w:rsidTr="003C5D5D">
        <w:tc>
          <w:tcPr>
            <w:tcW w:w="686" w:type="dxa"/>
          </w:tcPr>
          <w:p w14:paraId="2944E38B" w14:textId="77777777" w:rsidR="0066038E" w:rsidRPr="009667DE" w:rsidRDefault="0066038E" w:rsidP="003C5D5D">
            <w:pPr>
              <w:pStyle w:val="Akapitzlist"/>
              <w:numPr>
                <w:ilvl w:val="0"/>
                <w:numId w:val="17"/>
              </w:numPr>
            </w:pPr>
          </w:p>
        </w:tc>
        <w:tc>
          <w:tcPr>
            <w:tcW w:w="2003" w:type="dxa"/>
          </w:tcPr>
          <w:p w14:paraId="52DA020B" w14:textId="77777777" w:rsidR="0066038E" w:rsidRPr="009667DE" w:rsidRDefault="0066038E" w:rsidP="003C5D5D">
            <w:r w:rsidRPr="009667DE">
              <w:t>Imię</w:t>
            </w:r>
          </w:p>
        </w:tc>
        <w:tc>
          <w:tcPr>
            <w:tcW w:w="11198" w:type="dxa"/>
            <w:shd w:val="clear" w:color="auto" w:fill="A6A6A6" w:themeFill="background1" w:themeFillShade="A6"/>
          </w:tcPr>
          <w:p w14:paraId="108D42D4" w14:textId="77777777" w:rsidR="0066038E" w:rsidRPr="009667DE" w:rsidRDefault="0066038E" w:rsidP="003C5D5D"/>
        </w:tc>
      </w:tr>
      <w:tr w:rsidR="0066038E" w:rsidRPr="009667DE" w14:paraId="7BF704E4" w14:textId="77777777" w:rsidTr="003C5D5D">
        <w:tc>
          <w:tcPr>
            <w:tcW w:w="686" w:type="dxa"/>
          </w:tcPr>
          <w:p w14:paraId="1E1596C7" w14:textId="77777777" w:rsidR="0066038E" w:rsidRPr="009667DE" w:rsidRDefault="0066038E" w:rsidP="003C5D5D">
            <w:pPr>
              <w:pStyle w:val="Akapitzlist"/>
              <w:numPr>
                <w:ilvl w:val="0"/>
                <w:numId w:val="17"/>
              </w:numPr>
            </w:pPr>
          </w:p>
        </w:tc>
        <w:tc>
          <w:tcPr>
            <w:tcW w:w="2003" w:type="dxa"/>
          </w:tcPr>
          <w:p w14:paraId="3D46251D" w14:textId="77777777" w:rsidR="0066038E" w:rsidRPr="009667DE" w:rsidRDefault="0066038E" w:rsidP="003C5D5D">
            <w:r w:rsidRPr="009667DE">
              <w:t>Nazwisko</w:t>
            </w:r>
          </w:p>
        </w:tc>
        <w:tc>
          <w:tcPr>
            <w:tcW w:w="11198" w:type="dxa"/>
            <w:shd w:val="clear" w:color="auto" w:fill="A6A6A6" w:themeFill="background1" w:themeFillShade="A6"/>
          </w:tcPr>
          <w:p w14:paraId="470A94B0" w14:textId="77777777" w:rsidR="0066038E" w:rsidRPr="009667DE" w:rsidRDefault="0066038E" w:rsidP="003C5D5D"/>
        </w:tc>
      </w:tr>
      <w:tr w:rsidR="0066038E" w:rsidRPr="009667DE" w14:paraId="5D6AE51B" w14:textId="77777777" w:rsidTr="003C5D5D">
        <w:tc>
          <w:tcPr>
            <w:tcW w:w="686" w:type="dxa"/>
          </w:tcPr>
          <w:p w14:paraId="4E83A0AE" w14:textId="77777777" w:rsidR="0066038E" w:rsidRPr="009667DE" w:rsidRDefault="0066038E" w:rsidP="003C5D5D">
            <w:pPr>
              <w:pStyle w:val="Akapitzlist"/>
              <w:numPr>
                <w:ilvl w:val="0"/>
                <w:numId w:val="17"/>
              </w:numPr>
            </w:pPr>
          </w:p>
        </w:tc>
        <w:tc>
          <w:tcPr>
            <w:tcW w:w="2003" w:type="dxa"/>
          </w:tcPr>
          <w:p w14:paraId="2AB804CF" w14:textId="77777777" w:rsidR="0066038E" w:rsidRPr="009667DE" w:rsidRDefault="0066038E" w:rsidP="003C5D5D">
            <w:r w:rsidRPr="009667DE">
              <w:t>Instytucja</w:t>
            </w:r>
          </w:p>
        </w:tc>
        <w:tc>
          <w:tcPr>
            <w:tcW w:w="11198" w:type="dxa"/>
            <w:shd w:val="clear" w:color="auto" w:fill="A6A6A6" w:themeFill="background1" w:themeFillShade="A6"/>
          </w:tcPr>
          <w:p w14:paraId="709D4B9E" w14:textId="77777777" w:rsidR="0066038E" w:rsidRPr="009667DE" w:rsidRDefault="0066038E" w:rsidP="003C5D5D"/>
        </w:tc>
      </w:tr>
      <w:tr w:rsidR="0066038E" w:rsidRPr="009667DE" w14:paraId="26899DBB" w14:textId="77777777" w:rsidTr="003C5D5D">
        <w:tc>
          <w:tcPr>
            <w:tcW w:w="686" w:type="dxa"/>
          </w:tcPr>
          <w:p w14:paraId="68E42E9F" w14:textId="77777777" w:rsidR="0066038E" w:rsidRPr="009667DE" w:rsidRDefault="0066038E" w:rsidP="003C5D5D">
            <w:pPr>
              <w:pStyle w:val="Akapitzlist"/>
              <w:numPr>
                <w:ilvl w:val="0"/>
                <w:numId w:val="17"/>
              </w:numPr>
            </w:pPr>
          </w:p>
        </w:tc>
        <w:tc>
          <w:tcPr>
            <w:tcW w:w="2003" w:type="dxa"/>
          </w:tcPr>
          <w:p w14:paraId="14DD8698" w14:textId="77777777" w:rsidR="0066038E" w:rsidRPr="009667DE" w:rsidRDefault="0066038E" w:rsidP="003C5D5D">
            <w:r w:rsidRPr="009667DE">
              <w:t>Województwo</w:t>
            </w:r>
          </w:p>
        </w:tc>
        <w:tc>
          <w:tcPr>
            <w:tcW w:w="11198" w:type="dxa"/>
            <w:shd w:val="clear" w:color="auto" w:fill="A6A6A6" w:themeFill="background1" w:themeFillShade="A6"/>
          </w:tcPr>
          <w:p w14:paraId="1181403A" w14:textId="77777777" w:rsidR="0066038E" w:rsidRPr="009667DE" w:rsidRDefault="0066038E" w:rsidP="003C5D5D"/>
        </w:tc>
      </w:tr>
      <w:tr w:rsidR="0066038E" w:rsidRPr="009667DE" w14:paraId="466E5221" w14:textId="77777777" w:rsidTr="003C5D5D">
        <w:tc>
          <w:tcPr>
            <w:tcW w:w="686" w:type="dxa"/>
          </w:tcPr>
          <w:p w14:paraId="0874CC4E" w14:textId="77777777" w:rsidR="0066038E" w:rsidRPr="009667DE" w:rsidRDefault="0066038E" w:rsidP="003C5D5D">
            <w:pPr>
              <w:pStyle w:val="Akapitzlist"/>
              <w:numPr>
                <w:ilvl w:val="0"/>
                <w:numId w:val="17"/>
              </w:numPr>
            </w:pPr>
          </w:p>
        </w:tc>
        <w:tc>
          <w:tcPr>
            <w:tcW w:w="2003" w:type="dxa"/>
          </w:tcPr>
          <w:p w14:paraId="03CE76C0" w14:textId="77777777" w:rsidR="0066038E" w:rsidRPr="009667DE" w:rsidRDefault="0066038E" w:rsidP="003C5D5D">
            <w:r w:rsidRPr="009667DE">
              <w:t>Część KPO</w:t>
            </w:r>
          </w:p>
        </w:tc>
        <w:tc>
          <w:tcPr>
            <w:tcW w:w="11198" w:type="dxa"/>
          </w:tcPr>
          <w:p w14:paraId="22AE4FE3" w14:textId="77777777" w:rsidR="0066038E" w:rsidRPr="009667DE" w:rsidRDefault="0066038E" w:rsidP="003C5D5D">
            <w:r w:rsidRPr="009667DE">
              <w:t>Komponent E „Zielona, inteligentna mobilność”</w:t>
            </w:r>
          </w:p>
          <w:p w14:paraId="143B6A6B" w14:textId="77777777" w:rsidR="0066038E" w:rsidRPr="009667DE" w:rsidRDefault="0066038E" w:rsidP="003C5D5D">
            <w:pPr>
              <w:pStyle w:val="Default"/>
              <w:rPr>
                <w:color w:val="auto"/>
              </w:rPr>
            </w:pPr>
            <w:r w:rsidRPr="009667DE">
              <w:rPr>
                <w:color w:val="auto"/>
                <w:sz w:val="22"/>
                <w:szCs w:val="22"/>
              </w:rPr>
              <w:t xml:space="preserve">3. Opis Reform i Inwestycji </w:t>
            </w:r>
          </w:p>
        </w:tc>
      </w:tr>
      <w:tr w:rsidR="0066038E" w:rsidRPr="009667DE" w14:paraId="20E91DC7" w14:textId="77777777" w:rsidTr="003C5D5D">
        <w:tc>
          <w:tcPr>
            <w:tcW w:w="686" w:type="dxa"/>
          </w:tcPr>
          <w:p w14:paraId="11518BDD" w14:textId="77777777" w:rsidR="0066038E" w:rsidRPr="009667DE" w:rsidRDefault="0066038E" w:rsidP="003C5D5D">
            <w:pPr>
              <w:pStyle w:val="Akapitzlist"/>
              <w:numPr>
                <w:ilvl w:val="0"/>
                <w:numId w:val="17"/>
              </w:numPr>
            </w:pPr>
          </w:p>
        </w:tc>
        <w:tc>
          <w:tcPr>
            <w:tcW w:w="2003" w:type="dxa"/>
          </w:tcPr>
          <w:p w14:paraId="006F68E4" w14:textId="77777777" w:rsidR="0066038E" w:rsidRPr="009667DE" w:rsidRDefault="0066038E" w:rsidP="003C5D5D">
            <w:r w:rsidRPr="009667DE">
              <w:t>Strona</w:t>
            </w:r>
          </w:p>
        </w:tc>
        <w:tc>
          <w:tcPr>
            <w:tcW w:w="11198" w:type="dxa"/>
          </w:tcPr>
          <w:p w14:paraId="4D17B0DE" w14:textId="77777777" w:rsidR="0066038E" w:rsidRPr="009667DE" w:rsidRDefault="0066038E" w:rsidP="003C5D5D">
            <w:r w:rsidRPr="009667DE">
              <w:t>201</w:t>
            </w:r>
          </w:p>
        </w:tc>
      </w:tr>
      <w:tr w:rsidR="0066038E" w:rsidRPr="009667DE" w14:paraId="37B0D108" w14:textId="77777777" w:rsidTr="003C5D5D">
        <w:tc>
          <w:tcPr>
            <w:tcW w:w="686" w:type="dxa"/>
          </w:tcPr>
          <w:p w14:paraId="2A28142A" w14:textId="77777777" w:rsidR="0066038E" w:rsidRPr="009667DE" w:rsidRDefault="0066038E" w:rsidP="003C5D5D">
            <w:pPr>
              <w:pStyle w:val="Akapitzlist"/>
              <w:numPr>
                <w:ilvl w:val="0"/>
                <w:numId w:val="17"/>
              </w:numPr>
            </w:pPr>
          </w:p>
        </w:tc>
        <w:tc>
          <w:tcPr>
            <w:tcW w:w="2003" w:type="dxa"/>
          </w:tcPr>
          <w:p w14:paraId="5E9A63ED" w14:textId="77777777" w:rsidR="0066038E" w:rsidRPr="009667DE" w:rsidRDefault="0066038E" w:rsidP="003C5D5D">
            <w:r w:rsidRPr="009667DE">
              <w:t>Treść Uwagi</w:t>
            </w:r>
          </w:p>
        </w:tc>
        <w:tc>
          <w:tcPr>
            <w:tcW w:w="11198" w:type="dxa"/>
          </w:tcPr>
          <w:p w14:paraId="63F85EAD"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komponentu E1.1.3 „Wsparcie rozwoju infrastruktury rowerowej” w tabeli w kolumnie „Inwestycje” oraz zapisów w kolumnie „Cel inwestycji”</w:t>
            </w:r>
          </w:p>
          <w:p w14:paraId="4A54FC0C" w14:textId="77777777" w:rsidR="0066038E" w:rsidRPr="009667DE" w:rsidRDefault="0066038E" w:rsidP="003C5D5D">
            <w:pPr>
              <w:autoSpaceDE w:val="0"/>
              <w:autoSpaceDN w:val="0"/>
              <w:adjustRightInd w:val="0"/>
              <w:rPr>
                <w:rFonts w:ascii="Calibri" w:hAnsi="Calibri" w:cs="Calibri"/>
              </w:rPr>
            </w:pPr>
          </w:p>
          <w:p w14:paraId="39563319" w14:textId="77777777" w:rsidR="0066038E" w:rsidRPr="009667DE" w:rsidRDefault="0066038E" w:rsidP="003C5D5D">
            <w:pPr>
              <w:pStyle w:val="Akapitzlist"/>
              <w:numPr>
                <w:ilvl w:val="0"/>
                <w:numId w:val="15"/>
              </w:numPr>
              <w:autoSpaceDE w:val="0"/>
              <w:autoSpaceDN w:val="0"/>
              <w:adjustRightInd w:val="0"/>
              <w:rPr>
                <w:rFonts w:ascii="Calibri" w:hAnsi="Calibri" w:cs="Calibri"/>
              </w:rPr>
            </w:pPr>
            <w:r w:rsidRPr="009667DE">
              <w:rPr>
                <w:rFonts w:ascii="Calibri" w:hAnsi="Calibri" w:cs="Calibri"/>
              </w:rPr>
              <w:t>Zwiększenie udziału roweru w podróżach</w:t>
            </w:r>
          </w:p>
          <w:p w14:paraId="3AF31EA6" w14:textId="77777777" w:rsidR="0066038E" w:rsidRPr="009667DE" w:rsidRDefault="0066038E" w:rsidP="003C5D5D">
            <w:pPr>
              <w:pStyle w:val="Akapitzlist"/>
              <w:numPr>
                <w:ilvl w:val="0"/>
                <w:numId w:val="15"/>
              </w:numPr>
              <w:autoSpaceDE w:val="0"/>
              <w:autoSpaceDN w:val="0"/>
              <w:adjustRightInd w:val="0"/>
              <w:rPr>
                <w:rFonts w:ascii="Calibri" w:hAnsi="Calibri" w:cs="Calibri"/>
              </w:rPr>
            </w:pPr>
            <w:r w:rsidRPr="009667DE">
              <w:rPr>
                <w:rFonts w:ascii="Calibri" w:hAnsi="Calibri" w:cs="Calibri"/>
              </w:rPr>
              <w:t>Poprawa integracji roweru ze środkami transport</w:t>
            </w:r>
            <w:r w:rsidRPr="009667DE">
              <w:t xml:space="preserve"> </w:t>
            </w:r>
          </w:p>
          <w:p w14:paraId="1BEB949B" w14:textId="77777777" w:rsidR="0066038E" w:rsidRPr="009667DE" w:rsidRDefault="0066038E" w:rsidP="003C5D5D">
            <w:pPr>
              <w:pStyle w:val="Akapitzlist"/>
              <w:numPr>
                <w:ilvl w:val="0"/>
                <w:numId w:val="15"/>
              </w:numPr>
              <w:autoSpaceDE w:val="0"/>
              <w:autoSpaceDN w:val="0"/>
              <w:adjustRightInd w:val="0"/>
              <w:rPr>
                <w:rFonts w:ascii="Calibri" w:hAnsi="Calibri" w:cs="Calibri"/>
              </w:rPr>
            </w:pPr>
            <w:r w:rsidRPr="009667DE">
              <w:rPr>
                <w:rFonts w:ascii="Calibri" w:hAnsi="Calibri" w:cs="Calibri"/>
              </w:rPr>
              <w:t>Zwiększenie udziału rowerów transportowych w ruchu logistycznym w obszarach o szczególnym zagęszczeniu ruchu</w:t>
            </w:r>
          </w:p>
        </w:tc>
      </w:tr>
      <w:tr w:rsidR="0066038E" w:rsidRPr="009667DE" w14:paraId="514B4588" w14:textId="77777777" w:rsidTr="003C5D5D">
        <w:tc>
          <w:tcPr>
            <w:tcW w:w="686" w:type="dxa"/>
          </w:tcPr>
          <w:p w14:paraId="154FE7C4" w14:textId="77777777" w:rsidR="0066038E" w:rsidRPr="009667DE" w:rsidRDefault="0066038E" w:rsidP="003C5D5D">
            <w:pPr>
              <w:pStyle w:val="Akapitzlist"/>
              <w:numPr>
                <w:ilvl w:val="0"/>
                <w:numId w:val="17"/>
              </w:numPr>
            </w:pPr>
          </w:p>
        </w:tc>
        <w:tc>
          <w:tcPr>
            <w:tcW w:w="2003" w:type="dxa"/>
          </w:tcPr>
          <w:p w14:paraId="357B0519" w14:textId="77777777" w:rsidR="0066038E" w:rsidRPr="009667DE" w:rsidRDefault="0066038E" w:rsidP="003C5D5D">
            <w:r w:rsidRPr="009667DE">
              <w:t>Uzasadnienie uwagi</w:t>
            </w:r>
          </w:p>
        </w:tc>
        <w:tc>
          <w:tcPr>
            <w:tcW w:w="11198" w:type="dxa"/>
          </w:tcPr>
          <w:p w14:paraId="4B7F6114"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70BC23AA" w14:textId="77777777" w:rsidR="0066038E" w:rsidRPr="009667DE" w:rsidRDefault="0066038E" w:rsidP="003C5D5D"/>
          <w:p w14:paraId="7CB12412" w14:textId="77777777" w:rsidR="0066038E" w:rsidRPr="009667DE" w:rsidRDefault="0066038E" w:rsidP="003C5D5D">
            <w:r w:rsidRPr="009667DE">
              <w:t>Jednym ze zdiagnozowanych głównych wyzwań rozwojowych, jakie przyniosła ze sobą pandemia COVID-19 jest rosnąca presja na system finansów publicznych przejawiająca się ograniczeniem możliwości finansowania inwestycji publicznych. Należy zdecydowanie zgodzić się z powyższym stwierdzeniem, jednocześnie ze zdziwieniem konstatując, że w takich okolicznościach duży nacisk inwestycyjny położony będzie na rozbudowę twardej infrastruktury transportowej, ze szczególnym uwzględnieniem dróg. Zwraca się uwagę, że jest to rozwiązanie kosztowne zarówno w kontekście kosztów samej inwestycji, jak i skutków w postaci wzrostu wydatków związanych z utrzymaniem i funkcjonowaniem określonej oferty transportowej.</w:t>
            </w:r>
          </w:p>
          <w:p w14:paraId="32C1B55C" w14:textId="77777777" w:rsidR="0066038E" w:rsidRPr="009667DE" w:rsidRDefault="0066038E" w:rsidP="003C5D5D"/>
          <w:p w14:paraId="4C5756C6" w14:textId="77777777" w:rsidR="0066038E" w:rsidRPr="009667DE" w:rsidRDefault="0066038E" w:rsidP="003C5D5D">
            <w:r w:rsidRPr="009667DE">
              <w:t xml:space="preserve">Zgodnie z danymi GDDKiA koszt budowy 1 km autostrady wynosi obecnie od 36,4 do 50,6 mln zł, w przypadku dróg ekspresowych średni koszt to ok. 41 mln zł za kilometr, zaś w przypadku dróg niższej klasy wartość ta waha się od ok. 9 do 24,2 mln zł. Dane podawane przez spółkę CPK wskazują, że 1 km linii konwencjonalnej na 10 mln zł, a linii dużych prędkości na 50 mln zł. Z kolei koszt budowy 1 km linii metra wynosi 470 mln zł, a koszt budowy 1 km linii tramwajowej waha się od </w:t>
            </w:r>
            <w:r w:rsidRPr="009667DE">
              <w:lastRenderedPageBreak/>
              <w:t>10 do 25 mln zł. (dane Urzędu m. st. Warszawy). Jednocześnie budowa drogi rowerowej zaś to koszt około 2 mln za 1 km. (dane samorządów na podstawie cenników Budżetów Obywatelskich)</w:t>
            </w:r>
          </w:p>
          <w:p w14:paraId="4DA8C74A" w14:textId="77777777" w:rsidR="0066038E" w:rsidRPr="009667DE" w:rsidRDefault="0066038E" w:rsidP="003C5D5D"/>
          <w:p w14:paraId="5EF24829" w14:textId="77777777" w:rsidR="0066038E" w:rsidRPr="009667DE" w:rsidRDefault="0066038E" w:rsidP="003C5D5D">
            <w:r w:rsidRPr="009667DE">
              <w:t>Na podstawie powyższego zestawienia widać więc, że przeznaczenie nawet niewielkich środków w porównaniu do pozostałych rodzajów infrastruktury transportowej, daje ogromne przełożenie na przyrost ilości dróg rowerowych.</w:t>
            </w:r>
          </w:p>
          <w:p w14:paraId="0FC7246A" w14:textId="77777777" w:rsidR="0066038E" w:rsidRPr="009667DE" w:rsidRDefault="0066038E" w:rsidP="003C5D5D"/>
          <w:p w14:paraId="65CCAFFA" w14:textId="77777777" w:rsidR="0066038E" w:rsidRPr="009667DE" w:rsidRDefault="0066038E" w:rsidP="003C5D5D">
            <w:r w:rsidRPr="009667DE">
              <w:t>Zaznaczyć przy tym należy, że nie należy rozpatrywać procesu inwestycyjnego jedynie z punktu widzenia kosztów, ale także rezultatów i kosztów utrzymania. Z tego punktu widzenia wskazać należy, że utrzymanie infrastruktury rowerowej jest nieporównywalnie tańsze w utrzymaniu. Drogi rowerowe co do zasady przenoszą mniejsze obciążenia, w efekcie są trwalsze niż drogi dla samochodów, zaś jedyne koszty to zimowe utrzymanie przejezdności.</w:t>
            </w:r>
          </w:p>
          <w:p w14:paraId="7887EFDF" w14:textId="77777777" w:rsidR="0066038E" w:rsidRPr="009667DE" w:rsidRDefault="0066038E" w:rsidP="003C5D5D"/>
          <w:p w14:paraId="120A26FD" w14:textId="77777777" w:rsidR="0066038E" w:rsidRPr="009667DE" w:rsidRDefault="0066038E" w:rsidP="003C5D5D">
            <w:r w:rsidRPr="009667DE">
              <w:t>Warto również pamiętać, że każda budowa infrastruktury, a zatem i przetworzenie krajobrazu, niesie za sobą długotrwałe skutki środowiskowe i społeczne takie jak wzrost emisji pyłów i spalin, hałas, tworzenie efektów barier dla ludzi i zwierząt, a także wypadki drogowe. Porównując powyższe efekty należy wskazać, że rower jako środek transportu jest wolny od większości negatywnych efektów funkcjonowania infrastruktury transportowej.</w:t>
            </w:r>
          </w:p>
          <w:p w14:paraId="2A867DD2" w14:textId="77777777" w:rsidR="0066038E" w:rsidRPr="009667DE" w:rsidRDefault="0066038E" w:rsidP="003C5D5D"/>
          <w:p w14:paraId="0495A6D4" w14:textId="77777777" w:rsidR="0066038E" w:rsidRPr="009667DE" w:rsidRDefault="0066038E" w:rsidP="003C5D5D">
            <w:r w:rsidRPr="009667DE">
              <w:t>Warto również zwrócić uwagę na gwałtowny wzrost rynku handlu internetowego oraz konsolidacja silnego rynku logistycznego wytwarza rosnącą presję na ruch w miastach – w metropoliach udział ruchu dostawczego w ruchu kołowym stale wzrasta. Zgodnie z zaleceniami europejskimi należy poszukiwać alternatywnych sposobów na zaspokajanie potrzeb logistycznych w miastach, w tym poprzez promocję i ułatwienie korzystania z lekkich pojazdów elektrycznych oraz wspomaganych elektrycznie rowerów towarowych, tak przez małe jak i duże firmy lub instytucje w logistyce tzw. ostatniej mili.</w:t>
            </w:r>
          </w:p>
          <w:p w14:paraId="7C2DB5B4" w14:textId="77777777" w:rsidR="0066038E" w:rsidRPr="009667DE" w:rsidRDefault="0066038E" w:rsidP="003C5D5D"/>
          <w:p w14:paraId="00A0BE6B" w14:textId="61117D10" w:rsidR="0066038E" w:rsidRPr="009667DE" w:rsidRDefault="0066038E" w:rsidP="003C5D5D">
            <w:r w:rsidRPr="009667DE">
              <w:t xml:space="preserve">Jednocześnie rozbudowa infrastruktury dedykowanej indywidualnemu ruchowi samochodowemu pogłębia przepaść pomiędzy efektywnością wyboru samochodów i innych środków transportu, co w warunkach racjonalnych wyborów indywidualnych jednostek prowadzi do wzrostu liczby samochodów i w efekcie do stymulowania szeregu negatywnych zjawisk towarzyszących transportowi samochodowemu takich jak wypadki drogowe, korki, emisja substancji szkodliwych (tzw. smog </w:t>
            </w:r>
            <w:r w:rsidR="00C92263">
              <w:t>fotochemiczny</w:t>
            </w:r>
            <w:r w:rsidRPr="009667DE">
              <w:t xml:space="preserve">), co jest niekorzystne dla wspólnego interesu społeczności. </w:t>
            </w:r>
          </w:p>
          <w:p w14:paraId="31B5C472" w14:textId="77777777" w:rsidR="0066038E" w:rsidRPr="009667DE" w:rsidRDefault="0066038E" w:rsidP="003C5D5D"/>
          <w:p w14:paraId="253E1E63" w14:textId="77777777" w:rsidR="0066038E" w:rsidRPr="009667DE" w:rsidRDefault="0066038E" w:rsidP="003C5D5D">
            <w:r w:rsidRPr="009667DE">
              <w:t xml:space="preserve">W wymiarze indywidualnym – nadmierne użytkowanie samochodu w długofalowej perspektywie powoduje pogorszenie stanu zdrowia ze względu na mniejszą ilość ruchu (tzw. nie rekreacyjnej mobilności aktywnej), co wprost przekłada się na wzrost zapadalności na takie schorzenia jak choroby serca, otyłość, choroby narządów ruchu. Emisja smogu fotochemicznego zaś ma bezpośredni wpływ na choroby układu oddechowego, nerwowego oraz choroby oczu. Koszty te – </w:t>
            </w:r>
            <w:r w:rsidRPr="009667DE">
              <w:lastRenderedPageBreak/>
              <w:t>wraz z rosnącymi kosztami leczenia i rehabilitacji ofiar wypadków drogowych – na trwałe obciążać będą krajowy system ochrony zdrowia, co będzie uwydatniać się w przyszłych pokoleniach wraz ze starzeniem się społeczeństwa i pogarszaniem stanu środowiska.</w:t>
            </w:r>
          </w:p>
          <w:p w14:paraId="5B207A31" w14:textId="77777777" w:rsidR="0066038E" w:rsidRPr="009667DE" w:rsidRDefault="0066038E" w:rsidP="003C5D5D">
            <w:r w:rsidRPr="009667DE">
              <w:t>Stworzenie warunków do rozwoju infrastruktury rowerowej będzie przeciwdziałać powyżej wskazanym negatywnym zjawiskom, ponieważ w mniejszym stopniu obciążać będzie budżety jednostek finansów publicznych kosztami utrzymania, będzie generować mniejsze koszty środowiskowe i społeczne, jak również – dzięki tworzeniu warunków do aktywnej mobilności nie rekreacyjnej – korzystnie oddziaływać na ograniczanie negatywnych zjawisk w obszarze zdrowia publicznego.</w:t>
            </w:r>
          </w:p>
          <w:p w14:paraId="07FC912B" w14:textId="77777777" w:rsidR="0066038E" w:rsidRPr="009667DE" w:rsidRDefault="0066038E" w:rsidP="003C5D5D"/>
          <w:p w14:paraId="7F59D4DE" w14:textId="77777777" w:rsidR="0066038E" w:rsidRPr="009667DE" w:rsidRDefault="0066038E" w:rsidP="003C5D5D">
            <w:r w:rsidRPr="009667DE">
              <w:t>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ponieważ postulowana zmiana w pełni się w te założenia wpisuje.</w:t>
            </w:r>
          </w:p>
          <w:p w14:paraId="344835F8" w14:textId="77777777" w:rsidR="0066038E" w:rsidRPr="009667DE" w:rsidRDefault="0066038E" w:rsidP="003C5D5D">
            <w:pPr>
              <w:pStyle w:val="Default"/>
              <w:rPr>
                <w:color w:val="auto"/>
                <w:sz w:val="22"/>
                <w:szCs w:val="22"/>
              </w:rPr>
            </w:pPr>
          </w:p>
        </w:tc>
      </w:tr>
    </w:tbl>
    <w:p w14:paraId="4FB75576" w14:textId="77777777" w:rsidR="0066038E" w:rsidRPr="009667DE" w:rsidRDefault="0066038E" w:rsidP="0066038E">
      <w:r w:rsidRPr="009667DE">
        <w:lastRenderedPageBreak/>
        <w:br w:type="page"/>
      </w:r>
    </w:p>
    <w:tbl>
      <w:tblPr>
        <w:tblStyle w:val="Tabela-Siatka"/>
        <w:tblW w:w="0" w:type="auto"/>
        <w:tblLook w:val="04A0" w:firstRow="1" w:lastRow="0" w:firstColumn="1" w:lastColumn="0" w:noHBand="0" w:noVBand="1"/>
      </w:tblPr>
      <w:tblGrid>
        <w:gridCol w:w="686"/>
        <w:gridCol w:w="2003"/>
        <w:gridCol w:w="11198"/>
      </w:tblGrid>
      <w:tr w:rsidR="0066038E" w:rsidRPr="009667DE" w14:paraId="334E6185" w14:textId="77777777" w:rsidTr="003C5D5D">
        <w:tc>
          <w:tcPr>
            <w:tcW w:w="686" w:type="dxa"/>
          </w:tcPr>
          <w:p w14:paraId="47566EA7" w14:textId="77777777" w:rsidR="0066038E" w:rsidRPr="009667DE" w:rsidRDefault="0066038E" w:rsidP="003C5D5D">
            <w:proofErr w:type="spellStart"/>
            <w:r w:rsidRPr="009667DE">
              <w:lastRenderedPageBreak/>
              <w:t>Lp</w:t>
            </w:r>
            <w:proofErr w:type="spellEnd"/>
          </w:p>
        </w:tc>
        <w:tc>
          <w:tcPr>
            <w:tcW w:w="2003" w:type="dxa"/>
          </w:tcPr>
          <w:p w14:paraId="59DFCDE4" w14:textId="77777777" w:rsidR="0066038E" w:rsidRPr="009667DE" w:rsidRDefault="0066038E" w:rsidP="003C5D5D">
            <w:r w:rsidRPr="009667DE">
              <w:t>Pole formularza</w:t>
            </w:r>
          </w:p>
        </w:tc>
        <w:tc>
          <w:tcPr>
            <w:tcW w:w="11198" w:type="dxa"/>
          </w:tcPr>
          <w:p w14:paraId="79EA79C5" w14:textId="77777777" w:rsidR="0066038E" w:rsidRPr="009667DE" w:rsidRDefault="0066038E" w:rsidP="003C5D5D">
            <w:r w:rsidRPr="009667DE">
              <w:t>Treść</w:t>
            </w:r>
          </w:p>
        </w:tc>
      </w:tr>
      <w:tr w:rsidR="0066038E" w:rsidRPr="009667DE" w14:paraId="16C8E996" w14:textId="77777777" w:rsidTr="003C5D5D">
        <w:tc>
          <w:tcPr>
            <w:tcW w:w="686" w:type="dxa"/>
          </w:tcPr>
          <w:p w14:paraId="60FFF4F8" w14:textId="77777777" w:rsidR="0066038E" w:rsidRPr="009667DE" w:rsidRDefault="0066038E" w:rsidP="003C5D5D">
            <w:pPr>
              <w:pStyle w:val="Akapitzlist"/>
              <w:numPr>
                <w:ilvl w:val="0"/>
                <w:numId w:val="16"/>
              </w:numPr>
            </w:pPr>
          </w:p>
        </w:tc>
        <w:tc>
          <w:tcPr>
            <w:tcW w:w="2003" w:type="dxa"/>
          </w:tcPr>
          <w:p w14:paraId="5665BD23" w14:textId="77777777" w:rsidR="0066038E" w:rsidRPr="009667DE" w:rsidRDefault="0066038E" w:rsidP="003C5D5D">
            <w:r w:rsidRPr="009667DE">
              <w:t>Imię</w:t>
            </w:r>
          </w:p>
        </w:tc>
        <w:tc>
          <w:tcPr>
            <w:tcW w:w="11198" w:type="dxa"/>
            <w:shd w:val="clear" w:color="auto" w:fill="A6A6A6" w:themeFill="background1" w:themeFillShade="A6"/>
          </w:tcPr>
          <w:p w14:paraId="1815C8E6" w14:textId="77777777" w:rsidR="0066038E" w:rsidRPr="009667DE" w:rsidRDefault="0066038E" w:rsidP="003C5D5D"/>
        </w:tc>
      </w:tr>
      <w:tr w:rsidR="0066038E" w:rsidRPr="009667DE" w14:paraId="774E0A4B" w14:textId="77777777" w:rsidTr="003C5D5D">
        <w:tc>
          <w:tcPr>
            <w:tcW w:w="686" w:type="dxa"/>
          </w:tcPr>
          <w:p w14:paraId="34B5E4A7" w14:textId="77777777" w:rsidR="0066038E" w:rsidRPr="009667DE" w:rsidRDefault="0066038E" w:rsidP="003C5D5D">
            <w:pPr>
              <w:pStyle w:val="Akapitzlist"/>
              <w:numPr>
                <w:ilvl w:val="0"/>
                <w:numId w:val="16"/>
              </w:numPr>
            </w:pPr>
          </w:p>
        </w:tc>
        <w:tc>
          <w:tcPr>
            <w:tcW w:w="2003" w:type="dxa"/>
          </w:tcPr>
          <w:p w14:paraId="4111A73F" w14:textId="77777777" w:rsidR="0066038E" w:rsidRPr="009667DE" w:rsidRDefault="0066038E" w:rsidP="003C5D5D">
            <w:r w:rsidRPr="009667DE">
              <w:t>Nazwisko</w:t>
            </w:r>
          </w:p>
        </w:tc>
        <w:tc>
          <w:tcPr>
            <w:tcW w:w="11198" w:type="dxa"/>
            <w:shd w:val="clear" w:color="auto" w:fill="A6A6A6" w:themeFill="background1" w:themeFillShade="A6"/>
          </w:tcPr>
          <w:p w14:paraId="5D49E7CA" w14:textId="77777777" w:rsidR="0066038E" w:rsidRPr="009667DE" w:rsidRDefault="0066038E" w:rsidP="003C5D5D"/>
        </w:tc>
      </w:tr>
      <w:tr w:rsidR="0066038E" w:rsidRPr="009667DE" w14:paraId="1DAED77F" w14:textId="77777777" w:rsidTr="003C5D5D">
        <w:tc>
          <w:tcPr>
            <w:tcW w:w="686" w:type="dxa"/>
          </w:tcPr>
          <w:p w14:paraId="07EDDE41" w14:textId="77777777" w:rsidR="0066038E" w:rsidRPr="009667DE" w:rsidRDefault="0066038E" w:rsidP="003C5D5D">
            <w:pPr>
              <w:pStyle w:val="Akapitzlist"/>
              <w:numPr>
                <w:ilvl w:val="0"/>
                <w:numId w:val="16"/>
              </w:numPr>
            </w:pPr>
          </w:p>
        </w:tc>
        <w:tc>
          <w:tcPr>
            <w:tcW w:w="2003" w:type="dxa"/>
          </w:tcPr>
          <w:p w14:paraId="4B741298" w14:textId="77777777" w:rsidR="0066038E" w:rsidRPr="009667DE" w:rsidRDefault="0066038E" w:rsidP="003C5D5D">
            <w:r w:rsidRPr="009667DE">
              <w:t>Instytucja</w:t>
            </w:r>
          </w:p>
        </w:tc>
        <w:tc>
          <w:tcPr>
            <w:tcW w:w="11198" w:type="dxa"/>
            <w:shd w:val="clear" w:color="auto" w:fill="A6A6A6" w:themeFill="background1" w:themeFillShade="A6"/>
          </w:tcPr>
          <w:p w14:paraId="3EFA26CA" w14:textId="77777777" w:rsidR="0066038E" w:rsidRPr="009667DE" w:rsidRDefault="0066038E" w:rsidP="003C5D5D"/>
        </w:tc>
      </w:tr>
      <w:tr w:rsidR="0066038E" w:rsidRPr="009667DE" w14:paraId="5701F05F" w14:textId="77777777" w:rsidTr="003C5D5D">
        <w:tc>
          <w:tcPr>
            <w:tcW w:w="686" w:type="dxa"/>
          </w:tcPr>
          <w:p w14:paraId="578DDAE2" w14:textId="77777777" w:rsidR="0066038E" w:rsidRPr="009667DE" w:rsidRDefault="0066038E" w:rsidP="003C5D5D">
            <w:pPr>
              <w:pStyle w:val="Akapitzlist"/>
              <w:numPr>
                <w:ilvl w:val="0"/>
                <w:numId w:val="16"/>
              </w:numPr>
            </w:pPr>
          </w:p>
        </w:tc>
        <w:tc>
          <w:tcPr>
            <w:tcW w:w="2003" w:type="dxa"/>
          </w:tcPr>
          <w:p w14:paraId="7812EF55" w14:textId="77777777" w:rsidR="0066038E" w:rsidRPr="009667DE" w:rsidRDefault="0066038E" w:rsidP="003C5D5D">
            <w:r w:rsidRPr="009667DE">
              <w:t>Województwo</w:t>
            </w:r>
          </w:p>
        </w:tc>
        <w:tc>
          <w:tcPr>
            <w:tcW w:w="11198" w:type="dxa"/>
            <w:shd w:val="clear" w:color="auto" w:fill="A6A6A6" w:themeFill="background1" w:themeFillShade="A6"/>
          </w:tcPr>
          <w:p w14:paraId="09748AEA" w14:textId="77777777" w:rsidR="0066038E" w:rsidRPr="009667DE" w:rsidRDefault="0066038E" w:rsidP="003C5D5D"/>
        </w:tc>
      </w:tr>
      <w:tr w:rsidR="0066038E" w:rsidRPr="009667DE" w14:paraId="4A1BB1AA" w14:textId="77777777" w:rsidTr="003C5D5D">
        <w:tc>
          <w:tcPr>
            <w:tcW w:w="686" w:type="dxa"/>
          </w:tcPr>
          <w:p w14:paraId="006F63A7" w14:textId="77777777" w:rsidR="0066038E" w:rsidRPr="009667DE" w:rsidRDefault="0066038E" w:rsidP="003C5D5D">
            <w:pPr>
              <w:pStyle w:val="Akapitzlist"/>
              <w:numPr>
                <w:ilvl w:val="0"/>
                <w:numId w:val="16"/>
              </w:numPr>
            </w:pPr>
          </w:p>
        </w:tc>
        <w:tc>
          <w:tcPr>
            <w:tcW w:w="2003" w:type="dxa"/>
          </w:tcPr>
          <w:p w14:paraId="4C4EA9CD" w14:textId="77777777" w:rsidR="0066038E" w:rsidRPr="009667DE" w:rsidRDefault="0066038E" w:rsidP="003C5D5D">
            <w:r w:rsidRPr="009667DE">
              <w:t>Część KPO</w:t>
            </w:r>
          </w:p>
        </w:tc>
        <w:tc>
          <w:tcPr>
            <w:tcW w:w="11198" w:type="dxa"/>
          </w:tcPr>
          <w:p w14:paraId="00D4F6CB" w14:textId="77777777" w:rsidR="0066038E" w:rsidRPr="009667DE" w:rsidRDefault="0066038E" w:rsidP="003C5D5D">
            <w:r w:rsidRPr="009667DE">
              <w:t>Komponent E „Zielona, inteligentna mobilność”</w:t>
            </w:r>
          </w:p>
          <w:p w14:paraId="050C761C" w14:textId="77777777" w:rsidR="0066038E" w:rsidRPr="009667DE" w:rsidRDefault="0066038E" w:rsidP="003C5D5D">
            <w:pPr>
              <w:pStyle w:val="Default"/>
              <w:rPr>
                <w:color w:val="auto"/>
              </w:rPr>
            </w:pPr>
            <w:r w:rsidRPr="009667DE">
              <w:rPr>
                <w:color w:val="auto"/>
                <w:sz w:val="22"/>
                <w:szCs w:val="22"/>
              </w:rPr>
              <w:t>3. Opis Reform i Inwestycji, opis reform a. Reformy, Reforma E1.1. Wzrost wykorzystania transportu przyjaznego dla środowiska</w:t>
            </w:r>
          </w:p>
        </w:tc>
      </w:tr>
      <w:tr w:rsidR="0066038E" w:rsidRPr="009667DE" w14:paraId="62303DDD" w14:textId="77777777" w:rsidTr="003C5D5D">
        <w:tc>
          <w:tcPr>
            <w:tcW w:w="686" w:type="dxa"/>
          </w:tcPr>
          <w:p w14:paraId="237BB383" w14:textId="77777777" w:rsidR="0066038E" w:rsidRPr="009667DE" w:rsidRDefault="0066038E" w:rsidP="003C5D5D">
            <w:pPr>
              <w:pStyle w:val="Akapitzlist"/>
              <w:numPr>
                <w:ilvl w:val="0"/>
                <w:numId w:val="16"/>
              </w:numPr>
            </w:pPr>
          </w:p>
        </w:tc>
        <w:tc>
          <w:tcPr>
            <w:tcW w:w="2003" w:type="dxa"/>
          </w:tcPr>
          <w:p w14:paraId="5BA280A1" w14:textId="77777777" w:rsidR="0066038E" w:rsidRPr="009667DE" w:rsidRDefault="0066038E" w:rsidP="003C5D5D">
            <w:r w:rsidRPr="009667DE">
              <w:t>Strona</w:t>
            </w:r>
          </w:p>
        </w:tc>
        <w:tc>
          <w:tcPr>
            <w:tcW w:w="11198" w:type="dxa"/>
          </w:tcPr>
          <w:p w14:paraId="042D8ABE" w14:textId="77777777" w:rsidR="0066038E" w:rsidRPr="009667DE" w:rsidRDefault="0066038E" w:rsidP="003C5D5D">
            <w:r w:rsidRPr="009667DE">
              <w:t>202-203</w:t>
            </w:r>
          </w:p>
        </w:tc>
      </w:tr>
      <w:tr w:rsidR="0066038E" w:rsidRPr="009667DE" w14:paraId="704A17F0" w14:textId="77777777" w:rsidTr="003C5D5D">
        <w:tc>
          <w:tcPr>
            <w:tcW w:w="686" w:type="dxa"/>
          </w:tcPr>
          <w:p w14:paraId="6FC232E1" w14:textId="77777777" w:rsidR="0066038E" w:rsidRPr="009667DE" w:rsidRDefault="0066038E" w:rsidP="003C5D5D">
            <w:pPr>
              <w:pStyle w:val="Akapitzlist"/>
              <w:numPr>
                <w:ilvl w:val="0"/>
                <w:numId w:val="16"/>
              </w:numPr>
            </w:pPr>
          </w:p>
        </w:tc>
        <w:tc>
          <w:tcPr>
            <w:tcW w:w="2003" w:type="dxa"/>
          </w:tcPr>
          <w:p w14:paraId="0826DBA6" w14:textId="77777777" w:rsidR="0066038E" w:rsidRPr="009667DE" w:rsidRDefault="0066038E" w:rsidP="003C5D5D">
            <w:r w:rsidRPr="009667DE">
              <w:t>Treść Uwagi</w:t>
            </w:r>
          </w:p>
        </w:tc>
        <w:tc>
          <w:tcPr>
            <w:tcW w:w="11198" w:type="dxa"/>
          </w:tcPr>
          <w:p w14:paraId="55C53729"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w sekcji „Wyzwania” zapisu:</w:t>
            </w:r>
          </w:p>
          <w:p w14:paraId="09E20128" w14:textId="77777777" w:rsidR="0066038E" w:rsidRPr="009667DE" w:rsidRDefault="0066038E" w:rsidP="003C5D5D">
            <w:pPr>
              <w:autoSpaceDE w:val="0"/>
              <w:autoSpaceDN w:val="0"/>
              <w:adjustRightInd w:val="0"/>
              <w:rPr>
                <w:rFonts w:ascii="Calibri" w:hAnsi="Calibri" w:cs="Calibri"/>
              </w:rPr>
            </w:pPr>
          </w:p>
          <w:p w14:paraId="3E53062A" w14:textId="77777777" w:rsidR="0066038E" w:rsidRPr="009667DE" w:rsidRDefault="0066038E" w:rsidP="003C5D5D">
            <w:pPr>
              <w:autoSpaceDE w:val="0"/>
              <w:autoSpaceDN w:val="0"/>
              <w:adjustRightInd w:val="0"/>
            </w:pPr>
            <w:r w:rsidRPr="009667DE">
              <w:t xml:space="preserve">Wyzwaniem w tym zakresie jest znaczne zwiększenie skali i tempa działań zmierzających do zwiększenia udziału pojazdów zasilanych paliwami alternatywnymi oraz rowerów, w tym rowerów towarowych, m.in. poprzez wsparcie działań zwiększających dostępność pojazdów zasilanych paliwami alternatywnymi, rozbudowę infrastruktury ładowania, wymianę autobusów na zero- i nisko- emisyjne oraz umożliwienie wprowadzania stref zeroemisyjnych w miastach. </w:t>
            </w:r>
          </w:p>
          <w:p w14:paraId="122060A9" w14:textId="77777777" w:rsidR="0066038E" w:rsidRPr="009667DE" w:rsidRDefault="0066038E" w:rsidP="003C5D5D">
            <w:pPr>
              <w:autoSpaceDE w:val="0"/>
              <w:autoSpaceDN w:val="0"/>
              <w:adjustRightInd w:val="0"/>
              <w:rPr>
                <w:rFonts w:ascii="Calibri" w:hAnsi="Calibri" w:cs="Calibri"/>
              </w:rPr>
            </w:pPr>
          </w:p>
          <w:p w14:paraId="7F290058"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Jednocześnie polskie miasta nie posiadają spójnych systemów tras rowerowych, co nie pozwala na pełny rozwój potencjału z zakresie transportu rowerowego będącego w pełni zero-emisyjnym środkiem transportu. Miasta liderujące pod względem udziału ruchu rowerowego w podróżach osiągają poziom ok. 7%, w czasie, gdy potencjał (pod w warunkiem powstania w miastach funkcjonalnego systemu tras) można szacować na poziom ok. 15-20% (na podstawie zbliżonych uwarunkowaniami miasto wschodnio niemieckich). Skokowy wzrost zainteresowania transportem rowerowym w sytuacji pandemii udowodnił odporność tego środka transportu na kolejne fale pandemii. Wyzwaniem w tym zakresie jest zwiększenie udziału rowerów w transporcie, w tym w systemie dostaw tzw. ostatniej mili.</w:t>
            </w:r>
          </w:p>
          <w:p w14:paraId="62FF1EB6" w14:textId="77777777" w:rsidR="0066038E" w:rsidRPr="009667DE" w:rsidRDefault="0066038E" w:rsidP="003C5D5D">
            <w:pPr>
              <w:autoSpaceDE w:val="0"/>
              <w:autoSpaceDN w:val="0"/>
              <w:adjustRightInd w:val="0"/>
              <w:rPr>
                <w:rFonts w:ascii="Calibri" w:hAnsi="Calibri" w:cs="Calibri"/>
              </w:rPr>
            </w:pPr>
          </w:p>
        </w:tc>
      </w:tr>
      <w:tr w:rsidR="0066038E" w:rsidRPr="009667DE" w14:paraId="0CE380FC" w14:textId="77777777" w:rsidTr="003C5D5D">
        <w:tc>
          <w:tcPr>
            <w:tcW w:w="686" w:type="dxa"/>
          </w:tcPr>
          <w:p w14:paraId="65853AA3" w14:textId="77777777" w:rsidR="0066038E" w:rsidRPr="009667DE" w:rsidRDefault="0066038E" w:rsidP="003C5D5D">
            <w:pPr>
              <w:pStyle w:val="Akapitzlist"/>
              <w:numPr>
                <w:ilvl w:val="0"/>
                <w:numId w:val="16"/>
              </w:numPr>
            </w:pPr>
          </w:p>
        </w:tc>
        <w:tc>
          <w:tcPr>
            <w:tcW w:w="2003" w:type="dxa"/>
          </w:tcPr>
          <w:p w14:paraId="43276125" w14:textId="77777777" w:rsidR="0066038E" w:rsidRPr="009667DE" w:rsidRDefault="0066038E" w:rsidP="003C5D5D">
            <w:r w:rsidRPr="009667DE">
              <w:t>Uzasadnienie uwagi</w:t>
            </w:r>
          </w:p>
        </w:tc>
        <w:tc>
          <w:tcPr>
            <w:tcW w:w="11198" w:type="dxa"/>
          </w:tcPr>
          <w:p w14:paraId="58C6B1CA"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599F7B0E" w14:textId="77777777" w:rsidR="0066038E" w:rsidRPr="009667DE" w:rsidRDefault="0066038E" w:rsidP="003C5D5D">
            <w:pPr>
              <w:pStyle w:val="Default"/>
              <w:rPr>
                <w:color w:val="auto"/>
                <w:sz w:val="22"/>
                <w:szCs w:val="22"/>
              </w:rPr>
            </w:pPr>
          </w:p>
          <w:p w14:paraId="5640BEC5" w14:textId="77777777" w:rsidR="0066038E" w:rsidRPr="009667DE" w:rsidRDefault="0066038E" w:rsidP="003C5D5D">
            <w:r w:rsidRPr="009667DE">
              <w:t>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ponieważ postulowana zmiana w pełni się w te założenia wpisuje.</w:t>
            </w:r>
          </w:p>
        </w:tc>
      </w:tr>
      <w:tr w:rsidR="0066038E" w:rsidRPr="009667DE" w14:paraId="4BFC8865" w14:textId="77777777" w:rsidTr="003C5D5D">
        <w:tc>
          <w:tcPr>
            <w:tcW w:w="686" w:type="dxa"/>
          </w:tcPr>
          <w:p w14:paraId="0ED7E8DD" w14:textId="77777777" w:rsidR="0066038E" w:rsidRPr="009667DE" w:rsidRDefault="0066038E" w:rsidP="003C5D5D">
            <w:proofErr w:type="spellStart"/>
            <w:r w:rsidRPr="009667DE">
              <w:lastRenderedPageBreak/>
              <w:t>Lp</w:t>
            </w:r>
            <w:proofErr w:type="spellEnd"/>
          </w:p>
        </w:tc>
        <w:tc>
          <w:tcPr>
            <w:tcW w:w="2003" w:type="dxa"/>
          </w:tcPr>
          <w:p w14:paraId="0C0D2B4C" w14:textId="77777777" w:rsidR="0066038E" w:rsidRPr="009667DE" w:rsidRDefault="0066038E" w:rsidP="003C5D5D">
            <w:r w:rsidRPr="009667DE">
              <w:t>Pole formularza</w:t>
            </w:r>
          </w:p>
        </w:tc>
        <w:tc>
          <w:tcPr>
            <w:tcW w:w="11198" w:type="dxa"/>
          </w:tcPr>
          <w:p w14:paraId="7042C13F" w14:textId="77777777" w:rsidR="0066038E" w:rsidRPr="009667DE" w:rsidRDefault="0066038E" w:rsidP="003C5D5D">
            <w:r w:rsidRPr="009667DE">
              <w:t>Treść</w:t>
            </w:r>
          </w:p>
        </w:tc>
      </w:tr>
      <w:tr w:rsidR="0066038E" w:rsidRPr="009667DE" w14:paraId="489BF0A2" w14:textId="77777777" w:rsidTr="003C5D5D">
        <w:tc>
          <w:tcPr>
            <w:tcW w:w="686" w:type="dxa"/>
          </w:tcPr>
          <w:p w14:paraId="320963EF" w14:textId="77777777" w:rsidR="0066038E" w:rsidRPr="009667DE" w:rsidRDefault="0066038E" w:rsidP="003C5D5D">
            <w:pPr>
              <w:pStyle w:val="Akapitzlist"/>
              <w:numPr>
                <w:ilvl w:val="0"/>
                <w:numId w:val="18"/>
              </w:numPr>
            </w:pPr>
          </w:p>
        </w:tc>
        <w:tc>
          <w:tcPr>
            <w:tcW w:w="2003" w:type="dxa"/>
          </w:tcPr>
          <w:p w14:paraId="2D4B881D" w14:textId="77777777" w:rsidR="0066038E" w:rsidRPr="009667DE" w:rsidRDefault="0066038E" w:rsidP="003C5D5D">
            <w:r w:rsidRPr="009667DE">
              <w:t>Imię</w:t>
            </w:r>
          </w:p>
        </w:tc>
        <w:tc>
          <w:tcPr>
            <w:tcW w:w="11198" w:type="dxa"/>
          </w:tcPr>
          <w:p w14:paraId="45B19488" w14:textId="77777777" w:rsidR="0066038E" w:rsidRPr="009667DE" w:rsidRDefault="0066038E" w:rsidP="003C5D5D"/>
        </w:tc>
      </w:tr>
      <w:tr w:rsidR="0066038E" w:rsidRPr="009667DE" w14:paraId="0E3DFD2E" w14:textId="77777777" w:rsidTr="003C5D5D">
        <w:tc>
          <w:tcPr>
            <w:tcW w:w="686" w:type="dxa"/>
          </w:tcPr>
          <w:p w14:paraId="216B5EC7" w14:textId="77777777" w:rsidR="0066038E" w:rsidRPr="009667DE" w:rsidRDefault="0066038E" w:rsidP="003C5D5D">
            <w:pPr>
              <w:pStyle w:val="Akapitzlist"/>
              <w:numPr>
                <w:ilvl w:val="0"/>
                <w:numId w:val="18"/>
              </w:numPr>
            </w:pPr>
          </w:p>
        </w:tc>
        <w:tc>
          <w:tcPr>
            <w:tcW w:w="2003" w:type="dxa"/>
          </w:tcPr>
          <w:p w14:paraId="2F1FCFA9" w14:textId="77777777" w:rsidR="0066038E" w:rsidRPr="009667DE" w:rsidRDefault="0066038E" w:rsidP="003C5D5D">
            <w:r w:rsidRPr="009667DE">
              <w:t>Nazwisko</w:t>
            </w:r>
          </w:p>
        </w:tc>
        <w:tc>
          <w:tcPr>
            <w:tcW w:w="11198" w:type="dxa"/>
          </w:tcPr>
          <w:p w14:paraId="726E584A" w14:textId="77777777" w:rsidR="0066038E" w:rsidRPr="009667DE" w:rsidRDefault="0066038E" w:rsidP="003C5D5D"/>
        </w:tc>
      </w:tr>
      <w:tr w:rsidR="0066038E" w:rsidRPr="009667DE" w14:paraId="06AD2837" w14:textId="77777777" w:rsidTr="003C5D5D">
        <w:tc>
          <w:tcPr>
            <w:tcW w:w="686" w:type="dxa"/>
          </w:tcPr>
          <w:p w14:paraId="7B268F92" w14:textId="77777777" w:rsidR="0066038E" w:rsidRPr="009667DE" w:rsidRDefault="0066038E" w:rsidP="003C5D5D">
            <w:pPr>
              <w:pStyle w:val="Akapitzlist"/>
              <w:numPr>
                <w:ilvl w:val="0"/>
                <w:numId w:val="18"/>
              </w:numPr>
            </w:pPr>
          </w:p>
        </w:tc>
        <w:tc>
          <w:tcPr>
            <w:tcW w:w="2003" w:type="dxa"/>
          </w:tcPr>
          <w:p w14:paraId="115EC748" w14:textId="77777777" w:rsidR="0066038E" w:rsidRPr="009667DE" w:rsidRDefault="0066038E" w:rsidP="003C5D5D">
            <w:r w:rsidRPr="009667DE">
              <w:t>Instytucja</w:t>
            </w:r>
          </w:p>
        </w:tc>
        <w:tc>
          <w:tcPr>
            <w:tcW w:w="11198" w:type="dxa"/>
          </w:tcPr>
          <w:p w14:paraId="7C0FD6B7" w14:textId="77777777" w:rsidR="0066038E" w:rsidRPr="009667DE" w:rsidRDefault="0066038E" w:rsidP="003C5D5D"/>
        </w:tc>
      </w:tr>
      <w:tr w:rsidR="0066038E" w:rsidRPr="009667DE" w14:paraId="011D6DE0" w14:textId="77777777" w:rsidTr="003C5D5D">
        <w:tc>
          <w:tcPr>
            <w:tcW w:w="686" w:type="dxa"/>
          </w:tcPr>
          <w:p w14:paraId="3BEC71AA" w14:textId="77777777" w:rsidR="0066038E" w:rsidRPr="009667DE" w:rsidRDefault="0066038E" w:rsidP="003C5D5D">
            <w:pPr>
              <w:pStyle w:val="Akapitzlist"/>
              <w:numPr>
                <w:ilvl w:val="0"/>
                <w:numId w:val="18"/>
              </w:numPr>
            </w:pPr>
          </w:p>
        </w:tc>
        <w:tc>
          <w:tcPr>
            <w:tcW w:w="2003" w:type="dxa"/>
          </w:tcPr>
          <w:p w14:paraId="78D15C9F" w14:textId="77777777" w:rsidR="0066038E" w:rsidRPr="009667DE" w:rsidRDefault="0066038E" w:rsidP="003C5D5D">
            <w:r w:rsidRPr="009667DE">
              <w:t>Województwo</w:t>
            </w:r>
          </w:p>
        </w:tc>
        <w:tc>
          <w:tcPr>
            <w:tcW w:w="11198" w:type="dxa"/>
          </w:tcPr>
          <w:p w14:paraId="12DB461C" w14:textId="77777777" w:rsidR="0066038E" w:rsidRPr="009667DE" w:rsidRDefault="0066038E" w:rsidP="003C5D5D"/>
        </w:tc>
      </w:tr>
      <w:tr w:rsidR="0066038E" w:rsidRPr="009667DE" w14:paraId="53A91036" w14:textId="77777777" w:rsidTr="003C5D5D">
        <w:tc>
          <w:tcPr>
            <w:tcW w:w="686" w:type="dxa"/>
          </w:tcPr>
          <w:p w14:paraId="610CEBB6" w14:textId="77777777" w:rsidR="0066038E" w:rsidRPr="009667DE" w:rsidRDefault="0066038E" w:rsidP="003C5D5D">
            <w:pPr>
              <w:pStyle w:val="Akapitzlist"/>
              <w:numPr>
                <w:ilvl w:val="0"/>
                <w:numId w:val="18"/>
              </w:numPr>
            </w:pPr>
          </w:p>
        </w:tc>
        <w:tc>
          <w:tcPr>
            <w:tcW w:w="2003" w:type="dxa"/>
          </w:tcPr>
          <w:p w14:paraId="47BB8DF1" w14:textId="77777777" w:rsidR="0066038E" w:rsidRPr="009667DE" w:rsidRDefault="0066038E" w:rsidP="003C5D5D">
            <w:r w:rsidRPr="009667DE">
              <w:t>Część KPO</w:t>
            </w:r>
          </w:p>
        </w:tc>
        <w:tc>
          <w:tcPr>
            <w:tcW w:w="11198" w:type="dxa"/>
          </w:tcPr>
          <w:p w14:paraId="01414047" w14:textId="77777777" w:rsidR="0066038E" w:rsidRPr="009667DE" w:rsidRDefault="0066038E" w:rsidP="003C5D5D">
            <w:r w:rsidRPr="009667DE">
              <w:t>Komponent E „Zielona, inteligentna mobilność”</w:t>
            </w:r>
          </w:p>
          <w:p w14:paraId="3F4BA295" w14:textId="77777777" w:rsidR="0066038E" w:rsidRPr="009667DE" w:rsidRDefault="0066038E" w:rsidP="003C5D5D">
            <w:pPr>
              <w:pStyle w:val="Default"/>
              <w:rPr>
                <w:color w:val="auto"/>
              </w:rPr>
            </w:pPr>
            <w:r w:rsidRPr="009667DE">
              <w:rPr>
                <w:color w:val="auto"/>
                <w:sz w:val="22"/>
                <w:szCs w:val="22"/>
              </w:rPr>
              <w:t>3. Opis Reform i Inwestycji, opis reform a. Reformy, Reforma E1.1. Wzrost wykorzystania transportu przyjaznego dla środowiska</w:t>
            </w:r>
          </w:p>
        </w:tc>
      </w:tr>
      <w:tr w:rsidR="0066038E" w:rsidRPr="009667DE" w14:paraId="7C4111DA" w14:textId="77777777" w:rsidTr="003C5D5D">
        <w:tc>
          <w:tcPr>
            <w:tcW w:w="686" w:type="dxa"/>
          </w:tcPr>
          <w:p w14:paraId="17DFC402" w14:textId="77777777" w:rsidR="0066038E" w:rsidRPr="009667DE" w:rsidRDefault="0066038E" w:rsidP="003C5D5D">
            <w:pPr>
              <w:pStyle w:val="Akapitzlist"/>
              <w:numPr>
                <w:ilvl w:val="0"/>
                <w:numId w:val="18"/>
              </w:numPr>
            </w:pPr>
          </w:p>
        </w:tc>
        <w:tc>
          <w:tcPr>
            <w:tcW w:w="2003" w:type="dxa"/>
          </w:tcPr>
          <w:p w14:paraId="7E6F32C6" w14:textId="77777777" w:rsidR="0066038E" w:rsidRPr="009667DE" w:rsidRDefault="0066038E" w:rsidP="003C5D5D">
            <w:r w:rsidRPr="009667DE">
              <w:t>Strona</w:t>
            </w:r>
          </w:p>
        </w:tc>
        <w:tc>
          <w:tcPr>
            <w:tcW w:w="11198" w:type="dxa"/>
          </w:tcPr>
          <w:p w14:paraId="0AFBE306" w14:textId="77777777" w:rsidR="0066038E" w:rsidRPr="009667DE" w:rsidRDefault="0066038E" w:rsidP="003C5D5D">
            <w:r w:rsidRPr="009667DE">
              <w:t>202</w:t>
            </w:r>
          </w:p>
        </w:tc>
      </w:tr>
      <w:tr w:rsidR="0066038E" w:rsidRPr="009667DE" w14:paraId="1D31B7C6" w14:textId="77777777" w:rsidTr="003C5D5D">
        <w:tc>
          <w:tcPr>
            <w:tcW w:w="686" w:type="dxa"/>
          </w:tcPr>
          <w:p w14:paraId="6756CCA2" w14:textId="77777777" w:rsidR="0066038E" w:rsidRPr="009667DE" w:rsidRDefault="0066038E" w:rsidP="003C5D5D">
            <w:pPr>
              <w:pStyle w:val="Akapitzlist"/>
              <w:numPr>
                <w:ilvl w:val="0"/>
                <w:numId w:val="18"/>
              </w:numPr>
            </w:pPr>
          </w:p>
        </w:tc>
        <w:tc>
          <w:tcPr>
            <w:tcW w:w="2003" w:type="dxa"/>
          </w:tcPr>
          <w:p w14:paraId="07F5472F" w14:textId="77777777" w:rsidR="0066038E" w:rsidRPr="009667DE" w:rsidRDefault="0066038E" w:rsidP="003C5D5D">
            <w:r w:rsidRPr="009667DE">
              <w:t>Treść Uwagi</w:t>
            </w:r>
          </w:p>
        </w:tc>
        <w:tc>
          <w:tcPr>
            <w:tcW w:w="11198" w:type="dxa"/>
          </w:tcPr>
          <w:p w14:paraId="67B891DD"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w sekcji „Cele (</w:t>
            </w:r>
            <w:proofErr w:type="spellStart"/>
            <w:r w:rsidRPr="009667DE">
              <w:rPr>
                <w:rFonts w:ascii="Calibri" w:hAnsi="Calibri" w:cs="Calibri"/>
              </w:rPr>
              <w:t>objectives</w:t>
            </w:r>
            <w:proofErr w:type="spellEnd"/>
            <w:r w:rsidRPr="009667DE">
              <w:rPr>
                <w:rFonts w:ascii="Calibri" w:hAnsi="Calibri" w:cs="Calibri"/>
              </w:rPr>
              <w:t>)” zapisu:</w:t>
            </w:r>
          </w:p>
          <w:p w14:paraId="2EC0C98A" w14:textId="77777777" w:rsidR="0066038E" w:rsidRPr="009667DE" w:rsidRDefault="0066038E" w:rsidP="003C5D5D">
            <w:pPr>
              <w:autoSpaceDE w:val="0"/>
              <w:autoSpaceDN w:val="0"/>
              <w:adjustRightInd w:val="0"/>
              <w:rPr>
                <w:rFonts w:ascii="Calibri" w:hAnsi="Calibri" w:cs="Calibri"/>
              </w:rPr>
            </w:pPr>
          </w:p>
          <w:p w14:paraId="35008F72"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Aby zwiększyć udział rowerów w transporcie należy poprawić długość i spójność dróg rowerowych w taki sposób, aby podróż rowerem była uznawana za bezpieczną, wygodną i efektywną.</w:t>
            </w:r>
          </w:p>
          <w:p w14:paraId="718BD9DC" w14:textId="77777777" w:rsidR="0066038E" w:rsidRPr="009667DE" w:rsidRDefault="0066038E" w:rsidP="003C5D5D">
            <w:pPr>
              <w:autoSpaceDE w:val="0"/>
              <w:autoSpaceDN w:val="0"/>
              <w:adjustRightInd w:val="0"/>
              <w:rPr>
                <w:rFonts w:ascii="Calibri" w:hAnsi="Calibri" w:cs="Calibri"/>
              </w:rPr>
            </w:pPr>
          </w:p>
        </w:tc>
      </w:tr>
      <w:tr w:rsidR="0066038E" w:rsidRPr="009667DE" w14:paraId="06F3140F" w14:textId="77777777" w:rsidTr="003C5D5D">
        <w:tc>
          <w:tcPr>
            <w:tcW w:w="686" w:type="dxa"/>
          </w:tcPr>
          <w:p w14:paraId="1763DB4F" w14:textId="77777777" w:rsidR="0066038E" w:rsidRPr="009667DE" w:rsidRDefault="0066038E" w:rsidP="003C5D5D">
            <w:pPr>
              <w:pStyle w:val="Akapitzlist"/>
              <w:numPr>
                <w:ilvl w:val="0"/>
                <w:numId w:val="18"/>
              </w:numPr>
            </w:pPr>
          </w:p>
        </w:tc>
        <w:tc>
          <w:tcPr>
            <w:tcW w:w="2003" w:type="dxa"/>
          </w:tcPr>
          <w:p w14:paraId="6CE117E6" w14:textId="77777777" w:rsidR="0066038E" w:rsidRPr="009667DE" w:rsidRDefault="0066038E" w:rsidP="003C5D5D">
            <w:r w:rsidRPr="009667DE">
              <w:t>Uzasadnienie uwagi</w:t>
            </w:r>
          </w:p>
        </w:tc>
        <w:tc>
          <w:tcPr>
            <w:tcW w:w="11198" w:type="dxa"/>
          </w:tcPr>
          <w:p w14:paraId="125EC739"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590D8223" w14:textId="77777777" w:rsidR="0066038E" w:rsidRPr="009667DE" w:rsidRDefault="0066038E" w:rsidP="003C5D5D">
            <w:pPr>
              <w:pStyle w:val="Default"/>
              <w:rPr>
                <w:color w:val="auto"/>
                <w:sz w:val="22"/>
                <w:szCs w:val="22"/>
              </w:rPr>
            </w:pPr>
          </w:p>
          <w:p w14:paraId="76466DE6" w14:textId="77777777" w:rsidR="0066038E" w:rsidRPr="009667DE" w:rsidRDefault="0066038E" w:rsidP="003C5D5D">
            <w:r w:rsidRPr="009667DE">
              <w:t>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ponieważ postulowana zmiana w pełni się w te założenia wpisuje.</w:t>
            </w:r>
          </w:p>
        </w:tc>
      </w:tr>
    </w:tbl>
    <w:p w14:paraId="36552E89" w14:textId="77777777" w:rsidR="0066038E" w:rsidRPr="009667DE" w:rsidRDefault="0066038E" w:rsidP="0066038E"/>
    <w:p w14:paraId="7CE70240" w14:textId="77777777" w:rsidR="0066038E" w:rsidRPr="009667DE" w:rsidRDefault="0066038E" w:rsidP="0066038E">
      <w:r w:rsidRPr="009667DE">
        <w:br w:type="page"/>
      </w:r>
    </w:p>
    <w:tbl>
      <w:tblPr>
        <w:tblStyle w:val="Tabela-Siatka"/>
        <w:tblW w:w="0" w:type="auto"/>
        <w:tblLook w:val="04A0" w:firstRow="1" w:lastRow="0" w:firstColumn="1" w:lastColumn="0" w:noHBand="0" w:noVBand="1"/>
      </w:tblPr>
      <w:tblGrid>
        <w:gridCol w:w="686"/>
        <w:gridCol w:w="2003"/>
        <w:gridCol w:w="11198"/>
      </w:tblGrid>
      <w:tr w:rsidR="0066038E" w:rsidRPr="009667DE" w14:paraId="0234FECA" w14:textId="77777777" w:rsidTr="003C5D5D">
        <w:tc>
          <w:tcPr>
            <w:tcW w:w="686" w:type="dxa"/>
          </w:tcPr>
          <w:p w14:paraId="454E5234" w14:textId="77777777" w:rsidR="0066038E" w:rsidRPr="009667DE" w:rsidRDefault="0066038E" w:rsidP="003C5D5D">
            <w:proofErr w:type="spellStart"/>
            <w:r w:rsidRPr="009667DE">
              <w:lastRenderedPageBreak/>
              <w:t>Lp</w:t>
            </w:r>
            <w:proofErr w:type="spellEnd"/>
          </w:p>
        </w:tc>
        <w:tc>
          <w:tcPr>
            <w:tcW w:w="2003" w:type="dxa"/>
          </w:tcPr>
          <w:p w14:paraId="68B45F98" w14:textId="77777777" w:rsidR="0066038E" w:rsidRPr="009667DE" w:rsidRDefault="0066038E" w:rsidP="003C5D5D">
            <w:r w:rsidRPr="009667DE">
              <w:t>Pole formularza</w:t>
            </w:r>
          </w:p>
        </w:tc>
        <w:tc>
          <w:tcPr>
            <w:tcW w:w="11198" w:type="dxa"/>
          </w:tcPr>
          <w:p w14:paraId="6AC427BA" w14:textId="77777777" w:rsidR="0066038E" w:rsidRPr="009667DE" w:rsidRDefault="0066038E" w:rsidP="003C5D5D">
            <w:r w:rsidRPr="009667DE">
              <w:t>Treść</w:t>
            </w:r>
          </w:p>
        </w:tc>
      </w:tr>
      <w:tr w:rsidR="0066038E" w:rsidRPr="009667DE" w14:paraId="72EFF1CE" w14:textId="77777777" w:rsidTr="003C5D5D">
        <w:tc>
          <w:tcPr>
            <w:tcW w:w="686" w:type="dxa"/>
          </w:tcPr>
          <w:p w14:paraId="461F345E" w14:textId="77777777" w:rsidR="0066038E" w:rsidRPr="009667DE" w:rsidRDefault="0066038E" w:rsidP="003C5D5D">
            <w:pPr>
              <w:pStyle w:val="Akapitzlist"/>
              <w:numPr>
                <w:ilvl w:val="0"/>
                <w:numId w:val="19"/>
              </w:numPr>
            </w:pPr>
          </w:p>
        </w:tc>
        <w:tc>
          <w:tcPr>
            <w:tcW w:w="2003" w:type="dxa"/>
          </w:tcPr>
          <w:p w14:paraId="3628E1B4" w14:textId="77777777" w:rsidR="0066038E" w:rsidRPr="009667DE" w:rsidRDefault="0066038E" w:rsidP="003C5D5D">
            <w:r w:rsidRPr="009667DE">
              <w:t>Imię</w:t>
            </w:r>
          </w:p>
        </w:tc>
        <w:tc>
          <w:tcPr>
            <w:tcW w:w="11198" w:type="dxa"/>
          </w:tcPr>
          <w:p w14:paraId="596781EB" w14:textId="77777777" w:rsidR="0066038E" w:rsidRPr="009667DE" w:rsidRDefault="0066038E" w:rsidP="003C5D5D"/>
        </w:tc>
      </w:tr>
      <w:tr w:rsidR="0066038E" w:rsidRPr="009667DE" w14:paraId="0B859827" w14:textId="77777777" w:rsidTr="003C5D5D">
        <w:tc>
          <w:tcPr>
            <w:tcW w:w="686" w:type="dxa"/>
          </w:tcPr>
          <w:p w14:paraId="7A1C5914" w14:textId="77777777" w:rsidR="0066038E" w:rsidRPr="009667DE" w:rsidRDefault="0066038E" w:rsidP="003C5D5D">
            <w:pPr>
              <w:pStyle w:val="Akapitzlist"/>
              <w:numPr>
                <w:ilvl w:val="0"/>
                <w:numId w:val="19"/>
              </w:numPr>
            </w:pPr>
          </w:p>
        </w:tc>
        <w:tc>
          <w:tcPr>
            <w:tcW w:w="2003" w:type="dxa"/>
          </w:tcPr>
          <w:p w14:paraId="2C924E2D" w14:textId="77777777" w:rsidR="0066038E" w:rsidRPr="009667DE" w:rsidRDefault="0066038E" w:rsidP="003C5D5D">
            <w:r w:rsidRPr="009667DE">
              <w:t>Nazwisko</w:t>
            </w:r>
          </w:p>
        </w:tc>
        <w:tc>
          <w:tcPr>
            <w:tcW w:w="11198" w:type="dxa"/>
          </w:tcPr>
          <w:p w14:paraId="03CDDC35" w14:textId="77777777" w:rsidR="0066038E" w:rsidRPr="009667DE" w:rsidRDefault="0066038E" w:rsidP="003C5D5D"/>
        </w:tc>
      </w:tr>
      <w:tr w:rsidR="0066038E" w:rsidRPr="009667DE" w14:paraId="52ADFDE5" w14:textId="77777777" w:rsidTr="003C5D5D">
        <w:tc>
          <w:tcPr>
            <w:tcW w:w="686" w:type="dxa"/>
          </w:tcPr>
          <w:p w14:paraId="1F2ABACE" w14:textId="77777777" w:rsidR="0066038E" w:rsidRPr="009667DE" w:rsidRDefault="0066038E" w:rsidP="003C5D5D">
            <w:pPr>
              <w:pStyle w:val="Akapitzlist"/>
              <w:numPr>
                <w:ilvl w:val="0"/>
                <w:numId w:val="19"/>
              </w:numPr>
            </w:pPr>
          </w:p>
        </w:tc>
        <w:tc>
          <w:tcPr>
            <w:tcW w:w="2003" w:type="dxa"/>
          </w:tcPr>
          <w:p w14:paraId="454D31E0" w14:textId="77777777" w:rsidR="0066038E" w:rsidRPr="009667DE" w:rsidRDefault="0066038E" w:rsidP="003C5D5D">
            <w:r w:rsidRPr="009667DE">
              <w:t>Instytucja</w:t>
            </w:r>
          </w:p>
        </w:tc>
        <w:tc>
          <w:tcPr>
            <w:tcW w:w="11198" w:type="dxa"/>
          </w:tcPr>
          <w:p w14:paraId="3D7F2B54" w14:textId="77777777" w:rsidR="0066038E" w:rsidRPr="009667DE" w:rsidRDefault="0066038E" w:rsidP="003C5D5D"/>
        </w:tc>
      </w:tr>
      <w:tr w:rsidR="0066038E" w:rsidRPr="009667DE" w14:paraId="41187004" w14:textId="77777777" w:rsidTr="003C5D5D">
        <w:tc>
          <w:tcPr>
            <w:tcW w:w="686" w:type="dxa"/>
          </w:tcPr>
          <w:p w14:paraId="77F225DC" w14:textId="77777777" w:rsidR="0066038E" w:rsidRPr="009667DE" w:rsidRDefault="0066038E" w:rsidP="003C5D5D">
            <w:pPr>
              <w:pStyle w:val="Akapitzlist"/>
              <w:numPr>
                <w:ilvl w:val="0"/>
                <w:numId w:val="19"/>
              </w:numPr>
            </w:pPr>
          </w:p>
        </w:tc>
        <w:tc>
          <w:tcPr>
            <w:tcW w:w="2003" w:type="dxa"/>
          </w:tcPr>
          <w:p w14:paraId="1FA369CD" w14:textId="77777777" w:rsidR="0066038E" w:rsidRPr="009667DE" w:rsidRDefault="0066038E" w:rsidP="003C5D5D">
            <w:r w:rsidRPr="009667DE">
              <w:t>Województwo</w:t>
            </w:r>
          </w:p>
        </w:tc>
        <w:tc>
          <w:tcPr>
            <w:tcW w:w="11198" w:type="dxa"/>
          </w:tcPr>
          <w:p w14:paraId="5B1EA122" w14:textId="77777777" w:rsidR="0066038E" w:rsidRPr="009667DE" w:rsidRDefault="0066038E" w:rsidP="003C5D5D"/>
        </w:tc>
      </w:tr>
      <w:tr w:rsidR="0066038E" w:rsidRPr="009667DE" w14:paraId="3355C157" w14:textId="77777777" w:rsidTr="003C5D5D">
        <w:tc>
          <w:tcPr>
            <w:tcW w:w="686" w:type="dxa"/>
          </w:tcPr>
          <w:p w14:paraId="618E1B0C" w14:textId="77777777" w:rsidR="0066038E" w:rsidRPr="009667DE" w:rsidRDefault="0066038E" w:rsidP="003C5D5D">
            <w:pPr>
              <w:pStyle w:val="Akapitzlist"/>
              <w:numPr>
                <w:ilvl w:val="0"/>
                <w:numId w:val="19"/>
              </w:numPr>
            </w:pPr>
          </w:p>
        </w:tc>
        <w:tc>
          <w:tcPr>
            <w:tcW w:w="2003" w:type="dxa"/>
          </w:tcPr>
          <w:p w14:paraId="23B09425" w14:textId="77777777" w:rsidR="0066038E" w:rsidRPr="009667DE" w:rsidRDefault="0066038E" w:rsidP="003C5D5D">
            <w:r w:rsidRPr="009667DE">
              <w:t>Część KPO</w:t>
            </w:r>
          </w:p>
        </w:tc>
        <w:tc>
          <w:tcPr>
            <w:tcW w:w="11198" w:type="dxa"/>
          </w:tcPr>
          <w:p w14:paraId="483021CA" w14:textId="77777777" w:rsidR="0066038E" w:rsidRPr="009667DE" w:rsidRDefault="0066038E" w:rsidP="003C5D5D">
            <w:r w:rsidRPr="009667DE">
              <w:t>Komponent E „Zielona, inteligentna mobilność”</w:t>
            </w:r>
          </w:p>
          <w:p w14:paraId="798D0DC2" w14:textId="77777777" w:rsidR="0066038E" w:rsidRPr="009667DE" w:rsidRDefault="0066038E" w:rsidP="003C5D5D">
            <w:pPr>
              <w:pStyle w:val="Default"/>
              <w:rPr>
                <w:color w:val="auto"/>
              </w:rPr>
            </w:pPr>
            <w:r w:rsidRPr="009667DE">
              <w:rPr>
                <w:color w:val="auto"/>
                <w:sz w:val="22"/>
                <w:szCs w:val="22"/>
              </w:rPr>
              <w:t>3. Opis Reform i Inwestycji, opis reform a. Reformy, Reforma E1.1. Wzrost wykorzystania transportu przyjaznego dla środowiska</w:t>
            </w:r>
          </w:p>
        </w:tc>
      </w:tr>
      <w:tr w:rsidR="0066038E" w:rsidRPr="009667DE" w14:paraId="1BAAD109" w14:textId="77777777" w:rsidTr="003C5D5D">
        <w:tc>
          <w:tcPr>
            <w:tcW w:w="686" w:type="dxa"/>
          </w:tcPr>
          <w:p w14:paraId="7BE6F5CD" w14:textId="77777777" w:rsidR="0066038E" w:rsidRPr="009667DE" w:rsidRDefault="0066038E" w:rsidP="003C5D5D">
            <w:pPr>
              <w:pStyle w:val="Akapitzlist"/>
              <w:numPr>
                <w:ilvl w:val="0"/>
                <w:numId w:val="19"/>
              </w:numPr>
            </w:pPr>
          </w:p>
        </w:tc>
        <w:tc>
          <w:tcPr>
            <w:tcW w:w="2003" w:type="dxa"/>
          </w:tcPr>
          <w:p w14:paraId="6670B973" w14:textId="77777777" w:rsidR="0066038E" w:rsidRPr="009667DE" w:rsidRDefault="0066038E" w:rsidP="003C5D5D">
            <w:r w:rsidRPr="009667DE">
              <w:t>Strona</w:t>
            </w:r>
          </w:p>
        </w:tc>
        <w:tc>
          <w:tcPr>
            <w:tcW w:w="11198" w:type="dxa"/>
          </w:tcPr>
          <w:p w14:paraId="0D8753E9" w14:textId="77777777" w:rsidR="0066038E" w:rsidRPr="009667DE" w:rsidRDefault="0066038E" w:rsidP="003C5D5D">
            <w:r w:rsidRPr="009667DE">
              <w:t>203</w:t>
            </w:r>
          </w:p>
        </w:tc>
      </w:tr>
      <w:tr w:rsidR="0066038E" w:rsidRPr="009667DE" w14:paraId="7214DE55" w14:textId="77777777" w:rsidTr="003C5D5D">
        <w:tc>
          <w:tcPr>
            <w:tcW w:w="686" w:type="dxa"/>
          </w:tcPr>
          <w:p w14:paraId="03221360" w14:textId="77777777" w:rsidR="0066038E" w:rsidRPr="009667DE" w:rsidRDefault="0066038E" w:rsidP="003C5D5D">
            <w:pPr>
              <w:pStyle w:val="Akapitzlist"/>
              <w:numPr>
                <w:ilvl w:val="0"/>
                <w:numId w:val="19"/>
              </w:numPr>
            </w:pPr>
          </w:p>
        </w:tc>
        <w:tc>
          <w:tcPr>
            <w:tcW w:w="2003" w:type="dxa"/>
          </w:tcPr>
          <w:p w14:paraId="4D4DF9D4" w14:textId="77777777" w:rsidR="0066038E" w:rsidRPr="009667DE" w:rsidRDefault="0066038E" w:rsidP="003C5D5D">
            <w:r w:rsidRPr="009667DE">
              <w:t>Treść Uwagi</w:t>
            </w:r>
          </w:p>
        </w:tc>
        <w:tc>
          <w:tcPr>
            <w:tcW w:w="11198" w:type="dxa"/>
          </w:tcPr>
          <w:p w14:paraId="43761D73"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w sekcji „</w:t>
            </w:r>
            <w:r w:rsidRPr="009667DE">
              <w:t xml:space="preserve">Charakterystyka </w:t>
            </w:r>
            <w:r w:rsidRPr="009667DE">
              <w:rPr>
                <w:i/>
                <w:iCs/>
              </w:rPr>
              <w:t xml:space="preserve">(Nature, </w:t>
            </w:r>
            <w:proofErr w:type="spellStart"/>
            <w:r w:rsidRPr="009667DE">
              <w:rPr>
                <w:i/>
                <w:iCs/>
              </w:rPr>
              <w:t>type</w:t>
            </w:r>
            <w:proofErr w:type="spellEnd"/>
            <w:r w:rsidRPr="009667DE">
              <w:rPr>
                <w:i/>
                <w:iCs/>
              </w:rPr>
              <w:t xml:space="preserve">, </w:t>
            </w:r>
            <w:proofErr w:type="spellStart"/>
            <w:r w:rsidRPr="009667DE">
              <w:rPr>
                <w:i/>
                <w:iCs/>
              </w:rPr>
              <w:t>size</w:t>
            </w:r>
            <w:proofErr w:type="spellEnd"/>
            <w:r w:rsidRPr="009667DE">
              <w:rPr>
                <w:i/>
                <w:iCs/>
              </w:rPr>
              <w:t xml:space="preserve"> of reform)</w:t>
            </w:r>
            <w:r w:rsidRPr="009667DE">
              <w:t>:</w:t>
            </w:r>
            <w:r w:rsidRPr="009667DE">
              <w:rPr>
                <w:rFonts w:ascii="Calibri" w:hAnsi="Calibri" w:cs="Calibri"/>
              </w:rPr>
              <w:t>” zapisu:</w:t>
            </w:r>
          </w:p>
          <w:p w14:paraId="255490AF" w14:textId="77777777" w:rsidR="0066038E" w:rsidRPr="009667DE" w:rsidRDefault="0066038E" w:rsidP="003C5D5D">
            <w:pPr>
              <w:autoSpaceDE w:val="0"/>
              <w:autoSpaceDN w:val="0"/>
              <w:adjustRightInd w:val="0"/>
              <w:rPr>
                <w:rFonts w:ascii="Calibri" w:hAnsi="Calibri" w:cs="Calibri"/>
                <w:sz w:val="24"/>
                <w:szCs w:val="24"/>
              </w:rPr>
            </w:pPr>
          </w:p>
          <w:p w14:paraId="383F3D20"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Wprowadzenie obowiązkowych stref czystego transportu w miastach o liczbie mieszkańców powyżej 100 tys., gdzie występuje przekroczenie szkodliwych substancji, oraz rozszerzenie możliwości ich wprowadzenia na wszystkie obszary miejskie niezależnie od liczby mieszkańców. Skutkować to będzie ograniczeniem poruszania się w ww. strefach pojazdów wysokoemisyjnych. Do stref wjazd będą miały jedynie pojazdy osobowe elektryczne, wodorowe oraz napędzane gazem ziemnym oraz rowery.</w:t>
            </w:r>
          </w:p>
          <w:p w14:paraId="6D18CD43" w14:textId="77777777" w:rsidR="0066038E" w:rsidRPr="009667DE" w:rsidRDefault="0066038E" w:rsidP="003C5D5D">
            <w:pPr>
              <w:autoSpaceDE w:val="0"/>
              <w:autoSpaceDN w:val="0"/>
              <w:adjustRightInd w:val="0"/>
              <w:rPr>
                <w:rFonts w:ascii="Calibri" w:hAnsi="Calibri" w:cs="Calibri"/>
              </w:rPr>
            </w:pPr>
          </w:p>
          <w:p w14:paraId="6B877EF8"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Dodanie w sekcji „</w:t>
            </w:r>
            <w:r w:rsidRPr="009667DE">
              <w:t xml:space="preserve">Charakterystyka </w:t>
            </w:r>
            <w:r w:rsidRPr="009667DE">
              <w:rPr>
                <w:i/>
                <w:iCs/>
              </w:rPr>
              <w:t xml:space="preserve">(Nature, </w:t>
            </w:r>
            <w:proofErr w:type="spellStart"/>
            <w:r w:rsidRPr="009667DE">
              <w:rPr>
                <w:i/>
                <w:iCs/>
              </w:rPr>
              <w:t>type</w:t>
            </w:r>
            <w:proofErr w:type="spellEnd"/>
            <w:r w:rsidRPr="009667DE">
              <w:rPr>
                <w:i/>
                <w:iCs/>
              </w:rPr>
              <w:t xml:space="preserve">, </w:t>
            </w:r>
            <w:proofErr w:type="spellStart"/>
            <w:r w:rsidRPr="009667DE">
              <w:rPr>
                <w:i/>
                <w:iCs/>
              </w:rPr>
              <w:t>size</w:t>
            </w:r>
            <w:proofErr w:type="spellEnd"/>
            <w:r w:rsidRPr="009667DE">
              <w:rPr>
                <w:i/>
                <w:iCs/>
              </w:rPr>
              <w:t xml:space="preserve"> of reform)</w:t>
            </w:r>
            <w:r w:rsidRPr="009667DE">
              <w:t>:</w:t>
            </w:r>
            <w:r w:rsidRPr="009667DE">
              <w:rPr>
                <w:rFonts w:ascii="Calibri" w:hAnsi="Calibri" w:cs="Calibri"/>
              </w:rPr>
              <w:t>” punktu:</w:t>
            </w:r>
          </w:p>
          <w:p w14:paraId="481EE535" w14:textId="77777777" w:rsidR="0066038E" w:rsidRPr="009667DE" w:rsidRDefault="0066038E" w:rsidP="003C5D5D">
            <w:pPr>
              <w:autoSpaceDE w:val="0"/>
              <w:autoSpaceDN w:val="0"/>
              <w:adjustRightInd w:val="0"/>
              <w:rPr>
                <w:rFonts w:ascii="Calibri" w:hAnsi="Calibri" w:cs="Calibri"/>
              </w:rPr>
            </w:pPr>
          </w:p>
          <w:p w14:paraId="644BF87F"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Nowelizacja ustawy z dnia 10 kwietnia 2003 r. o szczególnych zasadach przygotowania i realizacji inwestycji w zakresie dróg publicznych w celu objęcia jej zapisami także samodzielnych inwestycji w ciągi pieszo-rowerowe. W wielu przypadkach zachodzi potrzeba budowy samodzielnej inwestycji w postaci drogi rowerowej, ciągu pieszo-rowerowego, chodnika lub utworzenia pieszego szlaku turystycznego i inwestycje te napotykają na przeszkody związane np. z nieuregulowanym stanem własnościowym. Sprzeciw nawet jednego właściciela działki często doprowadza do wieloletniego paraliżu ważnej inwestycji rowerowej lub pieszej.</w:t>
            </w:r>
          </w:p>
          <w:p w14:paraId="5188FC99" w14:textId="77777777" w:rsidR="0066038E" w:rsidRPr="009667DE" w:rsidRDefault="0066038E" w:rsidP="003C5D5D">
            <w:pPr>
              <w:autoSpaceDE w:val="0"/>
              <w:autoSpaceDN w:val="0"/>
              <w:adjustRightInd w:val="0"/>
              <w:rPr>
                <w:rFonts w:ascii="Calibri" w:hAnsi="Calibri" w:cs="Calibri"/>
              </w:rPr>
            </w:pPr>
          </w:p>
          <w:p w14:paraId="0F4F58F8" w14:textId="77777777" w:rsidR="0066038E" w:rsidRPr="009667DE" w:rsidRDefault="0066038E" w:rsidP="003C5D5D">
            <w:pPr>
              <w:autoSpaceDE w:val="0"/>
              <w:autoSpaceDN w:val="0"/>
              <w:adjustRightInd w:val="0"/>
              <w:rPr>
                <w:rFonts w:ascii="Calibri" w:hAnsi="Calibri" w:cs="Calibri"/>
              </w:rPr>
            </w:pPr>
          </w:p>
        </w:tc>
      </w:tr>
      <w:tr w:rsidR="0066038E" w:rsidRPr="009667DE" w14:paraId="4C636D83" w14:textId="77777777" w:rsidTr="003C5D5D">
        <w:tc>
          <w:tcPr>
            <w:tcW w:w="686" w:type="dxa"/>
          </w:tcPr>
          <w:p w14:paraId="25A26495" w14:textId="77777777" w:rsidR="0066038E" w:rsidRPr="009667DE" w:rsidRDefault="0066038E" w:rsidP="003C5D5D">
            <w:pPr>
              <w:pStyle w:val="Akapitzlist"/>
              <w:numPr>
                <w:ilvl w:val="0"/>
                <w:numId w:val="19"/>
              </w:numPr>
            </w:pPr>
          </w:p>
        </w:tc>
        <w:tc>
          <w:tcPr>
            <w:tcW w:w="2003" w:type="dxa"/>
          </w:tcPr>
          <w:p w14:paraId="61F96BCA" w14:textId="77777777" w:rsidR="0066038E" w:rsidRPr="009667DE" w:rsidRDefault="0066038E" w:rsidP="003C5D5D">
            <w:r w:rsidRPr="009667DE">
              <w:t>Uzasadnienie uwagi</w:t>
            </w:r>
          </w:p>
        </w:tc>
        <w:tc>
          <w:tcPr>
            <w:tcW w:w="11198" w:type="dxa"/>
          </w:tcPr>
          <w:p w14:paraId="38A8FF0C" w14:textId="77777777" w:rsidR="0066038E" w:rsidRPr="009667DE" w:rsidRDefault="0066038E" w:rsidP="003C5D5D">
            <w:pPr>
              <w:pStyle w:val="NormalnyWeb"/>
              <w:shd w:val="clear" w:color="auto" w:fill="FFFFFF"/>
              <w:spacing w:before="240" w:beforeAutospacing="0" w:after="240" w:afterAutospacing="0"/>
              <w:rPr>
                <w:rFonts w:ascii="Calibri" w:eastAsiaTheme="minorHAnsi" w:hAnsi="Calibri" w:cs="Calibri"/>
                <w:sz w:val="22"/>
                <w:szCs w:val="22"/>
                <w:lang w:eastAsia="en-US"/>
              </w:rPr>
            </w:pPr>
            <w:r w:rsidRPr="009667DE">
              <w:rPr>
                <w:rFonts w:ascii="Calibri" w:eastAsiaTheme="minorHAnsi" w:hAnsi="Calibri" w:cs="Calibri"/>
                <w:sz w:val="22"/>
                <w:szCs w:val="22"/>
                <w:lang w:eastAsia="en-US"/>
              </w:rPr>
              <w:t xml:space="preserve">W wielu przypadkach zachodzi potrzeba budowy samodzielnej inwestycji w postaci drogi rowerowej, ciągu pieszo-rowerowego, chodnika lub utworzenia pieszego szlaku turystycznego i inwestycje te napotykają na przeszkody związane np. z nieuregulowanym stanem własnościowym. Sprzeciw nawet jednego właściciela działki często doprowadza do wieloletniego paraliżu ważnej inwestycji rowerowej lub pieszej. Jest to szczególnie istotne w sytuacji, gdy wiele polskich województw na czele z Małopolską realizuje ambitne plany budowy sieci dróg rowerowych i ciągów pieszo-rowerowych. </w:t>
            </w:r>
            <w:r w:rsidRPr="009667DE">
              <w:rPr>
                <w:rFonts w:ascii="Calibri" w:eastAsiaTheme="minorHAnsi" w:hAnsi="Calibri" w:cs="Calibri"/>
                <w:sz w:val="22"/>
                <w:szCs w:val="22"/>
                <w:lang w:eastAsia="en-US"/>
              </w:rPr>
              <w:lastRenderedPageBreak/>
              <w:t xml:space="preserve">Na szczególną uwagę zasługuje program </w:t>
            </w:r>
            <w:proofErr w:type="spellStart"/>
            <w:r w:rsidRPr="009667DE">
              <w:rPr>
                <w:rFonts w:ascii="Calibri" w:eastAsiaTheme="minorHAnsi" w:hAnsi="Calibri" w:cs="Calibri"/>
                <w:sz w:val="22"/>
                <w:szCs w:val="22"/>
                <w:lang w:eastAsia="en-US"/>
              </w:rPr>
              <w:t>Velo</w:t>
            </w:r>
            <w:proofErr w:type="spellEnd"/>
            <w:r w:rsidRPr="009667DE">
              <w:rPr>
                <w:rFonts w:ascii="Calibri" w:eastAsiaTheme="minorHAnsi" w:hAnsi="Calibri" w:cs="Calibri"/>
                <w:sz w:val="22"/>
                <w:szCs w:val="22"/>
                <w:lang w:eastAsia="en-US"/>
              </w:rPr>
              <w:t xml:space="preserve"> Małopolska, w ramach którego powstaje 1000 kilometrów asfaltowych dróg rowerowych, z których korzystać mogą również inni użytkownicy (piesi, rolkarze, zimą – narciarze biegowi).</w:t>
            </w:r>
          </w:p>
          <w:p w14:paraId="464D40F5" w14:textId="77777777" w:rsidR="0066038E" w:rsidRPr="009667DE" w:rsidRDefault="0066038E" w:rsidP="003C5D5D">
            <w:pPr>
              <w:pStyle w:val="NormalnyWeb"/>
              <w:shd w:val="clear" w:color="auto" w:fill="FFFFFF"/>
              <w:spacing w:before="240" w:beforeAutospacing="0" w:after="240" w:afterAutospacing="0"/>
              <w:rPr>
                <w:rFonts w:ascii="Calibri" w:eastAsiaTheme="minorHAnsi" w:hAnsi="Calibri" w:cs="Calibri"/>
                <w:sz w:val="22"/>
                <w:szCs w:val="22"/>
                <w:lang w:eastAsia="en-US"/>
              </w:rPr>
            </w:pPr>
            <w:r w:rsidRPr="009667DE">
              <w:rPr>
                <w:rFonts w:ascii="Calibri" w:eastAsiaTheme="minorHAnsi" w:hAnsi="Calibri" w:cs="Calibri"/>
                <w:sz w:val="22"/>
                <w:szCs w:val="22"/>
                <w:lang w:eastAsia="en-US"/>
              </w:rPr>
              <w:t>Z wielu względów kluczową kwestią jest zapewnienie spójności powstającej sieci tras pieszo-rowerowych. O ile posiadacze rowerów górskich są w stanie przejechać również po nawierzchni szutrowej czy dzikiej ścieżce śródpolnej, to już np. dla rolkarzy czy użytkowników rowerów szosowych każda nawet najmniejsza przerwa w spójności tras oznacza brak możliwości kontynuacji podróży. W wielu przypadkach takie przerwy niweczą wysiłek włożony w powstanie całego systemu, gdyż może być on w pełni funkcjonalny dopiero wtedy, gdy będzie on spójny dokładnie na tej samej zasadzie, na jakiej funkcjonuje infrastruktura drogowa.</w:t>
            </w:r>
          </w:p>
          <w:p w14:paraId="1CC1C96D" w14:textId="77777777" w:rsidR="0066038E" w:rsidRPr="009667DE" w:rsidRDefault="0066038E" w:rsidP="003C5D5D">
            <w:pPr>
              <w:pStyle w:val="NormalnyWeb"/>
              <w:shd w:val="clear" w:color="auto" w:fill="FFFFFF"/>
              <w:spacing w:before="240" w:beforeAutospacing="0" w:after="240" w:afterAutospacing="0"/>
              <w:rPr>
                <w:rFonts w:ascii="Calibri" w:eastAsiaTheme="minorHAnsi" w:hAnsi="Calibri" w:cs="Calibri"/>
                <w:sz w:val="22"/>
                <w:szCs w:val="22"/>
                <w:lang w:eastAsia="en-US"/>
              </w:rPr>
            </w:pPr>
            <w:r w:rsidRPr="009667DE">
              <w:rPr>
                <w:rFonts w:ascii="Calibri" w:eastAsiaTheme="minorHAnsi" w:hAnsi="Calibri" w:cs="Calibri"/>
                <w:sz w:val="22"/>
                <w:szCs w:val="22"/>
                <w:lang w:eastAsia="en-US"/>
              </w:rPr>
              <w:t>Na podobny problem zwracają uwagę samorządy, chcące rozwiązać problem braku chodników na obrzeżach miast i na terenach wiejskich. Często ich budowa wzdłuż ruchliwej drogi jest niemożliwa lub utrudniona ze względu na konieczność wykupu niewielkiego paska gruntu wzdłuż drogi. Według pojawiającej się często interpretacji nie da się skorzystać ze specustawy drogowej w przypadku, gdy celem jest jedynie budowa chodnika odseparowanego pasem zieleni od jezdni, bez przebudowy samej jezdni i wykonania odwodnienia. Tymczasem uzależnianie budowy chodnika od wielokrotnie droższej przebudowy jezdni przeczy celowi, jakiego oczekują mieszkańcy narażeni na chodzenie do pracy, szkoły lub sklepu poboczem ruchliwej drogi. O ile koszt samego chodnika w wielu przypadkach jest do udźwignięcia przez lokalne samorządy, to realizacja takiej inwestycji w pakiecie z przebudową drogi często oznacza, że mieszkańcy latami nie mogą doczekać się zapewnienia im podstawowych potrzeb w zakresie bezpiecznego przemieszczania się pieszo po swojej wsi lub osiedlu.</w:t>
            </w:r>
          </w:p>
          <w:p w14:paraId="51592CF1" w14:textId="77777777" w:rsidR="0066038E" w:rsidRPr="009667DE" w:rsidRDefault="0066038E" w:rsidP="003C5D5D">
            <w:pPr>
              <w:rPr>
                <w:rFonts w:ascii="Calibri" w:hAnsi="Calibri" w:cs="Calibri"/>
              </w:rPr>
            </w:pPr>
            <w:r w:rsidRPr="009667DE">
              <w:rPr>
                <w:rFonts w:ascii="Calibri" w:hAnsi="Calibri" w:cs="Calibri"/>
              </w:rPr>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651E0B4A" w14:textId="77777777" w:rsidR="0066038E" w:rsidRPr="009667DE" w:rsidRDefault="0066038E" w:rsidP="003C5D5D">
            <w:pPr>
              <w:pStyle w:val="Default"/>
              <w:rPr>
                <w:color w:val="auto"/>
                <w:sz w:val="22"/>
                <w:szCs w:val="22"/>
              </w:rPr>
            </w:pPr>
          </w:p>
          <w:p w14:paraId="4CA40BBF" w14:textId="77777777" w:rsidR="0066038E" w:rsidRPr="009667DE" w:rsidRDefault="0066038E" w:rsidP="003C5D5D">
            <w:pPr>
              <w:rPr>
                <w:rFonts w:ascii="Calibri" w:hAnsi="Calibri" w:cs="Calibri"/>
              </w:rPr>
            </w:pPr>
            <w:r w:rsidRPr="009667DE">
              <w:rPr>
                <w:rFonts w:ascii="Calibri" w:hAnsi="Calibri" w:cs="Calibri"/>
              </w:rPr>
              <w:t>Doprecyzowanie zapisu powyższego celu szczegółowego nie będzie wymagać korekty celu reformy komponentu E, stanowi jedynie jego dopełnienie i pozwala na holistyczne ujęcie zagadnienia obniżania emisji szkodliwych substancji w transporcie. Nie wymaga zmiany pozostałych zapisów, ponieważ postulowana zmiana w pełni się w te założenia wpisuje.</w:t>
            </w:r>
          </w:p>
        </w:tc>
      </w:tr>
    </w:tbl>
    <w:p w14:paraId="1D6D0D3D" w14:textId="77777777" w:rsidR="0066038E" w:rsidRPr="009667DE" w:rsidRDefault="0066038E" w:rsidP="0066038E"/>
    <w:p w14:paraId="7BA19E0B" w14:textId="77777777" w:rsidR="0066038E" w:rsidRPr="009667DE" w:rsidRDefault="0066038E" w:rsidP="0066038E">
      <w:r w:rsidRPr="009667DE">
        <w:br w:type="page"/>
      </w:r>
    </w:p>
    <w:p w14:paraId="023917BE" w14:textId="77777777" w:rsidR="0066038E" w:rsidRPr="009667DE" w:rsidRDefault="0066038E" w:rsidP="0066038E"/>
    <w:tbl>
      <w:tblPr>
        <w:tblStyle w:val="Tabela-Siatka"/>
        <w:tblW w:w="0" w:type="auto"/>
        <w:tblLook w:val="04A0" w:firstRow="1" w:lastRow="0" w:firstColumn="1" w:lastColumn="0" w:noHBand="0" w:noVBand="1"/>
      </w:tblPr>
      <w:tblGrid>
        <w:gridCol w:w="686"/>
        <w:gridCol w:w="2003"/>
        <w:gridCol w:w="11198"/>
      </w:tblGrid>
      <w:tr w:rsidR="0066038E" w:rsidRPr="009667DE" w14:paraId="503020A9" w14:textId="77777777" w:rsidTr="003C5D5D">
        <w:tc>
          <w:tcPr>
            <w:tcW w:w="686" w:type="dxa"/>
          </w:tcPr>
          <w:p w14:paraId="63507E5B" w14:textId="77777777" w:rsidR="0066038E" w:rsidRPr="009667DE" w:rsidRDefault="0066038E" w:rsidP="003C5D5D">
            <w:proofErr w:type="spellStart"/>
            <w:r w:rsidRPr="009667DE">
              <w:t>Lp</w:t>
            </w:r>
            <w:proofErr w:type="spellEnd"/>
          </w:p>
        </w:tc>
        <w:tc>
          <w:tcPr>
            <w:tcW w:w="2003" w:type="dxa"/>
          </w:tcPr>
          <w:p w14:paraId="220C5AF4" w14:textId="77777777" w:rsidR="0066038E" w:rsidRPr="009667DE" w:rsidRDefault="0066038E" w:rsidP="003C5D5D">
            <w:r w:rsidRPr="009667DE">
              <w:t>Pole formularza</w:t>
            </w:r>
          </w:p>
        </w:tc>
        <w:tc>
          <w:tcPr>
            <w:tcW w:w="11198" w:type="dxa"/>
          </w:tcPr>
          <w:p w14:paraId="4F0A10B7" w14:textId="77777777" w:rsidR="0066038E" w:rsidRPr="009667DE" w:rsidRDefault="0066038E" w:rsidP="003C5D5D">
            <w:r w:rsidRPr="009667DE">
              <w:t>Treść</w:t>
            </w:r>
          </w:p>
        </w:tc>
      </w:tr>
      <w:tr w:rsidR="0066038E" w:rsidRPr="009667DE" w14:paraId="26859EB7" w14:textId="77777777" w:rsidTr="003C5D5D">
        <w:tc>
          <w:tcPr>
            <w:tcW w:w="686" w:type="dxa"/>
          </w:tcPr>
          <w:p w14:paraId="6161C79D" w14:textId="77777777" w:rsidR="0066038E" w:rsidRPr="009667DE" w:rsidRDefault="0066038E" w:rsidP="003C5D5D">
            <w:pPr>
              <w:pStyle w:val="Akapitzlist"/>
              <w:numPr>
                <w:ilvl w:val="0"/>
                <w:numId w:val="21"/>
              </w:numPr>
            </w:pPr>
          </w:p>
        </w:tc>
        <w:tc>
          <w:tcPr>
            <w:tcW w:w="2003" w:type="dxa"/>
          </w:tcPr>
          <w:p w14:paraId="7F33B22A" w14:textId="77777777" w:rsidR="0066038E" w:rsidRPr="009667DE" w:rsidRDefault="0066038E" w:rsidP="003C5D5D">
            <w:r w:rsidRPr="009667DE">
              <w:t>Imię</w:t>
            </w:r>
          </w:p>
        </w:tc>
        <w:tc>
          <w:tcPr>
            <w:tcW w:w="11198" w:type="dxa"/>
            <w:shd w:val="clear" w:color="auto" w:fill="D9D9D9" w:themeFill="background1" w:themeFillShade="D9"/>
          </w:tcPr>
          <w:p w14:paraId="7D46F72E" w14:textId="77777777" w:rsidR="0066038E" w:rsidRPr="009667DE" w:rsidRDefault="0066038E" w:rsidP="003C5D5D"/>
        </w:tc>
      </w:tr>
      <w:tr w:rsidR="0066038E" w:rsidRPr="009667DE" w14:paraId="52479CC7" w14:textId="77777777" w:rsidTr="003C5D5D">
        <w:tc>
          <w:tcPr>
            <w:tcW w:w="686" w:type="dxa"/>
          </w:tcPr>
          <w:p w14:paraId="6F26A7D2" w14:textId="77777777" w:rsidR="0066038E" w:rsidRPr="009667DE" w:rsidRDefault="0066038E" w:rsidP="003C5D5D">
            <w:pPr>
              <w:pStyle w:val="Akapitzlist"/>
              <w:numPr>
                <w:ilvl w:val="0"/>
                <w:numId w:val="21"/>
              </w:numPr>
            </w:pPr>
          </w:p>
        </w:tc>
        <w:tc>
          <w:tcPr>
            <w:tcW w:w="2003" w:type="dxa"/>
          </w:tcPr>
          <w:p w14:paraId="39011F39" w14:textId="77777777" w:rsidR="0066038E" w:rsidRPr="009667DE" w:rsidRDefault="0066038E" w:rsidP="003C5D5D">
            <w:r w:rsidRPr="009667DE">
              <w:t>Nazwisko</w:t>
            </w:r>
          </w:p>
        </w:tc>
        <w:tc>
          <w:tcPr>
            <w:tcW w:w="11198" w:type="dxa"/>
            <w:shd w:val="clear" w:color="auto" w:fill="D9D9D9" w:themeFill="background1" w:themeFillShade="D9"/>
          </w:tcPr>
          <w:p w14:paraId="7B1791F7" w14:textId="77777777" w:rsidR="0066038E" w:rsidRPr="009667DE" w:rsidRDefault="0066038E" w:rsidP="003C5D5D"/>
        </w:tc>
      </w:tr>
      <w:tr w:rsidR="0066038E" w:rsidRPr="009667DE" w14:paraId="32023CF7" w14:textId="77777777" w:rsidTr="003C5D5D">
        <w:tc>
          <w:tcPr>
            <w:tcW w:w="686" w:type="dxa"/>
          </w:tcPr>
          <w:p w14:paraId="20565570" w14:textId="77777777" w:rsidR="0066038E" w:rsidRPr="009667DE" w:rsidRDefault="0066038E" w:rsidP="003C5D5D">
            <w:pPr>
              <w:pStyle w:val="Akapitzlist"/>
              <w:numPr>
                <w:ilvl w:val="0"/>
                <w:numId w:val="21"/>
              </w:numPr>
            </w:pPr>
          </w:p>
        </w:tc>
        <w:tc>
          <w:tcPr>
            <w:tcW w:w="2003" w:type="dxa"/>
          </w:tcPr>
          <w:p w14:paraId="2B1866AE" w14:textId="77777777" w:rsidR="0066038E" w:rsidRPr="009667DE" w:rsidRDefault="0066038E" w:rsidP="003C5D5D">
            <w:r w:rsidRPr="009667DE">
              <w:t>Instytucja</w:t>
            </w:r>
          </w:p>
        </w:tc>
        <w:tc>
          <w:tcPr>
            <w:tcW w:w="11198" w:type="dxa"/>
            <w:shd w:val="clear" w:color="auto" w:fill="D9D9D9" w:themeFill="background1" w:themeFillShade="D9"/>
          </w:tcPr>
          <w:p w14:paraId="6227F581" w14:textId="77777777" w:rsidR="0066038E" w:rsidRPr="009667DE" w:rsidRDefault="0066038E" w:rsidP="003C5D5D"/>
        </w:tc>
      </w:tr>
      <w:tr w:rsidR="0066038E" w:rsidRPr="009667DE" w14:paraId="1B0394F7" w14:textId="77777777" w:rsidTr="003C5D5D">
        <w:tc>
          <w:tcPr>
            <w:tcW w:w="686" w:type="dxa"/>
          </w:tcPr>
          <w:p w14:paraId="1AE9A72D" w14:textId="77777777" w:rsidR="0066038E" w:rsidRPr="009667DE" w:rsidRDefault="0066038E" w:rsidP="003C5D5D">
            <w:pPr>
              <w:pStyle w:val="Akapitzlist"/>
              <w:numPr>
                <w:ilvl w:val="0"/>
                <w:numId w:val="21"/>
              </w:numPr>
            </w:pPr>
          </w:p>
        </w:tc>
        <w:tc>
          <w:tcPr>
            <w:tcW w:w="2003" w:type="dxa"/>
          </w:tcPr>
          <w:p w14:paraId="10BF1BDA" w14:textId="77777777" w:rsidR="0066038E" w:rsidRPr="009667DE" w:rsidRDefault="0066038E" w:rsidP="003C5D5D">
            <w:r w:rsidRPr="009667DE">
              <w:t>Województwo</w:t>
            </w:r>
          </w:p>
        </w:tc>
        <w:tc>
          <w:tcPr>
            <w:tcW w:w="11198" w:type="dxa"/>
            <w:shd w:val="clear" w:color="auto" w:fill="D9D9D9" w:themeFill="background1" w:themeFillShade="D9"/>
          </w:tcPr>
          <w:p w14:paraId="0E9C3E02" w14:textId="77777777" w:rsidR="0066038E" w:rsidRPr="009667DE" w:rsidRDefault="0066038E" w:rsidP="003C5D5D"/>
        </w:tc>
      </w:tr>
      <w:tr w:rsidR="0066038E" w:rsidRPr="009667DE" w14:paraId="74C3B37E" w14:textId="77777777" w:rsidTr="003C5D5D">
        <w:tc>
          <w:tcPr>
            <w:tcW w:w="686" w:type="dxa"/>
          </w:tcPr>
          <w:p w14:paraId="73769115" w14:textId="77777777" w:rsidR="0066038E" w:rsidRPr="009667DE" w:rsidRDefault="0066038E" w:rsidP="003C5D5D">
            <w:pPr>
              <w:pStyle w:val="Akapitzlist"/>
              <w:numPr>
                <w:ilvl w:val="0"/>
                <w:numId w:val="21"/>
              </w:numPr>
            </w:pPr>
          </w:p>
        </w:tc>
        <w:tc>
          <w:tcPr>
            <w:tcW w:w="2003" w:type="dxa"/>
          </w:tcPr>
          <w:p w14:paraId="26A8CC2A" w14:textId="77777777" w:rsidR="0066038E" w:rsidRPr="009667DE" w:rsidRDefault="0066038E" w:rsidP="003C5D5D">
            <w:r w:rsidRPr="009667DE">
              <w:t>Część KPO</w:t>
            </w:r>
          </w:p>
        </w:tc>
        <w:tc>
          <w:tcPr>
            <w:tcW w:w="11198" w:type="dxa"/>
          </w:tcPr>
          <w:p w14:paraId="34AD32B6" w14:textId="77777777" w:rsidR="0066038E" w:rsidRPr="009667DE" w:rsidRDefault="0066038E" w:rsidP="003C5D5D">
            <w:r w:rsidRPr="009667DE">
              <w:t>Komponent E „Zielona, inteligentna mobilność”</w:t>
            </w:r>
          </w:p>
          <w:p w14:paraId="737F4695" w14:textId="77777777" w:rsidR="0066038E" w:rsidRPr="009667DE" w:rsidRDefault="0066038E" w:rsidP="003C5D5D">
            <w:pPr>
              <w:pStyle w:val="Default"/>
              <w:rPr>
                <w:color w:val="auto"/>
              </w:rPr>
            </w:pPr>
            <w:r w:rsidRPr="009667DE">
              <w:rPr>
                <w:color w:val="auto"/>
                <w:sz w:val="22"/>
                <w:szCs w:val="22"/>
              </w:rPr>
              <w:t>6. Zielony wymiar komponentu</w:t>
            </w:r>
          </w:p>
        </w:tc>
      </w:tr>
      <w:tr w:rsidR="0066038E" w:rsidRPr="009667DE" w14:paraId="75A2501F" w14:textId="77777777" w:rsidTr="003C5D5D">
        <w:tc>
          <w:tcPr>
            <w:tcW w:w="686" w:type="dxa"/>
          </w:tcPr>
          <w:p w14:paraId="12C9E23C" w14:textId="77777777" w:rsidR="0066038E" w:rsidRPr="009667DE" w:rsidRDefault="0066038E" w:rsidP="003C5D5D">
            <w:pPr>
              <w:pStyle w:val="Akapitzlist"/>
              <w:numPr>
                <w:ilvl w:val="0"/>
                <w:numId w:val="21"/>
              </w:numPr>
            </w:pPr>
          </w:p>
        </w:tc>
        <w:tc>
          <w:tcPr>
            <w:tcW w:w="2003" w:type="dxa"/>
          </w:tcPr>
          <w:p w14:paraId="65F8DC34" w14:textId="77777777" w:rsidR="0066038E" w:rsidRPr="009667DE" w:rsidRDefault="0066038E" w:rsidP="003C5D5D">
            <w:r w:rsidRPr="009667DE">
              <w:t>Strona</w:t>
            </w:r>
          </w:p>
        </w:tc>
        <w:tc>
          <w:tcPr>
            <w:tcW w:w="11198" w:type="dxa"/>
          </w:tcPr>
          <w:p w14:paraId="1724B0E0" w14:textId="77777777" w:rsidR="0066038E" w:rsidRPr="009667DE" w:rsidRDefault="0066038E" w:rsidP="003C5D5D">
            <w:r w:rsidRPr="009667DE">
              <w:t>216</w:t>
            </w:r>
          </w:p>
        </w:tc>
      </w:tr>
      <w:tr w:rsidR="0066038E" w:rsidRPr="009667DE" w14:paraId="2132F297" w14:textId="77777777" w:rsidTr="003C5D5D">
        <w:tc>
          <w:tcPr>
            <w:tcW w:w="686" w:type="dxa"/>
          </w:tcPr>
          <w:p w14:paraId="6EE8B1CA" w14:textId="77777777" w:rsidR="0066038E" w:rsidRPr="009667DE" w:rsidRDefault="0066038E" w:rsidP="003C5D5D">
            <w:pPr>
              <w:pStyle w:val="Akapitzlist"/>
              <w:numPr>
                <w:ilvl w:val="0"/>
                <w:numId w:val="21"/>
              </w:numPr>
            </w:pPr>
          </w:p>
        </w:tc>
        <w:tc>
          <w:tcPr>
            <w:tcW w:w="2003" w:type="dxa"/>
          </w:tcPr>
          <w:p w14:paraId="6FF98E63" w14:textId="77777777" w:rsidR="0066038E" w:rsidRPr="009667DE" w:rsidRDefault="0066038E" w:rsidP="003C5D5D">
            <w:r w:rsidRPr="009667DE">
              <w:t>Treść Uwagi</w:t>
            </w:r>
          </w:p>
        </w:tc>
        <w:tc>
          <w:tcPr>
            <w:tcW w:w="11198" w:type="dxa"/>
          </w:tcPr>
          <w:p w14:paraId="53D85D7B"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xml:space="preserve">Uzupełnienie opisu o kwestie inwestycji w transport rowerowy. </w:t>
            </w:r>
          </w:p>
          <w:p w14:paraId="2E8718B8" w14:textId="77777777" w:rsidR="0066038E" w:rsidRPr="009667DE" w:rsidRDefault="0066038E" w:rsidP="003C5D5D">
            <w:pPr>
              <w:autoSpaceDE w:val="0"/>
              <w:autoSpaceDN w:val="0"/>
              <w:adjustRightInd w:val="0"/>
              <w:rPr>
                <w:rFonts w:ascii="Calibri" w:hAnsi="Calibri" w:cs="Calibri"/>
              </w:rPr>
            </w:pPr>
          </w:p>
          <w:p w14:paraId="0FCC06F1"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w:t>
            </w:r>
            <w:r w:rsidRPr="009667DE">
              <w:t>Wpływ na transformację ekologiczną w szczególny sposób dotyczyć będzie pierwszej reformy „Wzrost wykorzystania transportu przyjaznego dla środowiska”, jej inwestycji: wsparcie przemysłu dla gospodarki niskoemisyjnej, zeroemisyjny transport zbiorowy (w miastach i na obszarach ze słabą dostępnością) oraz wsparcia transportu rowerowego, drugiej reformy „Zwiększenie konkurencyjności sektora kolejowego”, jej inwestycji: linie kolejowe (krajowe, regionalne), tabor kolejowy (krajowy, regionalny), projekty intermodalne, oraz trzeciej reformy „Zwiększenie bezpieczeństwa transportu” i inwestycji: bezpieczeństwo transportu, cyfryzacja transportu. Wdrażanie działań w obszarach takich jak poprawa stanu infrastruktury kolejowej, zwiększenie atrakcyjności kolei przez wymianę taboru, podniesienie wymogów dot. pojazdów niskoemisyjnych w zamówieniach publicznych na tabor dla transportu zbiorowego czy projekty przyczyniające się do zmniejszenia wpływu transportu drogowego na środowisko w bezpośredni sposób zmniejszają presję transportu na środowisko i klimat.</w:t>
            </w:r>
          </w:p>
        </w:tc>
      </w:tr>
      <w:tr w:rsidR="0066038E" w:rsidRPr="009667DE" w14:paraId="38538FC2" w14:textId="77777777" w:rsidTr="003C5D5D">
        <w:tc>
          <w:tcPr>
            <w:tcW w:w="686" w:type="dxa"/>
          </w:tcPr>
          <w:p w14:paraId="3A9156AF" w14:textId="77777777" w:rsidR="0066038E" w:rsidRPr="009667DE" w:rsidRDefault="0066038E" w:rsidP="003C5D5D">
            <w:pPr>
              <w:pStyle w:val="Akapitzlist"/>
              <w:numPr>
                <w:ilvl w:val="0"/>
                <w:numId w:val="21"/>
              </w:numPr>
            </w:pPr>
          </w:p>
        </w:tc>
        <w:tc>
          <w:tcPr>
            <w:tcW w:w="2003" w:type="dxa"/>
          </w:tcPr>
          <w:p w14:paraId="74B74A84" w14:textId="77777777" w:rsidR="0066038E" w:rsidRPr="009667DE" w:rsidRDefault="0066038E" w:rsidP="003C5D5D">
            <w:r w:rsidRPr="009667DE">
              <w:t>Uzasadnienie uwagi</w:t>
            </w:r>
          </w:p>
        </w:tc>
        <w:tc>
          <w:tcPr>
            <w:tcW w:w="11198" w:type="dxa"/>
          </w:tcPr>
          <w:p w14:paraId="36B2AD14"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7FA6AD4E" w14:textId="77777777" w:rsidR="0066038E" w:rsidRPr="009667DE" w:rsidRDefault="0066038E" w:rsidP="003C5D5D">
            <w:r w:rsidRPr="009667DE">
              <w:t>Wpisanie komponentu rowerowego do zapisów KPO w tym punkcie jest spójne z pozostałymi propozycjami w tym zakresie i wpisuje się wprost z prezentowane założenia reform.</w:t>
            </w:r>
          </w:p>
        </w:tc>
      </w:tr>
    </w:tbl>
    <w:p w14:paraId="78BEDA38" w14:textId="77777777" w:rsidR="0066038E" w:rsidRPr="009667DE" w:rsidRDefault="0066038E" w:rsidP="0066038E"/>
    <w:p w14:paraId="4CC680E4" w14:textId="77777777" w:rsidR="0066038E" w:rsidRPr="009667DE" w:rsidRDefault="0066038E" w:rsidP="0066038E">
      <w:r w:rsidRPr="009667DE">
        <w:br w:type="column"/>
      </w:r>
    </w:p>
    <w:tbl>
      <w:tblPr>
        <w:tblStyle w:val="Tabela-Siatka"/>
        <w:tblW w:w="0" w:type="auto"/>
        <w:tblLook w:val="04A0" w:firstRow="1" w:lastRow="0" w:firstColumn="1" w:lastColumn="0" w:noHBand="0" w:noVBand="1"/>
      </w:tblPr>
      <w:tblGrid>
        <w:gridCol w:w="686"/>
        <w:gridCol w:w="2003"/>
        <w:gridCol w:w="11198"/>
      </w:tblGrid>
      <w:tr w:rsidR="0066038E" w:rsidRPr="009667DE" w14:paraId="7792C980" w14:textId="77777777" w:rsidTr="003C5D5D">
        <w:tc>
          <w:tcPr>
            <w:tcW w:w="686" w:type="dxa"/>
          </w:tcPr>
          <w:p w14:paraId="764B900E" w14:textId="77777777" w:rsidR="0066038E" w:rsidRPr="009667DE" w:rsidRDefault="0066038E" w:rsidP="003C5D5D">
            <w:proofErr w:type="spellStart"/>
            <w:r w:rsidRPr="009667DE">
              <w:t>Lp</w:t>
            </w:r>
            <w:proofErr w:type="spellEnd"/>
          </w:p>
        </w:tc>
        <w:tc>
          <w:tcPr>
            <w:tcW w:w="2003" w:type="dxa"/>
          </w:tcPr>
          <w:p w14:paraId="4BE25223" w14:textId="77777777" w:rsidR="0066038E" w:rsidRPr="009667DE" w:rsidRDefault="0066038E" w:rsidP="003C5D5D">
            <w:r w:rsidRPr="009667DE">
              <w:t>Pole formularza</w:t>
            </w:r>
          </w:p>
        </w:tc>
        <w:tc>
          <w:tcPr>
            <w:tcW w:w="11198" w:type="dxa"/>
          </w:tcPr>
          <w:p w14:paraId="4475D5AB" w14:textId="77777777" w:rsidR="0066038E" w:rsidRPr="009667DE" w:rsidRDefault="0066038E" w:rsidP="003C5D5D">
            <w:r w:rsidRPr="009667DE">
              <w:t>Treść</w:t>
            </w:r>
          </w:p>
        </w:tc>
      </w:tr>
      <w:tr w:rsidR="0066038E" w:rsidRPr="009667DE" w14:paraId="24F47073" w14:textId="77777777" w:rsidTr="003C5D5D">
        <w:tc>
          <w:tcPr>
            <w:tcW w:w="686" w:type="dxa"/>
          </w:tcPr>
          <w:p w14:paraId="55491F2C" w14:textId="77777777" w:rsidR="0066038E" w:rsidRPr="009667DE" w:rsidRDefault="0066038E" w:rsidP="003C5D5D">
            <w:pPr>
              <w:pStyle w:val="Akapitzlist"/>
              <w:numPr>
                <w:ilvl w:val="0"/>
                <w:numId w:val="22"/>
              </w:numPr>
            </w:pPr>
          </w:p>
        </w:tc>
        <w:tc>
          <w:tcPr>
            <w:tcW w:w="2003" w:type="dxa"/>
          </w:tcPr>
          <w:p w14:paraId="713DB592" w14:textId="77777777" w:rsidR="0066038E" w:rsidRPr="009667DE" w:rsidRDefault="0066038E" w:rsidP="003C5D5D">
            <w:r w:rsidRPr="009667DE">
              <w:t>Imię</w:t>
            </w:r>
          </w:p>
        </w:tc>
        <w:tc>
          <w:tcPr>
            <w:tcW w:w="11198" w:type="dxa"/>
            <w:shd w:val="clear" w:color="auto" w:fill="D9D9D9" w:themeFill="background1" w:themeFillShade="D9"/>
          </w:tcPr>
          <w:p w14:paraId="676B9307" w14:textId="77777777" w:rsidR="0066038E" w:rsidRPr="009667DE" w:rsidRDefault="0066038E" w:rsidP="003C5D5D"/>
        </w:tc>
      </w:tr>
      <w:tr w:rsidR="0066038E" w:rsidRPr="009667DE" w14:paraId="4233A265" w14:textId="77777777" w:rsidTr="003C5D5D">
        <w:tc>
          <w:tcPr>
            <w:tcW w:w="686" w:type="dxa"/>
          </w:tcPr>
          <w:p w14:paraId="508ABDC0" w14:textId="77777777" w:rsidR="0066038E" w:rsidRPr="009667DE" w:rsidRDefault="0066038E" w:rsidP="003C5D5D">
            <w:pPr>
              <w:pStyle w:val="Akapitzlist"/>
              <w:numPr>
                <w:ilvl w:val="0"/>
                <w:numId w:val="22"/>
              </w:numPr>
            </w:pPr>
          </w:p>
        </w:tc>
        <w:tc>
          <w:tcPr>
            <w:tcW w:w="2003" w:type="dxa"/>
          </w:tcPr>
          <w:p w14:paraId="759E3DA6" w14:textId="77777777" w:rsidR="0066038E" w:rsidRPr="009667DE" w:rsidRDefault="0066038E" w:rsidP="003C5D5D">
            <w:r w:rsidRPr="009667DE">
              <w:t>Nazwisko</w:t>
            </w:r>
          </w:p>
        </w:tc>
        <w:tc>
          <w:tcPr>
            <w:tcW w:w="11198" w:type="dxa"/>
            <w:shd w:val="clear" w:color="auto" w:fill="D9D9D9" w:themeFill="background1" w:themeFillShade="D9"/>
          </w:tcPr>
          <w:p w14:paraId="52AFED68" w14:textId="77777777" w:rsidR="0066038E" w:rsidRPr="009667DE" w:rsidRDefault="0066038E" w:rsidP="003C5D5D"/>
        </w:tc>
      </w:tr>
      <w:tr w:rsidR="0066038E" w:rsidRPr="009667DE" w14:paraId="1BE03872" w14:textId="77777777" w:rsidTr="003C5D5D">
        <w:tc>
          <w:tcPr>
            <w:tcW w:w="686" w:type="dxa"/>
          </w:tcPr>
          <w:p w14:paraId="51E9E0F2" w14:textId="77777777" w:rsidR="0066038E" w:rsidRPr="009667DE" w:rsidRDefault="0066038E" w:rsidP="003C5D5D">
            <w:pPr>
              <w:pStyle w:val="Akapitzlist"/>
              <w:numPr>
                <w:ilvl w:val="0"/>
                <w:numId w:val="22"/>
              </w:numPr>
            </w:pPr>
          </w:p>
        </w:tc>
        <w:tc>
          <w:tcPr>
            <w:tcW w:w="2003" w:type="dxa"/>
          </w:tcPr>
          <w:p w14:paraId="14677F1B" w14:textId="77777777" w:rsidR="0066038E" w:rsidRPr="009667DE" w:rsidRDefault="0066038E" w:rsidP="003C5D5D">
            <w:r w:rsidRPr="009667DE">
              <w:t>Instytucja</w:t>
            </w:r>
          </w:p>
        </w:tc>
        <w:tc>
          <w:tcPr>
            <w:tcW w:w="11198" w:type="dxa"/>
            <w:shd w:val="clear" w:color="auto" w:fill="D9D9D9" w:themeFill="background1" w:themeFillShade="D9"/>
          </w:tcPr>
          <w:p w14:paraId="6183E475" w14:textId="77777777" w:rsidR="0066038E" w:rsidRPr="009667DE" w:rsidRDefault="0066038E" w:rsidP="003C5D5D"/>
        </w:tc>
      </w:tr>
      <w:tr w:rsidR="0066038E" w:rsidRPr="009667DE" w14:paraId="08D5A2E1" w14:textId="77777777" w:rsidTr="003C5D5D">
        <w:tc>
          <w:tcPr>
            <w:tcW w:w="686" w:type="dxa"/>
          </w:tcPr>
          <w:p w14:paraId="03E21C06" w14:textId="77777777" w:rsidR="0066038E" w:rsidRPr="009667DE" w:rsidRDefault="0066038E" w:rsidP="003C5D5D">
            <w:pPr>
              <w:pStyle w:val="Akapitzlist"/>
              <w:numPr>
                <w:ilvl w:val="0"/>
                <w:numId w:val="22"/>
              </w:numPr>
            </w:pPr>
          </w:p>
        </w:tc>
        <w:tc>
          <w:tcPr>
            <w:tcW w:w="2003" w:type="dxa"/>
          </w:tcPr>
          <w:p w14:paraId="1459C4E9" w14:textId="77777777" w:rsidR="0066038E" w:rsidRPr="009667DE" w:rsidRDefault="0066038E" w:rsidP="003C5D5D">
            <w:r w:rsidRPr="009667DE">
              <w:t>Województwo</w:t>
            </w:r>
          </w:p>
        </w:tc>
        <w:tc>
          <w:tcPr>
            <w:tcW w:w="11198" w:type="dxa"/>
            <w:shd w:val="clear" w:color="auto" w:fill="D9D9D9" w:themeFill="background1" w:themeFillShade="D9"/>
          </w:tcPr>
          <w:p w14:paraId="52E3D0FF" w14:textId="77777777" w:rsidR="0066038E" w:rsidRPr="009667DE" w:rsidRDefault="0066038E" w:rsidP="003C5D5D"/>
        </w:tc>
      </w:tr>
      <w:tr w:rsidR="0066038E" w:rsidRPr="009667DE" w14:paraId="06AF7AF6" w14:textId="77777777" w:rsidTr="003C5D5D">
        <w:tc>
          <w:tcPr>
            <w:tcW w:w="686" w:type="dxa"/>
          </w:tcPr>
          <w:p w14:paraId="06D635DC" w14:textId="77777777" w:rsidR="0066038E" w:rsidRPr="009667DE" w:rsidRDefault="0066038E" w:rsidP="003C5D5D">
            <w:pPr>
              <w:pStyle w:val="Akapitzlist"/>
              <w:numPr>
                <w:ilvl w:val="0"/>
                <w:numId w:val="22"/>
              </w:numPr>
            </w:pPr>
          </w:p>
        </w:tc>
        <w:tc>
          <w:tcPr>
            <w:tcW w:w="2003" w:type="dxa"/>
          </w:tcPr>
          <w:p w14:paraId="62DCDB2A" w14:textId="77777777" w:rsidR="0066038E" w:rsidRPr="009667DE" w:rsidRDefault="0066038E" w:rsidP="003C5D5D">
            <w:r w:rsidRPr="009667DE">
              <w:t>Część KPO</w:t>
            </w:r>
          </w:p>
        </w:tc>
        <w:tc>
          <w:tcPr>
            <w:tcW w:w="11198" w:type="dxa"/>
          </w:tcPr>
          <w:p w14:paraId="4DD0B479" w14:textId="77777777" w:rsidR="0066038E" w:rsidRPr="009667DE" w:rsidRDefault="0066038E" w:rsidP="003C5D5D">
            <w:r w:rsidRPr="009667DE">
              <w:t>Komponent E „Zielona, inteligentna mobilność”</w:t>
            </w:r>
          </w:p>
          <w:p w14:paraId="5AA8541B" w14:textId="77777777" w:rsidR="0066038E" w:rsidRPr="009667DE" w:rsidRDefault="0066038E" w:rsidP="003C5D5D">
            <w:pPr>
              <w:pStyle w:val="Default"/>
              <w:rPr>
                <w:color w:val="auto"/>
              </w:rPr>
            </w:pPr>
            <w:r w:rsidRPr="009667DE">
              <w:rPr>
                <w:color w:val="auto"/>
                <w:sz w:val="22"/>
                <w:szCs w:val="22"/>
              </w:rPr>
              <w:t xml:space="preserve">8. Zasada „niewyrządzania znaczącej szkody” – </w:t>
            </w:r>
            <w:r w:rsidRPr="009667DE">
              <w:rPr>
                <w:i/>
                <w:iCs/>
                <w:color w:val="auto"/>
                <w:sz w:val="22"/>
                <w:szCs w:val="22"/>
              </w:rPr>
              <w:t xml:space="preserve">„do no </w:t>
            </w:r>
            <w:proofErr w:type="spellStart"/>
            <w:r w:rsidRPr="009667DE">
              <w:rPr>
                <w:i/>
                <w:iCs/>
                <w:color w:val="auto"/>
                <w:sz w:val="22"/>
                <w:szCs w:val="22"/>
              </w:rPr>
              <w:t>significant</w:t>
            </w:r>
            <w:proofErr w:type="spellEnd"/>
            <w:r w:rsidRPr="009667DE">
              <w:rPr>
                <w:i/>
                <w:iCs/>
                <w:color w:val="auto"/>
                <w:sz w:val="22"/>
                <w:szCs w:val="22"/>
              </w:rPr>
              <w:t xml:space="preserve"> </w:t>
            </w:r>
            <w:proofErr w:type="spellStart"/>
            <w:r w:rsidRPr="009667DE">
              <w:rPr>
                <w:i/>
                <w:iCs/>
                <w:color w:val="auto"/>
                <w:sz w:val="22"/>
                <w:szCs w:val="22"/>
              </w:rPr>
              <w:t>harm</w:t>
            </w:r>
            <w:proofErr w:type="spellEnd"/>
            <w:r w:rsidRPr="009667DE">
              <w:rPr>
                <w:i/>
                <w:iCs/>
                <w:color w:val="auto"/>
                <w:sz w:val="22"/>
                <w:szCs w:val="22"/>
              </w:rPr>
              <w:t>”</w:t>
            </w:r>
          </w:p>
        </w:tc>
      </w:tr>
      <w:tr w:rsidR="0066038E" w:rsidRPr="009667DE" w14:paraId="3BEDAF76" w14:textId="77777777" w:rsidTr="003C5D5D">
        <w:tc>
          <w:tcPr>
            <w:tcW w:w="686" w:type="dxa"/>
          </w:tcPr>
          <w:p w14:paraId="150CD91B" w14:textId="77777777" w:rsidR="0066038E" w:rsidRPr="009667DE" w:rsidRDefault="0066038E" w:rsidP="003C5D5D">
            <w:pPr>
              <w:pStyle w:val="Akapitzlist"/>
              <w:numPr>
                <w:ilvl w:val="0"/>
                <w:numId w:val="22"/>
              </w:numPr>
            </w:pPr>
          </w:p>
        </w:tc>
        <w:tc>
          <w:tcPr>
            <w:tcW w:w="2003" w:type="dxa"/>
          </w:tcPr>
          <w:p w14:paraId="28F19AF4" w14:textId="77777777" w:rsidR="0066038E" w:rsidRPr="009667DE" w:rsidRDefault="0066038E" w:rsidP="003C5D5D">
            <w:r w:rsidRPr="009667DE">
              <w:t>Strona</w:t>
            </w:r>
          </w:p>
        </w:tc>
        <w:tc>
          <w:tcPr>
            <w:tcW w:w="11198" w:type="dxa"/>
          </w:tcPr>
          <w:p w14:paraId="57D25AAE" w14:textId="77777777" w:rsidR="0066038E" w:rsidRPr="009667DE" w:rsidRDefault="0066038E" w:rsidP="003C5D5D">
            <w:r w:rsidRPr="009667DE">
              <w:t>216</w:t>
            </w:r>
          </w:p>
        </w:tc>
      </w:tr>
      <w:tr w:rsidR="0066038E" w:rsidRPr="009667DE" w14:paraId="4958D9E2" w14:textId="77777777" w:rsidTr="003C5D5D">
        <w:tc>
          <w:tcPr>
            <w:tcW w:w="686" w:type="dxa"/>
          </w:tcPr>
          <w:p w14:paraId="28710B13" w14:textId="77777777" w:rsidR="0066038E" w:rsidRPr="009667DE" w:rsidRDefault="0066038E" w:rsidP="003C5D5D">
            <w:pPr>
              <w:pStyle w:val="Akapitzlist"/>
              <w:numPr>
                <w:ilvl w:val="0"/>
                <w:numId w:val="22"/>
              </w:numPr>
            </w:pPr>
          </w:p>
        </w:tc>
        <w:tc>
          <w:tcPr>
            <w:tcW w:w="2003" w:type="dxa"/>
          </w:tcPr>
          <w:p w14:paraId="13C29D24" w14:textId="77777777" w:rsidR="0066038E" w:rsidRPr="009667DE" w:rsidRDefault="0066038E" w:rsidP="003C5D5D">
            <w:r w:rsidRPr="009667DE">
              <w:t>Treść Uwagi</w:t>
            </w:r>
          </w:p>
        </w:tc>
        <w:tc>
          <w:tcPr>
            <w:tcW w:w="11198" w:type="dxa"/>
          </w:tcPr>
          <w:p w14:paraId="2C131B43"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xml:space="preserve">Uzupełnienie opisu o kwestie inwestycji w transport rowerowy. </w:t>
            </w:r>
          </w:p>
          <w:p w14:paraId="7409A11E" w14:textId="77777777" w:rsidR="0066038E" w:rsidRPr="009667DE" w:rsidRDefault="0066038E" w:rsidP="003C5D5D">
            <w:pPr>
              <w:autoSpaceDE w:val="0"/>
              <w:autoSpaceDN w:val="0"/>
              <w:adjustRightInd w:val="0"/>
              <w:rPr>
                <w:rFonts w:ascii="Calibri" w:hAnsi="Calibri" w:cs="Calibri"/>
              </w:rPr>
            </w:pPr>
          </w:p>
          <w:p w14:paraId="3076FC8D" w14:textId="77777777" w:rsidR="0066038E" w:rsidRPr="009667DE" w:rsidRDefault="0066038E" w:rsidP="003C5D5D">
            <w:pPr>
              <w:autoSpaceDE w:val="0"/>
              <w:autoSpaceDN w:val="0"/>
              <w:adjustRightInd w:val="0"/>
            </w:pPr>
            <w:r w:rsidRPr="009667DE">
              <w:t>Podobnie jak w przypadku wpływu na klimat w odniesieniu do zanieczyszczeń, wdrożenie planowanych działań przyczyni się do ich ograniczenia poprzez promowanie i rozwój niskoemisyjnych środków transportu oraz transportu rowerowego.</w:t>
            </w:r>
          </w:p>
          <w:p w14:paraId="5FC3826A" w14:textId="77777777" w:rsidR="0066038E" w:rsidRPr="009667DE" w:rsidRDefault="0066038E" w:rsidP="003C5D5D">
            <w:pPr>
              <w:autoSpaceDE w:val="0"/>
              <w:autoSpaceDN w:val="0"/>
              <w:adjustRightInd w:val="0"/>
              <w:rPr>
                <w:rFonts w:ascii="Calibri" w:hAnsi="Calibri" w:cs="Calibri"/>
              </w:rPr>
            </w:pPr>
          </w:p>
          <w:p w14:paraId="6A6F0A80"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xml:space="preserve">Oraz </w:t>
            </w:r>
          </w:p>
          <w:p w14:paraId="40F2C337" w14:textId="77777777" w:rsidR="0066038E" w:rsidRPr="009667DE" w:rsidRDefault="0066038E" w:rsidP="003C5D5D">
            <w:pPr>
              <w:autoSpaceDE w:val="0"/>
              <w:autoSpaceDN w:val="0"/>
              <w:adjustRightInd w:val="0"/>
              <w:rPr>
                <w:rFonts w:ascii="Calibri" w:hAnsi="Calibri" w:cs="Calibri"/>
              </w:rPr>
            </w:pPr>
          </w:p>
          <w:p w14:paraId="3C37F257" w14:textId="77777777" w:rsidR="0066038E" w:rsidRPr="009667DE" w:rsidRDefault="0066038E" w:rsidP="003C5D5D">
            <w:pPr>
              <w:autoSpaceDE w:val="0"/>
              <w:autoSpaceDN w:val="0"/>
              <w:adjustRightInd w:val="0"/>
              <w:rPr>
                <w:rFonts w:ascii="Calibri" w:hAnsi="Calibri" w:cs="Calibri"/>
              </w:rPr>
            </w:pPr>
            <w:r w:rsidRPr="009667DE">
              <w:t xml:space="preserve">Ponadto należy podkreślić, że zadania związane z rozwojem </w:t>
            </w:r>
            <w:proofErr w:type="spellStart"/>
            <w:r w:rsidRPr="009667DE">
              <w:t>elektromobilności</w:t>
            </w:r>
            <w:proofErr w:type="spellEnd"/>
            <w:r w:rsidRPr="009667DE">
              <w:t>, transportu rowerowego oraz wsparciem rozwoju sieci stacji ładowania pojazdów elektrycznych oraz tankowania paliwami alternatywnymi nie wpłyną na zmiany klimatu, pozwolą na prostszą adaptację do nadchodzących zmian klimatycznych.</w:t>
            </w:r>
          </w:p>
        </w:tc>
      </w:tr>
      <w:tr w:rsidR="0066038E" w:rsidRPr="009667DE" w14:paraId="71868BD9" w14:textId="77777777" w:rsidTr="003C5D5D">
        <w:tc>
          <w:tcPr>
            <w:tcW w:w="686" w:type="dxa"/>
          </w:tcPr>
          <w:p w14:paraId="70AB8A9D" w14:textId="77777777" w:rsidR="0066038E" w:rsidRPr="009667DE" w:rsidRDefault="0066038E" w:rsidP="003C5D5D">
            <w:pPr>
              <w:pStyle w:val="Akapitzlist"/>
              <w:numPr>
                <w:ilvl w:val="0"/>
                <w:numId w:val="22"/>
              </w:numPr>
            </w:pPr>
          </w:p>
        </w:tc>
        <w:tc>
          <w:tcPr>
            <w:tcW w:w="2003" w:type="dxa"/>
          </w:tcPr>
          <w:p w14:paraId="7FF1AF3A" w14:textId="77777777" w:rsidR="0066038E" w:rsidRPr="009667DE" w:rsidRDefault="0066038E" w:rsidP="003C5D5D">
            <w:r w:rsidRPr="009667DE">
              <w:t>Uzasadnienie uwagi</w:t>
            </w:r>
          </w:p>
        </w:tc>
        <w:tc>
          <w:tcPr>
            <w:tcW w:w="11198" w:type="dxa"/>
          </w:tcPr>
          <w:p w14:paraId="75DC508F"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200B6DF8" w14:textId="77777777" w:rsidR="0066038E" w:rsidRPr="009667DE" w:rsidRDefault="0066038E" w:rsidP="003C5D5D">
            <w:r w:rsidRPr="009667DE">
              <w:t>Wpisanie komponentu rowerowego do zapisów KPO w tym punkcie jest spójne z pozostałymi propozycjami w tym zakresie i wpisuje się wprost z prezentowane założenia reform.</w:t>
            </w:r>
          </w:p>
        </w:tc>
      </w:tr>
    </w:tbl>
    <w:p w14:paraId="51AFEBFB" w14:textId="77777777" w:rsidR="0066038E" w:rsidRPr="009667DE" w:rsidRDefault="0066038E" w:rsidP="0066038E"/>
    <w:p w14:paraId="64FCE89A" w14:textId="77777777" w:rsidR="0066038E" w:rsidRPr="009667DE" w:rsidRDefault="0066038E" w:rsidP="0066038E">
      <w:r w:rsidRPr="009667DE">
        <w:br w:type="page"/>
      </w:r>
    </w:p>
    <w:tbl>
      <w:tblPr>
        <w:tblStyle w:val="Tabela-Siatka"/>
        <w:tblW w:w="0" w:type="auto"/>
        <w:tblLook w:val="04A0" w:firstRow="1" w:lastRow="0" w:firstColumn="1" w:lastColumn="0" w:noHBand="0" w:noVBand="1"/>
      </w:tblPr>
      <w:tblGrid>
        <w:gridCol w:w="686"/>
        <w:gridCol w:w="2003"/>
        <w:gridCol w:w="11198"/>
      </w:tblGrid>
      <w:tr w:rsidR="0066038E" w:rsidRPr="009667DE" w14:paraId="0C6C171C" w14:textId="77777777" w:rsidTr="003C5D5D">
        <w:tc>
          <w:tcPr>
            <w:tcW w:w="686" w:type="dxa"/>
          </w:tcPr>
          <w:p w14:paraId="557455C7" w14:textId="77777777" w:rsidR="0066038E" w:rsidRPr="009667DE" w:rsidRDefault="0066038E" w:rsidP="003C5D5D">
            <w:proofErr w:type="spellStart"/>
            <w:r w:rsidRPr="009667DE">
              <w:lastRenderedPageBreak/>
              <w:t>Lp</w:t>
            </w:r>
            <w:proofErr w:type="spellEnd"/>
          </w:p>
        </w:tc>
        <w:tc>
          <w:tcPr>
            <w:tcW w:w="2003" w:type="dxa"/>
          </w:tcPr>
          <w:p w14:paraId="6B0B9A78" w14:textId="77777777" w:rsidR="0066038E" w:rsidRPr="009667DE" w:rsidRDefault="0066038E" w:rsidP="003C5D5D">
            <w:r w:rsidRPr="009667DE">
              <w:t>Pole formularza</w:t>
            </w:r>
          </w:p>
        </w:tc>
        <w:tc>
          <w:tcPr>
            <w:tcW w:w="11198" w:type="dxa"/>
          </w:tcPr>
          <w:p w14:paraId="3731CC01" w14:textId="77777777" w:rsidR="0066038E" w:rsidRPr="009667DE" w:rsidRDefault="0066038E" w:rsidP="003C5D5D">
            <w:r w:rsidRPr="009667DE">
              <w:t>Treść</w:t>
            </w:r>
          </w:p>
        </w:tc>
      </w:tr>
      <w:tr w:rsidR="0066038E" w:rsidRPr="009667DE" w14:paraId="01B70C10" w14:textId="77777777" w:rsidTr="003C5D5D">
        <w:tc>
          <w:tcPr>
            <w:tcW w:w="686" w:type="dxa"/>
          </w:tcPr>
          <w:p w14:paraId="29BF515C" w14:textId="77777777" w:rsidR="0066038E" w:rsidRPr="009667DE" w:rsidRDefault="0066038E" w:rsidP="003C5D5D">
            <w:pPr>
              <w:pStyle w:val="Akapitzlist"/>
              <w:numPr>
                <w:ilvl w:val="0"/>
                <w:numId w:val="23"/>
              </w:numPr>
            </w:pPr>
          </w:p>
        </w:tc>
        <w:tc>
          <w:tcPr>
            <w:tcW w:w="2003" w:type="dxa"/>
          </w:tcPr>
          <w:p w14:paraId="2BA0F523" w14:textId="77777777" w:rsidR="0066038E" w:rsidRPr="009667DE" w:rsidRDefault="0066038E" w:rsidP="003C5D5D">
            <w:r w:rsidRPr="009667DE">
              <w:t>Imię</w:t>
            </w:r>
          </w:p>
        </w:tc>
        <w:tc>
          <w:tcPr>
            <w:tcW w:w="11198" w:type="dxa"/>
            <w:shd w:val="clear" w:color="auto" w:fill="D9D9D9" w:themeFill="background1" w:themeFillShade="D9"/>
          </w:tcPr>
          <w:p w14:paraId="58E91AD4" w14:textId="77777777" w:rsidR="0066038E" w:rsidRPr="009667DE" w:rsidRDefault="0066038E" w:rsidP="003C5D5D"/>
        </w:tc>
      </w:tr>
      <w:tr w:rsidR="0066038E" w:rsidRPr="009667DE" w14:paraId="1AADCF2D" w14:textId="77777777" w:rsidTr="003C5D5D">
        <w:tc>
          <w:tcPr>
            <w:tcW w:w="686" w:type="dxa"/>
          </w:tcPr>
          <w:p w14:paraId="66567B81" w14:textId="77777777" w:rsidR="0066038E" w:rsidRPr="009667DE" w:rsidRDefault="0066038E" w:rsidP="003C5D5D">
            <w:pPr>
              <w:pStyle w:val="Akapitzlist"/>
              <w:numPr>
                <w:ilvl w:val="0"/>
                <w:numId w:val="23"/>
              </w:numPr>
            </w:pPr>
          </w:p>
        </w:tc>
        <w:tc>
          <w:tcPr>
            <w:tcW w:w="2003" w:type="dxa"/>
          </w:tcPr>
          <w:p w14:paraId="1ECCFED3" w14:textId="77777777" w:rsidR="0066038E" w:rsidRPr="009667DE" w:rsidRDefault="0066038E" w:rsidP="003C5D5D">
            <w:r w:rsidRPr="009667DE">
              <w:t>Nazwisko</w:t>
            </w:r>
          </w:p>
        </w:tc>
        <w:tc>
          <w:tcPr>
            <w:tcW w:w="11198" w:type="dxa"/>
            <w:shd w:val="clear" w:color="auto" w:fill="D9D9D9" w:themeFill="background1" w:themeFillShade="D9"/>
          </w:tcPr>
          <w:p w14:paraId="3958B1E7" w14:textId="77777777" w:rsidR="0066038E" w:rsidRPr="009667DE" w:rsidRDefault="0066038E" w:rsidP="003C5D5D"/>
        </w:tc>
      </w:tr>
      <w:tr w:rsidR="0066038E" w:rsidRPr="009667DE" w14:paraId="14F0EF60" w14:textId="77777777" w:rsidTr="003C5D5D">
        <w:tc>
          <w:tcPr>
            <w:tcW w:w="686" w:type="dxa"/>
          </w:tcPr>
          <w:p w14:paraId="18F1A62D" w14:textId="77777777" w:rsidR="0066038E" w:rsidRPr="009667DE" w:rsidRDefault="0066038E" w:rsidP="003C5D5D">
            <w:pPr>
              <w:pStyle w:val="Akapitzlist"/>
              <w:numPr>
                <w:ilvl w:val="0"/>
                <w:numId w:val="23"/>
              </w:numPr>
            </w:pPr>
          </w:p>
        </w:tc>
        <w:tc>
          <w:tcPr>
            <w:tcW w:w="2003" w:type="dxa"/>
          </w:tcPr>
          <w:p w14:paraId="0980C200" w14:textId="77777777" w:rsidR="0066038E" w:rsidRPr="009667DE" w:rsidRDefault="0066038E" w:rsidP="003C5D5D">
            <w:r w:rsidRPr="009667DE">
              <w:t>Instytucja</w:t>
            </w:r>
          </w:p>
        </w:tc>
        <w:tc>
          <w:tcPr>
            <w:tcW w:w="11198" w:type="dxa"/>
            <w:shd w:val="clear" w:color="auto" w:fill="D9D9D9" w:themeFill="background1" w:themeFillShade="D9"/>
          </w:tcPr>
          <w:p w14:paraId="2B9F2F93" w14:textId="77777777" w:rsidR="0066038E" w:rsidRPr="009667DE" w:rsidRDefault="0066038E" w:rsidP="003C5D5D"/>
        </w:tc>
      </w:tr>
      <w:tr w:rsidR="0066038E" w:rsidRPr="009667DE" w14:paraId="7339F854" w14:textId="77777777" w:rsidTr="003C5D5D">
        <w:tc>
          <w:tcPr>
            <w:tcW w:w="686" w:type="dxa"/>
          </w:tcPr>
          <w:p w14:paraId="7A1BE899" w14:textId="77777777" w:rsidR="0066038E" w:rsidRPr="009667DE" w:rsidRDefault="0066038E" w:rsidP="003C5D5D">
            <w:pPr>
              <w:pStyle w:val="Akapitzlist"/>
              <w:numPr>
                <w:ilvl w:val="0"/>
                <w:numId w:val="23"/>
              </w:numPr>
            </w:pPr>
          </w:p>
        </w:tc>
        <w:tc>
          <w:tcPr>
            <w:tcW w:w="2003" w:type="dxa"/>
          </w:tcPr>
          <w:p w14:paraId="1BB734AA" w14:textId="77777777" w:rsidR="0066038E" w:rsidRPr="009667DE" w:rsidRDefault="0066038E" w:rsidP="003C5D5D">
            <w:r w:rsidRPr="009667DE">
              <w:t>Województwo</w:t>
            </w:r>
          </w:p>
        </w:tc>
        <w:tc>
          <w:tcPr>
            <w:tcW w:w="11198" w:type="dxa"/>
            <w:shd w:val="clear" w:color="auto" w:fill="D9D9D9" w:themeFill="background1" w:themeFillShade="D9"/>
          </w:tcPr>
          <w:p w14:paraId="5E6C13A1" w14:textId="77777777" w:rsidR="0066038E" w:rsidRPr="009667DE" w:rsidRDefault="0066038E" w:rsidP="003C5D5D"/>
        </w:tc>
      </w:tr>
      <w:tr w:rsidR="0066038E" w:rsidRPr="009667DE" w14:paraId="5C71CC53" w14:textId="77777777" w:rsidTr="003C5D5D">
        <w:tc>
          <w:tcPr>
            <w:tcW w:w="686" w:type="dxa"/>
          </w:tcPr>
          <w:p w14:paraId="11F89D7D" w14:textId="77777777" w:rsidR="0066038E" w:rsidRPr="009667DE" w:rsidRDefault="0066038E" w:rsidP="003C5D5D">
            <w:pPr>
              <w:pStyle w:val="Akapitzlist"/>
              <w:numPr>
                <w:ilvl w:val="0"/>
                <w:numId w:val="23"/>
              </w:numPr>
            </w:pPr>
          </w:p>
        </w:tc>
        <w:tc>
          <w:tcPr>
            <w:tcW w:w="2003" w:type="dxa"/>
          </w:tcPr>
          <w:p w14:paraId="09BE7857" w14:textId="77777777" w:rsidR="0066038E" w:rsidRPr="009667DE" w:rsidRDefault="0066038E" w:rsidP="003C5D5D">
            <w:r w:rsidRPr="009667DE">
              <w:t>Część KPO</w:t>
            </w:r>
          </w:p>
        </w:tc>
        <w:tc>
          <w:tcPr>
            <w:tcW w:w="11198" w:type="dxa"/>
          </w:tcPr>
          <w:p w14:paraId="6B1B505C" w14:textId="77777777" w:rsidR="0066038E" w:rsidRPr="009667DE" w:rsidRDefault="0066038E" w:rsidP="003C5D5D">
            <w:r w:rsidRPr="009667DE">
              <w:t>Komponent E „Zielona, inteligentna mobilność”</w:t>
            </w:r>
          </w:p>
          <w:p w14:paraId="11E6C074" w14:textId="77777777" w:rsidR="0066038E" w:rsidRPr="009667DE" w:rsidRDefault="0066038E" w:rsidP="003C5D5D">
            <w:pPr>
              <w:pStyle w:val="Default"/>
              <w:rPr>
                <w:color w:val="auto"/>
                <w:sz w:val="22"/>
                <w:szCs w:val="22"/>
              </w:rPr>
            </w:pPr>
            <w:r w:rsidRPr="009667DE">
              <w:rPr>
                <w:color w:val="auto"/>
                <w:sz w:val="22"/>
                <w:szCs w:val="22"/>
              </w:rPr>
              <w:t>Tabela 1a i 1b. Wpływ na transformację ekologiczną i cyfrową</w:t>
            </w:r>
          </w:p>
        </w:tc>
      </w:tr>
      <w:tr w:rsidR="0066038E" w:rsidRPr="009667DE" w14:paraId="030DF4F1" w14:textId="77777777" w:rsidTr="003C5D5D">
        <w:tc>
          <w:tcPr>
            <w:tcW w:w="686" w:type="dxa"/>
          </w:tcPr>
          <w:p w14:paraId="14B8701C" w14:textId="77777777" w:rsidR="0066038E" w:rsidRPr="009667DE" w:rsidRDefault="0066038E" w:rsidP="003C5D5D">
            <w:pPr>
              <w:pStyle w:val="Akapitzlist"/>
              <w:numPr>
                <w:ilvl w:val="0"/>
                <w:numId w:val="23"/>
              </w:numPr>
            </w:pPr>
          </w:p>
        </w:tc>
        <w:tc>
          <w:tcPr>
            <w:tcW w:w="2003" w:type="dxa"/>
          </w:tcPr>
          <w:p w14:paraId="02B1A17E" w14:textId="77777777" w:rsidR="0066038E" w:rsidRPr="009667DE" w:rsidRDefault="0066038E" w:rsidP="003C5D5D">
            <w:r w:rsidRPr="009667DE">
              <w:t>Strona</w:t>
            </w:r>
          </w:p>
        </w:tc>
        <w:tc>
          <w:tcPr>
            <w:tcW w:w="11198" w:type="dxa"/>
          </w:tcPr>
          <w:p w14:paraId="738CFE8A" w14:textId="77777777" w:rsidR="0066038E" w:rsidRPr="009667DE" w:rsidRDefault="0066038E" w:rsidP="003C5D5D">
            <w:r w:rsidRPr="009667DE">
              <w:t>218</w:t>
            </w:r>
          </w:p>
        </w:tc>
      </w:tr>
      <w:tr w:rsidR="0066038E" w:rsidRPr="009667DE" w14:paraId="45567FF3" w14:textId="77777777" w:rsidTr="003C5D5D">
        <w:tc>
          <w:tcPr>
            <w:tcW w:w="686" w:type="dxa"/>
          </w:tcPr>
          <w:p w14:paraId="497A6EE2" w14:textId="77777777" w:rsidR="0066038E" w:rsidRPr="009667DE" w:rsidRDefault="0066038E" w:rsidP="003C5D5D">
            <w:pPr>
              <w:pStyle w:val="Akapitzlist"/>
              <w:numPr>
                <w:ilvl w:val="0"/>
                <w:numId w:val="23"/>
              </w:numPr>
            </w:pPr>
          </w:p>
        </w:tc>
        <w:tc>
          <w:tcPr>
            <w:tcW w:w="2003" w:type="dxa"/>
          </w:tcPr>
          <w:p w14:paraId="78FCA9D2" w14:textId="77777777" w:rsidR="0066038E" w:rsidRPr="009667DE" w:rsidRDefault="0066038E" w:rsidP="003C5D5D">
            <w:r w:rsidRPr="009667DE">
              <w:t>Treść Uwagi</w:t>
            </w:r>
          </w:p>
        </w:tc>
        <w:tc>
          <w:tcPr>
            <w:tcW w:w="11198" w:type="dxa"/>
          </w:tcPr>
          <w:p w14:paraId="100BC657"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xml:space="preserve">Uzupełnienie tabeli o kwestie inwestycji w transport rowerowy. </w:t>
            </w:r>
          </w:p>
          <w:p w14:paraId="2EC4C48F" w14:textId="77777777" w:rsidR="0066038E" w:rsidRPr="009667DE" w:rsidRDefault="0066038E" w:rsidP="003C5D5D">
            <w:pPr>
              <w:autoSpaceDE w:val="0"/>
              <w:autoSpaceDN w:val="0"/>
              <w:adjustRightInd w:val="0"/>
              <w:rPr>
                <w:rFonts w:ascii="Calibri" w:hAnsi="Calibri" w:cs="Calibri"/>
              </w:rPr>
            </w:pPr>
          </w:p>
          <w:p w14:paraId="4DB56A54"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xml:space="preserve">Wskazanie komponentu E1.1.3 i oszacowanie dla celów środowiskowych wpływu na poziomie 100% i wpisywanie się w zasadę DNSH, zaś dla celów cyfrowych wpływ na poziomie 0%. </w:t>
            </w:r>
          </w:p>
          <w:p w14:paraId="43BD0430" w14:textId="77777777" w:rsidR="0066038E" w:rsidRPr="009667DE" w:rsidRDefault="0066038E" w:rsidP="003C5D5D">
            <w:pPr>
              <w:autoSpaceDE w:val="0"/>
              <w:autoSpaceDN w:val="0"/>
              <w:adjustRightInd w:val="0"/>
              <w:rPr>
                <w:rFonts w:ascii="Calibri" w:hAnsi="Calibri" w:cs="Calibri"/>
              </w:rPr>
            </w:pPr>
          </w:p>
        </w:tc>
      </w:tr>
      <w:tr w:rsidR="0066038E" w:rsidRPr="009667DE" w14:paraId="615F7B68" w14:textId="77777777" w:rsidTr="003C5D5D">
        <w:tc>
          <w:tcPr>
            <w:tcW w:w="686" w:type="dxa"/>
          </w:tcPr>
          <w:p w14:paraId="2277774E" w14:textId="77777777" w:rsidR="0066038E" w:rsidRPr="009667DE" w:rsidRDefault="0066038E" w:rsidP="003C5D5D">
            <w:pPr>
              <w:pStyle w:val="Akapitzlist"/>
              <w:numPr>
                <w:ilvl w:val="0"/>
                <w:numId w:val="23"/>
              </w:numPr>
            </w:pPr>
          </w:p>
        </w:tc>
        <w:tc>
          <w:tcPr>
            <w:tcW w:w="2003" w:type="dxa"/>
          </w:tcPr>
          <w:p w14:paraId="5C289FA2" w14:textId="77777777" w:rsidR="0066038E" w:rsidRPr="009667DE" w:rsidRDefault="0066038E" w:rsidP="003C5D5D">
            <w:r w:rsidRPr="009667DE">
              <w:t>Uzasadnienie uwagi</w:t>
            </w:r>
          </w:p>
        </w:tc>
        <w:tc>
          <w:tcPr>
            <w:tcW w:w="11198" w:type="dxa"/>
          </w:tcPr>
          <w:p w14:paraId="1D8101D0" w14:textId="77777777" w:rsidR="0066038E" w:rsidRPr="009667DE" w:rsidRDefault="0066038E" w:rsidP="003C5D5D">
            <w:pPr>
              <w:autoSpaceDE w:val="0"/>
              <w:autoSpaceDN w:val="0"/>
              <w:adjustRightInd w:val="0"/>
            </w:pPr>
            <w:r w:rsidRPr="009667DE">
              <w:t>Transport rowerowy w pełni przyczynia się do realizacji celów środowiskowych i klimatycznych poprzez redukcję emisji substancji szkodliwych i hałasu. Jednocześnie korzystnie wpływa na odporność populacji w sytuacji pandemii ze względu na możliwość zachowania dystansu społecznego i korzystny wpływ na zdrowie populacji.</w:t>
            </w:r>
          </w:p>
          <w:p w14:paraId="792F5AFB" w14:textId="77777777" w:rsidR="0066038E" w:rsidRPr="009667DE" w:rsidRDefault="0066038E" w:rsidP="003C5D5D">
            <w:pPr>
              <w:autoSpaceDE w:val="0"/>
              <w:autoSpaceDN w:val="0"/>
              <w:adjustRightInd w:val="0"/>
            </w:pPr>
          </w:p>
          <w:p w14:paraId="28C247E5"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404CE7A5" w14:textId="77777777" w:rsidR="0066038E" w:rsidRPr="009667DE" w:rsidRDefault="0066038E" w:rsidP="003C5D5D"/>
        </w:tc>
      </w:tr>
    </w:tbl>
    <w:p w14:paraId="270E3626" w14:textId="77777777" w:rsidR="0066038E" w:rsidRPr="009667DE" w:rsidRDefault="0066038E" w:rsidP="0066038E"/>
    <w:p w14:paraId="674022D3" w14:textId="77777777" w:rsidR="0066038E" w:rsidRPr="009667DE" w:rsidRDefault="0066038E" w:rsidP="0066038E">
      <w:r w:rsidRPr="009667DE">
        <w:br w:type="page"/>
      </w:r>
    </w:p>
    <w:tbl>
      <w:tblPr>
        <w:tblStyle w:val="Tabela-Siatka"/>
        <w:tblW w:w="0" w:type="auto"/>
        <w:tblLook w:val="04A0" w:firstRow="1" w:lastRow="0" w:firstColumn="1" w:lastColumn="0" w:noHBand="0" w:noVBand="1"/>
      </w:tblPr>
      <w:tblGrid>
        <w:gridCol w:w="686"/>
        <w:gridCol w:w="2003"/>
        <w:gridCol w:w="11198"/>
      </w:tblGrid>
      <w:tr w:rsidR="0066038E" w:rsidRPr="009667DE" w14:paraId="606B22D3" w14:textId="77777777" w:rsidTr="003C5D5D">
        <w:tc>
          <w:tcPr>
            <w:tcW w:w="686" w:type="dxa"/>
          </w:tcPr>
          <w:p w14:paraId="2284DC62" w14:textId="77777777" w:rsidR="0066038E" w:rsidRPr="009667DE" w:rsidRDefault="0066038E" w:rsidP="003C5D5D">
            <w:proofErr w:type="spellStart"/>
            <w:r w:rsidRPr="009667DE">
              <w:lastRenderedPageBreak/>
              <w:t>Lp</w:t>
            </w:r>
            <w:proofErr w:type="spellEnd"/>
          </w:p>
        </w:tc>
        <w:tc>
          <w:tcPr>
            <w:tcW w:w="2003" w:type="dxa"/>
          </w:tcPr>
          <w:p w14:paraId="5E076C5F" w14:textId="77777777" w:rsidR="0066038E" w:rsidRPr="009667DE" w:rsidRDefault="0066038E" w:rsidP="003C5D5D">
            <w:r w:rsidRPr="009667DE">
              <w:t>Pole formularza</w:t>
            </w:r>
          </w:p>
        </w:tc>
        <w:tc>
          <w:tcPr>
            <w:tcW w:w="11198" w:type="dxa"/>
          </w:tcPr>
          <w:p w14:paraId="5DD5715F" w14:textId="77777777" w:rsidR="0066038E" w:rsidRPr="009667DE" w:rsidRDefault="0066038E" w:rsidP="003C5D5D">
            <w:r w:rsidRPr="009667DE">
              <w:t>Treść</w:t>
            </w:r>
          </w:p>
        </w:tc>
      </w:tr>
      <w:tr w:rsidR="0066038E" w:rsidRPr="009667DE" w14:paraId="4CDF7D97" w14:textId="77777777" w:rsidTr="003C5D5D">
        <w:tc>
          <w:tcPr>
            <w:tcW w:w="686" w:type="dxa"/>
          </w:tcPr>
          <w:p w14:paraId="0923E647" w14:textId="77777777" w:rsidR="0066038E" w:rsidRPr="009667DE" w:rsidRDefault="0066038E" w:rsidP="003C5D5D">
            <w:pPr>
              <w:pStyle w:val="Akapitzlist"/>
              <w:numPr>
                <w:ilvl w:val="0"/>
                <w:numId w:val="24"/>
              </w:numPr>
            </w:pPr>
          </w:p>
        </w:tc>
        <w:tc>
          <w:tcPr>
            <w:tcW w:w="2003" w:type="dxa"/>
          </w:tcPr>
          <w:p w14:paraId="4145DB4E" w14:textId="77777777" w:rsidR="0066038E" w:rsidRPr="009667DE" w:rsidRDefault="0066038E" w:rsidP="003C5D5D">
            <w:r w:rsidRPr="009667DE">
              <w:t>Imię</w:t>
            </w:r>
          </w:p>
        </w:tc>
        <w:tc>
          <w:tcPr>
            <w:tcW w:w="11198" w:type="dxa"/>
            <w:shd w:val="clear" w:color="auto" w:fill="D9D9D9" w:themeFill="background1" w:themeFillShade="D9"/>
          </w:tcPr>
          <w:p w14:paraId="2FFB0AF1" w14:textId="77777777" w:rsidR="0066038E" w:rsidRPr="009667DE" w:rsidRDefault="0066038E" w:rsidP="003C5D5D"/>
        </w:tc>
      </w:tr>
      <w:tr w:rsidR="0066038E" w:rsidRPr="009667DE" w14:paraId="7CFFA770" w14:textId="77777777" w:rsidTr="003C5D5D">
        <w:tc>
          <w:tcPr>
            <w:tcW w:w="686" w:type="dxa"/>
          </w:tcPr>
          <w:p w14:paraId="34E1F2FB" w14:textId="77777777" w:rsidR="0066038E" w:rsidRPr="009667DE" w:rsidRDefault="0066038E" w:rsidP="003C5D5D">
            <w:pPr>
              <w:pStyle w:val="Akapitzlist"/>
              <w:numPr>
                <w:ilvl w:val="0"/>
                <w:numId w:val="24"/>
              </w:numPr>
            </w:pPr>
          </w:p>
        </w:tc>
        <w:tc>
          <w:tcPr>
            <w:tcW w:w="2003" w:type="dxa"/>
          </w:tcPr>
          <w:p w14:paraId="5B335AF4" w14:textId="77777777" w:rsidR="0066038E" w:rsidRPr="009667DE" w:rsidRDefault="0066038E" w:rsidP="003C5D5D">
            <w:r w:rsidRPr="009667DE">
              <w:t>Nazwisko</w:t>
            </w:r>
          </w:p>
        </w:tc>
        <w:tc>
          <w:tcPr>
            <w:tcW w:w="11198" w:type="dxa"/>
            <w:shd w:val="clear" w:color="auto" w:fill="D9D9D9" w:themeFill="background1" w:themeFillShade="D9"/>
          </w:tcPr>
          <w:p w14:paraId="5C351F53" w14:textId="77777777" w:rsidR="0066038E" w:rsidRPr="009667DE" w:rsidRDefault="0066038E" w:rsidP="003C5D5D"/>
        </w:tc>
      </w:tr>
      <w:tr w:rsidR="0066038E" w:rsidRPr="009667DE" w14:paraId="7F82DF14" w14:textId="77777777" w:rsidTr="003C5D5D">
        <w:tc>
          <w:tcPr>
            <w:tcW w:w="686" w:type="dxa"/>
          </w:tcPr>
          <w:p w14:paraId="76C7704A" w14:textId="77777777" w:rsidR="0066038E" w:rsidRPr="009667DE" w:rsidRDefault="0066038E" w:rsidP="003C5D5D">
            <w:pPr>
              <w:pStyle w:val="Akapitzlist"/>
              <w:numPr>
                <w:ilvl w:val="0"/>
                <w:numId w:val="24"/>
              </w:numPr>
            </w:pPr>
          </w:p>
        </w:tc>
        <w:tc>
          <w:tcPr>
            <w:tcW w:w="2003" w:type="dxa"/>
          </w:tcPr>
          <w:p w14:paraId="5C2BC9C8" w14:textId="77777777" w:rsidR="0066038E" w:rsidRPr="009667DE" w:rsidRDefault="0066038E" w:rsidP="003C5D5D">
            <w:r w:rsidRPr="009667DE">
              <w:t>Instytucja</w:t>
            </w:r>
          </w:p>
        </w:tc>
        <w:tc>
          <w:tcPr>
            <w:tcW w:w="11198" w:type="dxa"/>
            <w:shd w:val="clear" w:color="auto" w:fill="D9D9D9" w:themeFill="background1" w:themeFillShade="D9"/>
          </w:tcPr>
          <w:p w14:paraId="16E8E416" w14:textId="77777777" w:rsidR="0066038E" w:rsidRPr="009667DE" w:rsidRDefault="0066038E" w:rsidP="003C5D5D"/>
        </w:tc>
      </w:tr>
      <w:tr w:rsidR="0066038E" w:rsidRPr="009667DE" w14:paraId="39E10BC1" w14:textId="77777777" w:rsidTr="003C5D5D">
        <w:tc>
          <w:tcPr>
            <w:tcW w:w="686" w:type="dxa"/>
          </w:tcPr>
          <w:p w14:paraId="5AB50038" w14:textId="77777777" w:rsidR="0066038E" w:rsidRPr="009667DE" w:rsidRDefault="0066038E" w:rsidP="003C5D5D">
            <w:pPr>
              <w:pStyle w:val="Akapitzlist"/>
              <w:numPr>
                <w:ilvl w:val="0"/>
                <w:numId w:val="24"/>
              </w:numPr>
            </w:pPr>
          </w:p>
        </w:tc>
        <w:tc>
          <w:tcPr>
            <w:tcW w:w="2003" w:type="dxa"/>
          </w:tcPr>
          <w:p w14:paraId="6CD64B38" w14:textId="77777777" w:rsidR="0066038E" w:rsidRPr="009667DE" w:rsidRDefault="0066038E" w:rsidP="003C5D5D">
            <w:r w:rsidRPr="009667DE">
              <w:t>Województwo</w:t>
            </w:r>
          </w:p>
        </w:tc>
        <w:tc>
          <w:tcPr>
            <w:tcW w:w="11198" w:type="dxa"/>
            <w:shd w:val="clear" w:color="auto" w:fill="D9D9D9" w:themeFill="background1" w:themeFillShade="D9"/>
          </w:tcPr>
          <w:p w14:paraId="74108C3E" w14:textId="77777777" w:rsidR="0066038E" w:rsidRPr="009667DE" w:rsidRDefault="0066038E" w:rsidP="003C5D5D"/>
        </w:tc>
      </w:tr>
      <w:tr w:rsidR="0066038E" w:rsidRPr="009667DE" w14:paraId="0E7F0820" w14:textId="77777777" w:rsidTr="003C5D5D">
        <w:tc>
          <w:tcPr>
            <w:tcW w:w="686" w:type="dxa"/>
          </w:tcPr>
          <w:p w14:paraId="098CADE1" w14:textId="77777777" w:rsidR="0066038E" w:rsidRPr="009667DE" w:rsidRDefault="0066038E" w:rsidP="003C5D5D">
            <w:pPr>
              <w:pStyle w:val="Akapitzlist"/>
              <w:numPr>
                <w:ilvl w:val="0"/>
                <w:numId w:val="24"/>
              </w:numPr>
            </w:pPr>
          </w:p>
        </w:tc>
        <w:tc>
          <w:tcPr>
            <w:tcW w:w="2003" w:type="dxa"/>
          </w:tcPr>
          <w:p w14:paraId="74F73E24" w14:textId="77777777" w:rsidR="0066038E" w:rsidRPr="009667DE" w:rsidRDefault="0066038E" w:rsidP="003C5D5D">
            <w:r w:rsidRPr="009667DE">
              <w:t>Część KPO</w:t>
            </w:r>
          </w:p>
        </w:tc>
        <w:tc>
          <w:tcPr>
            <w:tcW w:w="11198" w:type="dxa"/>
          </w:tcPr>
          <w:p w14:paraId="4C17EE21" w14:textId="77777777" w:rsidR="0066038E" w:rsidRPr="009667DE" w:rsidRDefault="0066038E" w:rsidP="003C5D5D">
            <w:r w:rsidRPr="009667DE">
              <w:t>Komponent E „Zielona, inteligentna mobilność”</w:t>
            </w:r>
          </w:p>
          <w:p w14:paraId="4D1735FD" w14:textId="77777777" w:rsidR="0066038E" w:rsidRPr="009667DE" w:rsidRDefault="0066038E" w:rsidP="003C5D5D">
            <w:pPr>
              <w:pStyle w:val="Default"/>
              <w:rPr>
                <w:color w:val="auto"/>
                <w:sz w:val="22"/>
                <w:szCs w:val="22"/>
              </w:rPr>
            </w:pPr>
            <w:r w:rsidRPr="009667DE">
              <w:rPr>
                <w:color w:val="auto"/>
                <w:sz w:val="22"/>
                <w:szCs w:val="22"/>
              </w:rPr>
              <w:t>9. Kamienie milowe, wskaźniki, harmonogram realizacji</w:t>
            </w:r>
          </w:p>
        </w:tc>
      </w:tr>
      <w:tr w:rsidR="0066038E" w:rsidRPr="009667DE" w14:paraId="33364B0E" w14:textId="77777777" w:rsidTr="003C5D5D">
        <w:tc>
          <w:tcPr>
            <w:tcW w:w="686" w:type="dxa"/>
          </w:tcPr>
          <w:p w14:paraId="3A67659A" w14:textId="77777777" w:rsidR="0066038E" w:rsidRPr="009667DE" w:rsidRDefault="0066038E" w:rsidP="003C5D5D">
            <w:pPr>
              <w:pStyle w:val="Akapitzlist"/>
              <w:numPr>
                <w:ilvl w:val="0"/>
                <w:numId w:val="24"/>
              </w:numPr>
            </w:pPr>
          </w:p>
        </w:tc>
        <w:tc>
          <w:tcPr>
            <w:tcW w:w="2003" w:type="dxa"/>
          </w:tcPr>
          <w:p w14:paraId="2BB1A4B5" w14:textId="77777777" w:rsidR="0066038E" w:rsidRPr="009667DE" w:rsidRDefault="0066038E" w:rsidP="003C5D5D">
            <w:r w:rsidRPr="009667DE">
              <w:t>Strona</w:t>
            </w:r>
          </w:p>
        </w:tc>
        <w:tc>
          <w:tcPr>
            <w:tcW w:w="11198" w:type="dxa"/>
          </w:tcPr>
          <w:p w14:paraId="59086C79" w14:textId="77777777" w:rsidR="0066038E" w:rsidRPr="009667DE" w:rsidRDefault="0066038E" w:rsidP="003C5D5D">
            <w:r w:rsidRPr="009667DE">
              <w:t>219</w:t>
            </w:r>
          </w:p>
        </w:tc>
      </w:tr>
      <w:tr w:rsidR="0066038E" w:rsidRPr="009667DE" w14:paraId="67B1CD3F" w14:textId="77777777" w:rsidTr="003C5D5D">
        <w:tc>
          <w:tcPr>
            <w:tcW w:w="686" w:type="dxa"/>
          </w:tcPr>
          <w:p w14:paraId="44EA1D8B" w14:textId="77777777" w:rsidR="0066038E" w:rsidRPr="009667DE" w:rsidRDefault="0066038E" w:rsidP="003C5D5D">
            <w:pPr>
              <w:pStyle w:val="Akapitzlist"/>
              <w:numPr>
                <w:ilvl w:val="0"/>
                <w:numId w:val="24"/>
              </w:numPr>
            </w:pPr>
          </w:p>
        </w:tc>
        <w:tc>
          <w:tcPr>
            <w:tcW w:w="2003" w:type="dxa"/>
          </w:tcPr>
          <w:p w14:paraId="647C45F2" w14:textId="77777777" w:rsidR="0066038E" w:rsidRPr="009667DE" w:rsidRDefault="0066038E" w:rsidP="003C5D5D">
            <w:r w:rsidRPr="009667DE">
              <w:t>Treść Uwagi</w:t>
            </w:r>
          </w:p>
        </w:tc>
        <w:tc>
          <w:tcPr>
            <w:tcW w:w="11198" w:type="dxa"/>
          </w:tcPr>
          <w:p w14:paraId="0E9436B3"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xml:space="preserve">Uzupełnienie o kwestie inwestycji w transport rowerowy. </w:t>
            </w:r>
          </w:p>
          <w:p w14:paraId="67032613" w14:textId="77777777" w:rsidR="0066038E" w:rsidRPr="009667DE" w:rsidRDefault="0066038E" w:rsidP="003C5D5D">
            <w:pPr>
              <w:autoSpaceDE w:val="0"/>
              <w:autoSpaceDN w:val="0"/>
              <w:adjustRightInd w:val="0"/>
              <w:rPr>
                <w:rFonts w:ascii="Calibri" w:hAnsi="Calibri" w:cs="Calibri"/>
              </w:rPr>
            </w:pPr>
          </w:p>
          <w:p w14:paraId="7ED897D1"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E1.1.3 „Wsparcie rozwoju infrastruktury rowerowej”</w:t>
            </w:r>
          </w:p>
          <w:p w14:paraId="564522DD" w14:textId="77777777" w:rsidR="0066038E" w:rsidRPr="009667DE" w:rsidRDefault="0066038E" w:rsidP="003C5D5D">
            <w:pPr>
              <w:autoSpaceDE w:val="0"/>
              <w:autoSpaceDN w:val="0"/>
              <w:adjustRightInd w:val="0"/>
              <w:rPr>
                <w:rFonts w:ascii="Calibri" w:hAnsi="Calibri" w:cs="Calibri"/>
              </w:rPr>
            </w:pPr>
          </w:p>
          <w:p w14:paraId="35574E87"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budowa 250 km dróg rowerowych – do I kw. 2026</w:t>
            </w:r>
          </w:p>
          <w:p w14:paraId="716C6D80"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wsparcie zakupu około 1000 elektrycznych rowerów towarowych – do I kw. 2026</w:t>
            </w:r>
          </w:p>
        </w:tc>
      </w:tr>
      <w:tr w:rsidR="0066038E" w:rsidRPr="009667DE" w14:paraId="13C5B782" w14:textId="77777777" w:rsidTr="003C5D5D">
        <w:tc>
          <w:tcPr>
            <w:tcW w:w="686" w:type="dxa"/>
          </w:tcPr>
          <w:p w14:paraId="2B1BCC92" w14:textId="77777777" w:rsidR="0066038E" w:rsidRPr="009667DE" w:rsidRDefault="0066038E" w:rsidP="003C5D5D">
            <w:pPr>
              <w:pStyle w:val="Akapitzlist"/>
              <w:numPr>
                <w:ilvl w:val="0"/>
                <w:numId w:val="24"/>
              </w:numPr>
            </w:pPr>
          </w:p>
        </w:tc>
        <w:tc>
          <w:tcPr>
            <w:tcW w:w="2003" w:type="dxa"/>
          </w:tcPr>
          <w:p w14:paraId="6483B8FB" w14:textId="77777777" w:rsidR="0066038E" w:rsidRPr="009667DE" w:rsidRDefault="0066038E" w:rsidP="003C5D5D">
            <w:r w:rsidRPr="009667DE">
              <w:t>Uzasadnienie uwagi</w:t>
            </w:r>
          </w:p>
        </w:tc>
        <w:tc>
          <w:tcPr>
            <w:tcW w:w="11198" w:type="dxa"/>
          </w:tcPr>
          <w:p w14:paraId="2C5C5B03" w14:textId="77777777" w:rsidR="0066038E" w:rsidRPr="009667DE" w:rsidRDefault="0066038E" w:rsidP="003C5D5D">
            <w:pPr>
              <w:autoSpaceDE w:val="0"/>
              <w:autoSpaceDN w:val="0"/>
              <w:adjustRightInd w:val="0"/>
            </w:pPr>
            <w:r w:rsidRPr="009667DE">
              <w:t>Transport rowerowy w pełni przyczynia się do realizacji celów środowiskowych i klimatycznych poprzez redukcję emisji substancji szkodliwych i hałasu. Jednocześnie korzystnie wpływa na odporność populacji w sytuacji pandemii ze względu na możliwość zachowania dystansu społecznego i korzystny wpływ na zdrowie populacji.</w:t>
            </w:r>
          </w:p>
          <w:p w14:paraId="6E1C5628" w14:textId="77777777" w:rsidR="0066038E" w:rsidRPr="009667DE" w:rsidRDefault="0066038E" w:rsidP="003C5D5D">
            <w:pPr>
              <w:autoSpaceDE w:val="0"/>
              <w:autoSpaceDN w:val="0"/>
              <w:adjustRightInd w:val="0"/>
            </w:pPr>
          </w:p>
          <w:p w14:paraId="50223517"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4B5B973C" w14:textId="77777777" w:rsidR="0066038E" w:rsidRPr="009667DE" w:rsidRDefault="0066038E" w:rsidP="003C5D5D"/>
        </w:tc>
      </w:tr>
    </w:tbl>
    <w:p w14:paraId="231DC07C" w14:textId="77777777" w:rsidR="0066038E" w:rsidRPr="009667DE" w:rsidRDefault="0066038E" w:rsidP="0066038E"/>
    <w:p w14:paraId="476E08BF" w14:textId="77777777" w:rsidR="0066038E" w:rsidRPr="009667DE" w:rsidRDefault="0066038E" w:rsidP="0066038E">
      <w:r w:rsidRPr="009667DE">
        <w:br w:type="column"/>
      </w:r>
    </w:p>
    <w:tbl>
      <w:tblPr>
        <w:tblStyle w:val="Tabela-Siatka"/>
        <w:tblW w:w="0" w:type="auto"/>
        <w:tblLook w:val="04A0" w:firstRow="1" w:lastRow="0" w:firstColumn="1" w:lastColumn="0" w:noHBand="0" w:noVBand="1"/>
      </w:tblPr>
      <w:tblGrid>
        <w:gridCol w:w="686"/>
        <w:gridCol w:w="2003"/>
        <w:gridCol w:w="11198"/>
      </w:tblGrid>
      <w:tr w:rsidR="0066038E" w:rsidRPr="009667DE" w14:paraId="2E39B448" w14:textId="77777777" w:rsidTr="003C5D5D">
        <w:tc>
          <w:tcPr>
            <w:tcW w:w="686" w:type="dxa"/>
          </w:tcPr>
          <w:p w14:paraId="63526DF6" w14:textId="77777777" w:rsidR="0066038E" w:rsidRPr="009667DE" w:rsidRDefault="0066038E" w:rsidP="003C5D5D">
            <w:proofErr w:type="spellStart"/>
            <w:r w:rsidRPr="009667DE">
              <w:t>Lp</w:t>
            </w:r>
            <w:proofErr w:type="spellEnd"/>
          </w:p>
        </w:tc>
        <w:tc>
          <w:tcPr>
            <w:tcW w:w="2003" w:type="dxa"/>
          </w:tcPr>
          <w:p w14:paraId="6C5169C1" w14:textId="77777777" w:rsidR="0066038E" w:rsidRPr="009667DE" w:rsidRDefault="0066038E" w:rsidP="003C5D5D">
            <w:r w:rsidRPr="009667DE">
              <w:t>Pole formularza</w:t>
            </w:r>
          </w:p>
        </w:tc>
        <w:tc>
          <w:tcPr>
            <w:tcW w:w="11198" w:type="dxa"/>
          </w:tcPr>
          <w:p w14:paraId="0A5306D4" w14:textId="77777777" w:rsidR="0066038E" w:rsidRPr="009667DE" w:rsidRDefault="0066038E" w:rsidP="003C5D5D">
            <w:r w:rsidRPr="009667DE">
              <w:t>Treść</w:t>
            </w:r>
          </w:p>
        </w:tc>
      </w:tr>
      <w:tr w:rsidR="0066038E" w:rsidRPr="009667DE" w14:paraId="31BF9955" w14:textId="77777777" w:rsidTr="003C5D5D">
        <w:tc>
          <w:tcPr>
            <w:tcW w:w="686" w:type="dxa"/>
          </w:tcPr>
          <w:p w14:paraId="76C5E9A5" w14:textId="77777777" w:rsidR="0066038E" w:rsidRPr="009667DE" w:rsidRDefault="0066038E" w:rsidP="003C5D5D">
            <w:pPr>
              <w:pStyle w:val="Akapitzlist"/>
              <w:numPr>
                <w:ilvl w:val="0"/>
                <w:numId w:val="25"/>
              </w:numPr>
            </w:pPr>
          </w:p>
        </w:tc>
        <w:tc>
          <w:tcPr>
            <w:tcW w:w="2003" w:type="dxa"/>
          </w:tcPr>
          <w:p w14:paraId="21A167B0" w14:textId="77777777" w:rsidR="0066038E" w:rsidRPr="009667DE" w:rsidRDefault="0066038E" w:rsidP="003C5D5D">
            <w:r w:rsidRPr="009667DE">
              <w:t>Imię</w:t>
            </w:r>
          </w:p>
        </w:tc>
        <w:tc>
          <w:tcPr>
            <w:tcW w:w="11198" w:type="dxa"/>
            <w:shd w:val="clear" w:color="auto" w:fill="D9D9D9" w:themeFill="background1" w:themeFillShade="D9"/>
          </w:tcPr>
          <w:p w14:paraId="48139172" w14:textId="77777777" w:rsidR="0066038E" w:rsidRPr="009667DE" w:rsidRDefault="0066038E" w:rsidP="003C5D5D"/>
        </w:tc>
      </w:tr>
      <w:tr w:rsidR="0066038E" w:rsidRPr="009667DE" w14:paraId="13C03760" w14:textId="77777777" w:rsidTr="003C5D5D">
        <w:tc>
          <w:tcPr>
            <w:tcW w:w="686" w:type="dxa"/>
          </w:tcPr>
          <w:p w14:paraId="1E6A2055" w14:textId="77777777" w:rsidR="0066038E" w:rsidRPr="009667DE" w:rsidRDefault="0066038E" w:rsidP="003C5D5D">
            <w:pPr>
              <w:pStyle w:val="Akapitzlist"/>
              <w:numPr>
                <w:ilvl w:val="0"/>
                <w:numId w:val="25"/>
              </w:numPr>
            </w:pPr>
          </w:p>
        </w:tc>
        <w:tc>
          <w:tcPr>
            <w:tcW w:w="2003" w:type="dxa"/>
          </w:tcPr>
          <w:p w14:paraId="6867172C" w14:textId="77777777" w:rsidR="0066038E" w:rsidRPr="009667DE" w:rsidRDefault="0066038E" w:rsidP="003C5D5D">
            <w:r w:rsidRPr="009667DE">
              <w:t>Nazwisko</w:t>
            </w:r>
          </w:p>
        </w:tc>
        <w:tc>
          <w:tcPr>
            <w:tcW w:w="11198" w:type="dxa"/>
            <w:shd w:val="clear" w:color="auto" w:fill="D9D9D9" w:themeFill="background1" w:themeFillShade="D9"/>
          </w:tcPr>
          <w:p w14:paraId="55F0D8F6" w14:textId="77777777" w:rsidR="0066038E" w:rsidRPr="009667DE" w:rsidRDefault="0066038E" w:rsidP="003C5D5D"/>
        </w:tc>
      </w:tr>
      <w:tr w:rsidR="0066038E" w:rsidRPr="009667DE" w14:paraId="5ED4DF43" w14:textId="77777777" w:rsidTr="003C5D5D">
        <w:tc>
          <w:tcPr>
            <w:tcW w:w="686" w:type="dxa"/>
          </w:tcPr>
          <w:p w14:paraId="501927D4" w14:textId="77777777" w:rsidR="0066038E" w:rsidRPr="009667DE" w:rsidRDefault="0066038E" w:rsidP="003C5D5D">
            <w:pPr>
              <w:pStyle w:val="Akapitzlist"/>
              <w:numPr>
                <w:ilvl w:val="0"/>
                <w:numId w:val="25"/>
              </w:numPr>
            </w:pPr>
          </w:p>
        </w:tc>
        <w:tc>
          <w:tcPr>
            <w:tcW w:w="2003" w:type="dxa"/>
          </w:tcPr>
          <w:p w14:paraId="7019D491" w14:textId="77777777" w:rsidR="0066038E" w:rsidRPr="009667DE" w:rsidRDefault="0066038E" w:rsidP="003C5D5D">
            <w:r w:rsidRPr="009667DE">
              <w:t>Instytucja</w:t>
            </w:r>
          </w:p>
        </w:tc>
        <w:tc>
          <w:tcPr>
            <w:tcW w:w="11198" w:type="dxa"/>
            <w:shd w:val="clear" w:color="auto" w:fill="D9D9D9" w:themeFill="background1" w:themeFillShade="D9"/>
          </w:tcPr>
          <w:p w14:paraId="29FCB5BD" w14:textId="77777777" w:rsidR="0066038E" w:rsidRPr="009667DE" w:rsidRDefault="0066038E" w:rsidP="003C5D5D"/>
        </w:tc>
      </w:tr>
      <w:tr w:rsidR="0066038E" w:rsidRPr="009667DE" w14:paraId="3C58DC17" w14:textId="77777777" w:rsidTr="003C5D5D">
        <w:tc>
          <w:tcPr>
            <w:tcW w:w="686" w:type="dxa"/>
          </w:tcPr>
          <w:p w14:paraId="2785F1BF" w14:textId="77777777" w:rsidR="0066038E" w:rsidRPr="009667DE" w:rsidRDefault="0066038E" w:rsidP="003C5D5D">
            <w:pPr>
              <w:pStyle w:val="Akapitzlist"/>
              <w:numPr>
                <w:ilvl w:val="0"/>
                <w:numId w:val="25"/>
              </w:numPr>
            </w:pPr>
          </w:p>
        </w:tc>
        <w:tc>
          <w:tcPr>
            <w:tcW w:w="2003" w:type="dxa"/>
          </w:tcPr>
          <w:p w14:paraId="5897EF26" w14:textId="77777777" w:rsidR="0066038E" w:rsidRPr="009667DE" w:rsidRDefault="0066038E" w:rsidP="003C5D5D">
            <w:r w:rsidRPr="009667DE">
              <w:t>Województwo</w:t>
            </w:r>
          </w:p>
        </w:tc>
        <w:tc>
          <w:tcPr>
            <w:tcW w:w="11198" w:type="dxa"/>
            <w:shd w:val="clear" w:color="auto" w:fill="D9D9D9" w:themeFill="background1" w:themeFillShade="D9"/>
          </w:tcPr>
          <w:p w14:paraId="57BE5893" w14:textId="77777777" w:rsidR="0066038E" w:rsidRPr="009667DE" w:rsidRDefault="0066038E" w:rsidP="003C5D5D"/>
        </w:tc>
      </w:tr>
      <w:tr w:rsidR="0066038E" w:rsidRPr="009667DE" w14:paraId="207E4997" w14:textId="77777777" w:rsidTr="003C5D5D">
        <w:tc>
          <w:tcPr>
            <w:tcW w:w="686" w:type="dxa"/>
          </w:tcPr>
          <w:p w14:paraId="38002C48" w14:textId="77777777" w:rsidR="0066038E" w:rsidRPr="009667DE" w:rsidRDefault="0066038E" w:rsidP="003C5D5D">
            <w:pPr>
              <w:pStyle w:val="Akapitzlist"/>
              <w:numPr>
                <w:ilvl w:val="0"/>
                <w:numId w:val="25"/>
              </w:numPr>
            </w:pPr>
          </w:p>
        </w:tc>
        <w:tc>
          <w:tcPr>
            <w:tcW w:w="2003" w:type="dxa"/>
          </w:tcPr>
          <w:p w14:paraId="79AF9C65" w14:textId="77777777" w:rsidR="0066038E" w:rsidRPr="009667DE" w:rsidRDefault="0066038E" w:rsidP="003C5D5D">
            <w:r w:rsidRPr="009667DE">
              <w:t>Część KPO</w:t>
            </w:r>
          </w:p>
        </w:tc>
        <w:tc>
          <w:tcPr>
            <w:tcW w:w="11198" w:type="dxa"/>
          </w:tcPr>
          <w:p w14:paraId="610FD184" w14:textId="77777777" w:rsidR="0066038E" w:rsidRPr="009667DE" w:rsidRDefault="0066038E" w:rsidP="003C5D5D">
            <w:r w:rsidRPr="009667DE">
              <w:t>Komponent E „Zielona, inteligentna mobilność”</w:t>
            </w:r>
          </w:p>
          <w:p w14:paraId="36E5947D" w14:textId="77777777" w:rsidR="0066038E" w:rsidRPr="009667DE" w:rsidRDefault="0066038E" w:rsidP="003C5D5D">
            <w:pPr>
              <w:pStyle w:val="Default"/>
              <w:rPr>
                <w:color w:val="auto"/>
                <w:sz w:val="22"/>
                <w:szCs w:val="22"/>
              </w:rPr>
            </w:pPr>
            <w:r w:rsidRPr="009667DE">
              <w:rPr>
                <w:color w:val="auto"/>
                <w:sz w:val="22"/>
                <w:szCs w:val="22"/>
              </w:rPr>
              <w:t>9. Kamienie milowe, wskaźniki, harmonogram realizacji</w:t>
            </w:r>
          </w:p>
        </w:tc>
      </w:tr>
      <w:tr w:rsidR="0066038E" w:rsidRPr="009667DE" w14:paraId="5C1417E7" w14:textId="77777777" w:rsidTr="003C5D5D">
        <w:tc>
          <w:tcPr>
            <w:tcW w:w="686" w:type="dxa"/>
          </w:tcPr>
          <w:p w14:paraId="27D9F8F4" w14:textId="77777777" w:rsidR="0066038E" w:rsidRPr="009667DE" w:rsidRDefault="0066038E" w:rsidP="003C5D5D">
            <w:pPr>
              <w:pStyle w:val="Akapitzlist"/>
              <w:numPr>
                <w:ilvl w:val="0"/>
                <w:numId w:val="25"/>
              </w:numPr>
            </w:pPr>
          </w:p>
        </w:tc>
        <w:tc>
          <w:tcPr>
            <w:tcW w:w="2003" w:type="dxa"/>
          </w:tcPr>
          <w:p w14:paraId="70306CF9" w14:textId="77777777" w:rsidR="0066038E" w:rsidRPr="009667DE" w:rsidRDefault="0066038E" w:rsidP="003C5D5D">
            <w:r w:rsidRPr="009667DE">
              <w:t>Strona</w:t>
            </w:r>
          </w:p>
        </w:tc>
        <w:tc>
          <w:tcPr>
            <w:tcW w:w="11198" w:type="dxa"/>
          </w:tcPr>
          <w:p w14:paraId="0CD17F7A" w14:textId="77777777" w:rsidR="0066038E" w:rsidRPr="009667DE" w:rsidRDefault="0066038E" w:rsidP="003C5D5D">
            <w:r w:rsidRPr="009667DE">
              <w:t>219, 220</w:t>
            </w:r>
          </w:p>
        </w:tc>
      </w:tr>
      <w:tr w:rsidR="0066038E" w:rsidRPr="009667DE" w14:paraId="5CFD3163" w14:textId="77777777" w:rsidTr="003C5D5D">
        <w:tc>
          <w:tcPr>
            <w:tcW w:w="686" w:type="dxa"/>
          </w:tcPr>
          <w:p w14:paraId="09E5D5AF" w14:textId="77777777" w:rsidR="0066038E" w:rsidRPr="009667DE" w:rsidRDefault="0066038E" w:rsidP="003C5D5D">
            <w:pPr>
              <w:pStyle w:val="Akapitzlist"/>
              <w:numPr>
                <w:ilvl w:val="0"/>
                <w:numId w:val="25"/>
              </w:numPr>
            </w:pPr>
          </w:p>
        </w:tc>
        <w:tc>
          <w:tcPr>
            <w:tcW w:w="2003" w:type="dxa"/>
          </w:tcPr>
          <w:p w14:paraId="5143491B" w14:textId="77777777" w:rsidR="0066038E" w:rsidRPr="009667DE" w:rsidRDefault="0066038E" w:rsidP="003C5D5D">
            <w:r w:rsidRPr="009667DE">
              <w:t>Treść Uwagi</w:t>
            </w:r>
          </w:p>
        </w:tc>
        <w:tc>
          <w:tcPr>
            <w:tcW w:w="11198" w:type="dxa"/>
          </w:tcPr>
          <w:p w14:paraId="1D5862EF"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xml:space="preserve">Uzupełnienie o kwestie inwestycji w transport rowerowy. </w:t>
            </w:r>
          </w:p>
          <w:p w14:paraId="62D8214C" w14:textId="77777777" w:rsidR="0066038E" w:rsidRPr="009667DE" w:rsidRDefault="0066038E" w:rsidP="003C5D5D">
            <w:pPr>
              <w:autoSpaceDE w:val="0"/>
              <w:autoSpaceDN w:val="0"/>
              <w:adjustRightInd w:val="0"/>
              <w:rPr>
                <w:rFonts w:ascii="Calibri" w:hAnsi="Calibri" w:cs="Calibri"/>
              </w:rPr>
            </w:pPr>
          </w:p>
          <w:p w14:paraId="18823C79"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E1.1.3 „Wsparcie rozwoju infrastruktury rowerowej”</w:t>
            </w:r>
          </w:p>
          <w:p w14:paraId="5756BBF5" w14:textId="77777777" w:rsidR="0066038E" w:rsidRPr="009667DE" w:rsidRDefault="0066038E" w:rsidP="003C5D5D">
            <w:pPr>
              <w:autoSpaceDE w:val="0"/>
              <w:autoSpaceDN w:val="0"/>
              <w:adjustRightInd w:val="0"/>
              <w:rPr>
                <w:rFonts w:ascii="Calibri" w:hAnsi="Calibri" w:cs="Calibri"/>
              </w:rPr>
            </w:pPr>
          </w:p>
          <w:p w14:paraId="35758337"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budowa 250 km dróg rowerowych – do I kw. 2026</w:t>
            </w:r>
          </w:p>
          <w:p w14:paraId="7837AD51"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 wsparcie zakupu 1000 rowerów towarowych – do I kw. 2026</w:t>
            </w:r>
          </w:p>
          <w:p w14:paraId="0B01028D" w14:textId="77777777" w:rsidR="0066038E" w:rsidRPr="009667DE" w:rsidRDefault="0066038E" w:rsidP="003C5D5D">
            <w:pPr>
              <w:autoSpaceDE w:val="0"/>
              <w:autoSpaceDN w:val="0"/>
              <w:adjustRightInd w:val="0"/>
              <w:rPr>
                <w:rFonts w:ascii="Calibri" w:hAnsi="Calibri" w:cs="Calibri"/>
              </w:rPr>
            </w:pPr>
          </w:p>
          <w:p w14:paraId="40CB9418" w14:textId="77777777" w:rsidR="0066038E" w:rsidRPr="009667DE" w:rsidRDefault="0066038E" w:rsidP="003C5D5D">
            <w:pPr>
              <w:autoSpaceDE w:val="0"/>
              <w:autoSpaceDN w:val="0"/>
              <w:adjustRightInd w:val="0"/>
              <w:rPr>
                <w:rFonts w:ascii="Calibri" w:hAnsi="Calibri" w:cs="Calibri"/>
              </w:rPr>
            </w:pPr>
            <w:r w:rsidRPr="009667DE">
              <w:rPr>
                <w:rFonts w:ascii="Calibri" w:hAnsi="Calibri" w:cs="Calibri"/>
              </w:rPr>
              <w:t>Oraz analogicznego zapisu w matrycy. Za realizację wskaźnika odpowiedzialne będzie MI.</w:t>
            </w:r>
          </w:p>
        </w:tc>
      </w:tr>
      <w:tr w:rsidR="0066038E" w:rsidRPr="009667DE" w14:paraId="11D22C72" w14:textId="77777777" w:rsidTr="003C5D5D">
        <w:tc>
          <w:tcPr>
            <w:tcW w:w="686" w:type="dxa"/>
          </w:tcPr>
          <w:p w14:paraId="785C868B" w14:textId="77777777" w:rsidR="0066038E" w:rsidRPr="009667DE" w:rsidRDefault="0066038E" w:rsidP="003C5D5D">
            <w:pPr>
              <w:pStyle w:val="Akapitzlist"/>
              <w:numPr>
                <w:ilvl w:val="0"/>
                <w:numId w:val="25"/>
              </w:numPr>
            </w:pPr>
          </w:p>
        </w:tc>
        <w:tc>
          <w:tcPr>
            <w:tcW w:w="2003" w:type="dxa"/>
          </w:tcPr>
          <w:p w14:paraId="10A26BB3" w14:textId="77777777" w:rsidR="0066038E" w:rsidRPr="009667DE" w:rsidRDefault="0066038E" w:rsidP="003C5D5D">
            <w:r w:rsidRPr="009667DE">
              <w:t>Uzasadnienie uwagi</w:t>
            </w:r>
          </w:p>
        </w:tc>
        <w:tc>
          <w:tcPr>
            <w:tcW w:w="11198" w:type="dxa"/>
          </w:tcPr>
          <w:p w14:paraId="420A6667" w14:textId="77777777" w:rsidR="0066038E" w:rsidRPr="009667DE" w:rsidRDefault="0066038E" w:rsidP="003C5D5D">
            <w:pPr>
              <w:autoSpaceDE w:val="0"/>
              <w:autoSpaceDN w:val="0"/>
              <w:adjustRightInd w:val="0"/>
            </w:pPr>
            <w:r w:rsidRPr="009667DE">
              <w:t>Transport rowerowy w pełni przyczynia się do realizacji celów środowiskowych i klimatycznych poprzez redukcję emisji substancji szkodliwych i hałasu. Jednocześnie korzystnie wpływa na odporność populacji w sytuacji pandemii ze względu na możliwość zachowania dystansu społecznego i korzystny wpływ na zdrowie populacji.</w:t>
            </w:r>
          </w:p>
          <w:p w14:paraId="240755FC" w14:textId="77777777" w:rsidR="0066038E" w:rsidRPr="009667DE" w:rsidRDefault="0066038E" w:rsidP="003C5D5D">
            <w:pPr>
              <w:autoSpaceDE w:val="0"/>
              <w:autoSpaceDN w:val="0"/>
              <w:adjustRightInd w:val="0"/>
            </w:pPr>
          </w:p>
          <w:p w14:paraId="487A72D9" w14:textId="77777777" w:rsidR="0066038E" w:rsidRPr="009667DE" w:rsidRDefault="0066038E" w:rsidP="003C5D5D">
            <w:r w:rsidRPr="009667DE">
              <w:t>W kontekście wyzwań, jakie przyniosła pandemia COVID-19 jest nie tylko zapewnienie niskoemisyjnego, ale także bezpiecznego z punktu widzenia zachowania dystansu społecznego transportu. 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w:t>
            </w:r>
          </w:p>
          <w:p w14:paraId="1C94C18E" w14:textId="77777777" w:rsidR="0066038E" w:rsidRPr="009667DE" w:rsidRDefault="0066038E" w:rsidP="003C5D5D"/>
        </w:tc>
      </w:tr>
    </w:tbl>
    <w:p w14:paraId="60C87D8A" w14:textId="119AD370" w:rsidR="00B64D84" w:rsidRDefault="00B64D84" w:rsidP="0066038E"/>
    <w:p w14:paraId="367082DF" w14:textId="23D983A8" w:rsidR="00B64D84" w:rsidRDefault="00B64D84" w:rsidP="00387C72"/>
    <w:p w14:paraId="6A9C83F1" w14:textId="117EB26F" w:rsidR="0066038E" w:rsidRDefault="0066038E" w:rsidP="00387C72"/>
    <w:p w14:paraId="449005CB" w14:textId="643B22CC" w:rsidR="0066038E" w:rsidRDefault="0066038E" w:rsidP="00387C72"/>
    <w:p w14:paraId="4BB2D515" w14:textId="5A2081F4" w:rsidR="0066038E" w:rsidRPr="0066038E" w:rsidRDefault="0066038E" w:rsidP="00387C72">
      <w:pPr>
        <w:rPr>
          <w:b/>
          <w:bCs/>
          <w:sz w:val="24"/>
          <w:szCs w:val="24"/>
        </w:rPr>
      </w:pPr>
      <w:r w:rsidRPr="0060140C">
        <w:rPr>
          <w:b/>
          <w:bCs/>
          <w:sz w:val="24"/>
          <w:szCs w:val="24"/>
          <w:highlight w:val="yellow"/>
        </w:rPr>
        <w:t>CZĘŚĆ 2 – WPISUJEMY JAKO UWAGI OGÓLNE – Przykład:</w:t>
      </w:r>
    </w:p>
    <w:p w14:paraId="3432ED95" w14:textId="20D13A4F" w:rsidR="0066038E" w:rsidRDefault="0066038E" w:rsidP="00387C72"/>
    <w:p w14:paraId="6EB3F8B1" w14:textId="77777777" w:rsidR="0066038E" w:rsidRPr="009667DE" w:rsidRDefault="0066038E" w:rsidP="0066038E">
      <w:r w:rsidRPr="009667DE">
        <w:t>ZGŁASZAM UWAGĘ OGÓLNĄ</w:t>
      </w:r>
    </w:p>
    <w:tbl>
      <w:tblPr>
        <w:tblStyle w:val="Tabela-Siatka"/>
        <w:tblW w:w="0" w:type="auto"/>
        <w:tblLook w:val="04A0" w:firstRow="1" w:lastRow="0" w:firstColumn="1" w:lastColumn="0" w:noHBand="0" w:noVBand="1"/>
      </w:tblPr>
      <w:tblGrid>
        <w:gridCol w:w="686"/>
        <w:gridCol w:w="2003"/>
        <w:gridCol w:w="11198"/>
      </w:tblGrid>
      <w:tr w:rsidR="0066038E" w:rsidRPr="009667DE" w14:paraId="7733BD47" w14:textId="77777777" w:rsidTr="0066038E">
        <w:tc>
          <w:tcPr>
            <w:tcW w:w="686" w:type="dxa"/>
          </w:tcPr>
          <w:p w14:paraId="09588D33" w14:textId="77777777" w:rsidR="0066038E" w:rsidRPr="009667DE" w:rsidRDefault="0066038E" w:rsidP="003C5D5D">
            <w:pPr>
              <w:pStyle w:val="Akapitzlist"/>
              <w:numPr>
                <w:ilvl w:val="0"/>
                <w:numId w:val="2"/>
              </w:numPr>
            </w:pPr>
          </w:p>
        </w:tc>
        <w:tc>
          <w:tcPr>
            <w:tcW w:w="2003" w:type="dxa"/>
          </w:tcPr>
          <w:p w14:paraId="252D8A69" w14:textId="77777777" w:rsidR="0066038E" w:rsidRPr="009667DE" w:rsidRDefault="0066038E" w:rsidP="003C5D5D">
            <w:r w:rsidRPr="009667DE">
              <w:t>Treść Uwagi</w:t>
            </w:r>
          </w:p>
        </w:tc>
        <w:tc>
          <w:tcPr>
            <w:tcW w:w="11198" w:type="dxa"/>
          </w:tcPr>
          <w:p w14:paraId="4B90C0F3" w14:textId="77777777" w:rsidR="0066038E" w:rsidRDefault="0066038E" w:rsidP="003C5D5D">
            <w:r>
              <w:t>Część KPO</w:t>
            </w:r>
          </w:p>
          <w:p w14:paraId="3C595CE2" w14:textId="77777777" w:rsidR="0066038E" w:rsidRDefault="0066038E" w:rsidP="003C5D5D"/>
          <w:p w14:paraId="7D359E6D" w14:textId="77777777" w:rsidR="0066038E" w:rsidRDefault="0066038E" w:rsidP="003C5D5D">
            <w:r>
              <w:t>Strony</w:t>
            </w:r>
          </w:p>
          <w:p w14:paraId="1305DDB1" w14:textId="77777777" w:rsidR="0066038E" w:rsidRDefault="0066038E" w:rsidP="003C5D5D"/>
          <w:p w14:paraId="5F23B06A" w14:textId="41D46B17" w:rsidR="0066038E" w:rsidRPr="009667DE" w:rsidRDefault="0066038E" w:rsidP="003C5D5D">
            <w:r>
              <w:t>Treść uwagi</w:t>
            </w:r>
          </w:p>
        </w:tc>
      </w:tr>
      <w:tr w:rsidR="0066038E" w:rsidRPr="009667DE" w14:paraId="2579F3C1" w14:textId="77777777" w:rsidTr="0066038E">
        <w:tc>
          <w:tcPr>
            <w:tcW w:w="686" w:type="dxa"/>
          </w:tcPr>
          <w:p w14:paraId="16F146C7" w14:textId="77777777" w:rsidR="0066038E" w:rsidRPr="009667DE" w:rsidRDefault="0066038E" w:rsidP="003C5D5D">
            <w:pPr>
              <w:pStyle w:val="Akapitzlist"/>
              <w:numPr>
                <w:ilvl w:val="0"/>
                <w:numId w:val="2"/>
              </w:numPr>
            </w:pPr>
          </w:p>
        </w:tc>
        <w:tc>
          <w:tcPr>
            <w:tcW w:w="2003" w:type="dxa"/>
          </w:tcPr>
          <w:p w14:paraId="41350F0B" w14:textId="77777777" w:rsidR="0066038E" w:rsidRPr="009667DE" w:rsidRDefault="0066038E" w:rsidP="003C5D5D">
            <w:r w:rsidRPr="009667DE">
              <w:t>Uzasadnienie uwagi</w:t>
            </w:r>
          </w:p>
        </w:tc>
        <w:tc>
          <w:tcPr>
            <w:tcW w:w="11198" w:type="dxa"/>
          </w:tcPr>
          <w:p w14:paraId="14E3A531" w14:textId="77777777" w:rsidR="0066038E" w:rsidRDefault="0066038E" w:rsidP="003C5D5D">
            <w:r>
              <w:t>Uzasadnienie</w:t>
            </w:r>
          </w:p>
          <w:p w14:paraId="2B8EEF2A" w14:textId="737970A7" w:rsidR="0066038E" w:rsidRPr="009667DE" w:rsidRDefault="0066038E" w:rsidP="003C5D5D"/>
        </w:tc>
      </w:tr>
    </w:tbl>
    <w:p w14:paraId="31BCAC14" w14:textId="77777777" w:rsidR="0066038E" w:rsidRDefault="0066038E" w:rsidP="00387C72"/>
    <w:p w14:paraId="21707064" w14:textId="77777777" w:rsidR="00B64D84" w:rsidRPr="009667DE" w:rsidRDefault="00B64D84" w:rsidP="00387C72"/>
    <w:tbl>
      <w:tblPr>
        <w:tblStyle w:val="Tabela-Siatka"/>
        <w:tblW w:w="0" w:type="auto"/>
        <w:tblLook w:val="04A0" w:firstRow="1" w:lastRow="0" w:firstColumn="1" w:lastColumn="0" w:noHBand="0" w:noVBand="1"/>
      </w:tblPr>
      <w:tblGrid>
        <w:gridCol w:w="686"/>
        <w:gridCol w:w="2003"/>
        <w:gridCol w:w="11198"/>
      </w:tblGrid>
      <w:tr w:rsidR="009667DE" w:rsidRPr="009667DE" w14:paraId="13E6A9C9" w14:textId="77777777" w:rsidTr="0019354B">
        <w:tc>
          <w:tcPr>
            <w:tcW w:w="686" w:type="dxa"/>
          </w:tcPr>
          <w:p w14:paraId="0DDDE688" w14:textId="3E32A0E4" w:rsidR="00B31AD9" w:rsidRPr="009667DE" w:rsidRDefault="00B31AD9">
            <w:proofErr w:type="spellStart"/>
            <w:r w:rsidRPr="009667DE">
              <w:t>Lp</w:t>
            </w:r>
            <w:proofErr w:type="spellEnd"/>
          </w:p>
        </w:tc>
        <w:tc>
          <w:tcPr>
            <w:tcW w:w="2003" w:type="dxa"/>
          </w:tcPr>
          <w:p w14:paraId="14E1958C" w14:textId="6FFBB3CD" w:rsidR="00B31AD9" w:rsidRPr="009667DE" w:rsidRDefault="00B31AD9">
            <w:r w:rsidRPr="009667DE">
              <w:t>Pole formularza</w:t>
            </w:r>
          </w:p>
        </w:tc>
        <w:tc>
          <w:tcPr>
            <w:tcW w:w="11198" w:type="dxa"/>
          </w:tcPr>
          <w:p w14:paraId="2D32E0CB" w14:textId="39758888" w:rsidR="00B31AD9" w:rsidRPr="009667DE" w:rsidRDefault="00B31AD9">
            <w:r w:rsidRPr="009667DE">
              <w:t>Treść</w:t>
            </w:r>
          </w:p>
        </w:tc>
      </w:tr>
      <w:tr w:rsidR="009667DE" w:rsidRPr="009667DE" w14:paraId="2D2FF4D3" w14:textId="77777777" w:rsidTr="00AC7093">
        <w:tc>
          <w:tcPr>
            <w:tcW w:w="686" w:type="dxa"/>
          </w:tcPr>
          <w:p w14:paraId="130C35ED" w14:textId="77777777" w:rsidR="00B31AD9" w:rsidRPr="009667DE" w:rsidRDefault="00B31AD9" w:rsidP="00B31AD9">
            <w:pPr>
              <w:pStyle w:val="Akapitzlist"/>
              <w:numPr>
                <w:ilvl w:val="0"/>
                <w:numId w:val="1"/>
              </w:numPr>
            </w:pPr>
          </w:p>
        </w:tc>
        <w:tc>
          <w:tcPr>
            <w:tcW w:w="2003" w:type="dxa"/>
          </w:tcPr>
          <w:p w14:paraId="567D7786" w14:textId="601BAB5B" w:rsidR="00B31AD9" w:rsidRPr="009667DE" w:rsidRDefault="00B31AD9">
            <w:r w:rsidRPr="009667DE">
              <w:t>Imię</w:t>
            </w:r>
          </w:p>
        </w:tc>
        <w:tc>
          <w:tcPr>
            <w:tcW w:w="11198" w:type="dxa"/>
            <w:shd w:val="clear" w:color="auto" w:fill="A6A6A6" w:themeFill="background1" w:themeFillShade="A6"/>
          </w:tcPr>
          <w:p w14:paraId="265F32E3" w14:textId="77777777" w:rsidR="00B31AD9" w:rsidRPr="009667DE" w:rsidRDefault="00B31AD9"/>
        </w:tc>
      </w:tr>
      <w:tr w:rsidR="009667DE" w:rsidRPr="009667DE" w14:paraId="1D47BC71" w14:textId="77777777" w:rsidTr="00AC7093">
        <w:tc>
          <w:tcPr>
            <w:tcW w:w="686" w:type="dxa"/>
          </w:tcPr>
          <w:p w14:paraId="23D00BA2" w14:textId="77777777" w:rsidR="00B31AD9" w:rsidRPr="009667DE" w:rsidRDefault="00B31AD9" w:rsidP="00B31AD9">
            <w:pPr>
              <w:pStyle w:val="Akapitzlist"/>
              <w:numPr>
                <w:ilvl w:val="0"/>
                <w:numId w:val="1"/>
              </w:numPr>
            </w:pPr>
          </w:p>
        </w:tc>
        <w:tc>
          <w:tcPr>
            <w:tcW w:w="2003" w:type="dxa"/>
          </w:tcPr>
          <w:p w14:paraId="7F5B1C8A" w14:textId="007AFA84" w:rsidR="00B31AD9" w:rsidRPr="009667DE" w:rsidRDefault="00B31AD9">
            <w:r w:rsidRPr="009667DE">
              <w:t>Nazwisko</w:t>
            </w:r>
          </w:p>
        </w:tc>
        <w:tc>
          <w:tcPr>
            <w:tcW w:w="11198" w:type="dxa"/>
            <w:shd w:val="clear" w:color="auto" w:fill="A6A6A6" w:themeFill="background1" w:themeFillShade="A6"/>
          </w:tcPr>
          <w:p w14:paraId="6562E067" w14:textId="77777777" w:rsidR="00B31AD9" w:rsidRPr="009667DE" w:rsidRDefault="00B31AD9"/>
        </w:tc>
      </w:tr>
      <w:tr w:rsidR="009667DE" w:rsidRPr="009667DE" w14:paraId="77066A0A" w14:textId="77777777" w:rsidTr="00AC7093">
        <w:tc>
          <w:tcPr>
            <w:tcW w:w="686" w:type="dxa"/>
          </w:tcPr>
          <w:p w14:paraId="6414F98A" w14:textId="77777777" w:rsidR="00B31AD9" w:rsidRPr="009667DE" w:rsidRDefault="00B31AD9" w:rsidP="00B31AD9">
            <w:pPr>
              <w:pStyle w:val="Akapitzlist"/>
              <w:numPr>
                <w:ilvl w:val="0"/>
                <w:numId w:val="1"/>
              </w:numPr>
            </w:pPr>
          </w:p>
        </w:tc>
        <w:tc>
          <w:tcPr>
            <w:tcW w:w="2003" w:type="dxa"/>
          </w:tcPr>
          <w:p w14:paraId="13B60FB5" w14:textId="3FB97944" w:rsidR="00B31AD9" w:rsidRPr="009667DE" w:rsidRDefault="00B31AD9">
            <w:r w:rsidRPr="009667DE">
              <w:t>Instytucja</w:t>
            </w:r>
          </w:p>
        </w:tc>
        <w:tc>
          <w:tcPr>
            <w:tcW w:w="11198" w:type="dxa"/>
            <w:shd w:val="clear" w:color="auto" w:fill="A6A6A6" w:themeFill="background1" w:themeFillShade="A6"/>
          </w:tcPr>
          <w:p w14:paraId="4A854DCC" w14:textId="77777777" w:rsidR="00B31AD9" w:rsidRPr="009667DE" w:rsidRDefault="00B31AD9"/>
        </w:tc>
      </w:tr>
      <w:tr w:rsidR="009667DE" w:rsidRPr="009667DE" w14:paraId="5E5086F5" w14:textId="77777777" w:rsidTr="00AC7093">
        <w:tc>
          <w:tcPr>
            <w:tcW w:w="686" w:type="dxa"/>
          </w:tcPr>
          <w:p w14:paraId="4C1F0728" w14:textId="77777777" w:rsidR="00B31AD9" w:rsidRPr="009667DE" w:rsidRDefault="00B31AD9" w:rsidP="00B31AD9">
            <w:pPr>
              <w:pStyle w:val="Akapitzlist"/>
              <w:numPr>
                <w:ilvl w:val="0"/>
                <w:numId w:val="1"/>
              </w:numPr>
            </w:pPr>
          </w:p>
        </w:tc>
        <w:tc>
          <w:tcPr>
            <w:tcW w:w="2003" w:type="dxa"/>
          </w:tcPr>
          <w:p w14:paraId="5D625761" w14:textId="70DB5629" w:rsidR="00B31AD9" w:rsidRPr="009667DE" w:rsidRDefault="00B31AD9">
            <w:r w:rsidRPr="009667DE">
              <w:t>Województwo</w:t>
            </w:r>
          </w:p>
        </w:tc>
        <w:tc>
          <w:tcPr>
            <w:tcW w:w="11198" w:type="dxa"/>
            <w:shd w:val="clear" w:color="auto" w:fill="A6A6A6" w:themeFill="background1" w:themeFillShade="A6"/>
          </w:tcPr>
          <w:p w14:paraId="20BF19E1" w14:textId="77777777" w:rsidR="00B31AD9" w:rsidRPr="009667DE" w:rsidRDefault="00B31AD9"/>
        </w:tc>
      </w:tr>
      <w:tr w:rsidR="009667DE" w:rsidRPr="009667DE" w14:paraId="228ED3D0" w14:textId="77777777" w:rsidTr="0019354B">
        <w:tc>
          <w:tcPr>
            <w:tcW w:w="686" w:type="dxa"/>
          </w:tcPr>
          <w:p w14:paraId="52564403" w14:textId="0FA1AD18" w:rsidR="00B31AD9" w:rsidRPr="009667DE" w:rsidRDefault="00B31AD9" w:rsidP="00B31AD9">
            <w:pPr>
              <w:pStyle w:val="Akapitzlist"/>
              <w:numPr>
                <w:ilvl w:val="0"/>
                <w:numId w:val="1"/>
              </w:numPr>
            </w:pPr>
          </w:p>
        </w:tc>
        <w:tc>
          <w:tcPr>
            <w:tcW w:w="2003" w:type="dxa"/>
          </w:tcPr>
          <w:p w14:paraId="527C0D37" w14:textId="5A05E6E2" w:rsidR="00B31AD9" w:rsidRPr="009667DE" w:rsidRDefault="00B31AD9">
            <w:r w:rsidRPr="009667DE">
              <w:t>Część KPO</w:t>
            </w:r>
          </w:p>
        </w:tc>
        <w:tc>
          <w:tcPr>
            <w:tcW w:w="11198" w:type="dxa"/>
          </w:tcPr>
          <w:p w14:paraId="7C13E6EC" w14:textId="0C800486" w:rsidR="00B31AD9" w:rsidRPr="009667DE" w:rsidRDefault="00507B44">
            <w:r w:rsidRPr="009667DE">
              <w:t>1.2. Wyzwania rozwojowe</w:t>
            </w:r>
          </w:p>
        </w:tc>
      </w:tr>
      <w:tr w:rsidR="009667DE" w:rsidRPr="009667DE" w14:paraId="7AEDE918" w14:textId="77777777" w:rsidTr="0019354B">
        <w:tc>
          <w:tcPr>
            <w:tcW w:w="686" w:type="dxa"/>
          </w:tcPr>
          <w:p w14:paraId="5C609193" w14:textId="77777777" w:rsidR="00B31AD9" w:rsidRPr="009667DE" w:rsidRDefault="00B31AD9" w:rsidP="00B31AD9">
            <w:pPr>
              <w:pStyle w:val="Akapitzlist"/>
              <w:numPr>
                <w:ilvl w:val="0"/>
                <w:numId w:val="1"/>
              </w:numPr>
            </w:pPr>
          </w:p>
        </w:tc>
        <w:tc>
          <w:tcPr>
            <w:tcW w:w="2003" w:type="dxa"/>
          </w:tcPr>
          <w:p w14:paraId="7FBDAB63" w14:textId="3A570D31" w:rsidR="00B31AD9" w:rsidRPr="009667DE" w:rsidRDefault="00B31AD9">
            <w:r w:rsidRPr="009667DE">
              <w:t>Strona</w:t>
            </w:r>
          </w:p>
        </w:tc>
        <w:tc>
          <w:tcPr>
            <w:tcW w:w="11198" w:type="dxa"/>
          </w:tcPr>
          <w:p w14:paraId="2A64DFE4" w14:textId="3BE88663" w:rsidR="00B31AD9" w:rsidRPr="009667DE" w:rsidRDefault="008055ED">
            <w:r w:rsidRPr="009667DE">
              <w:t>13</w:t>
            </w:r>
          </w:p>
        </w:tc>
      </w:tr>
      <w:tr w:rsidR="009667DE" w:rsidRPr="009667DE" w14:paraId="5D4780CA" w14:textId="77777777" w:rsidTr="0019354B">
        <w:tc>
          <w:tcPr>
            <w:tcW w:w="686" w:type="dxa"/>
          </w:tcPr>
          <w:p w14:paraId="15B049EA" w14:textId="77777777" w:rsidR="00B31AD9" w:rsidRPr="009667DE" w:rsidRDefault="00B31AD9" w:rsidP="00B31AD9">
            <w:pPr>
              <w:pStyle w:val="Akapitzlist"/>
              <w:numPr>
                <w:ilvl w:val="0"/>
                <w:numId w:val="1"/>
              </w:numPr>
            </w:pPr>
          </w:p>
        </w:tc>
        <w:tc>
          <w:tcPr>
            <w:tcW w:w="2003" w:type="dxa"/>
          </w:tcPr>
          <w:p w14:paraId="27104032" w14:textId="4EAB1BA4" w:rsidR="00B31AD9" w:rsidRPr="009667DE" w:rsidRDefault="00B31AD9">
            <w:r w:rsidRPr="009667DE">
              <w:t>Treść Uwagi</w:t>
            </w:r>
          </w:p>
        </w:tc>
        <w:tc>
          <w:tcPr>
            <w:tcW w:w="11198" w:type="dxa"/>
          </w:tcPr>
          <w:p w14:paraId="3D5AB457" w14:textId="6B396367" w:rsidR="00B31AD9" w:rsidRPr="009667DE" w:rsidRDefault="008055ED" w:rsidP="00FC359D">
            <w:r w:rsidRPr="009667DE">
              <w:t xml:space="preserve">Jednocześnie polskie miasta nie posiadają spójnych systemów tras rowerowych, co nie pozwala na pełny rozwój potencjału z zakresie transportu rowerowego będącego w pełni zero-emisyjnym środkiem transportu. Miasta </w:t>
            </w:r>
            <w:r w:rsidR="00751317" w:rsidRPr="009667DE">
              <w:t>wiodące</w:t>
            </w:r>
            <w:r w:rsidRPr="009667DE">
              <w:t xml:space="preserve"> pod względem udziału ruchu rowerowego w podróżach </w:t>
            </w:r>
            <w:r w:rsidR="0051305F" w:rsidRPr="009667DE">
              <w:t xml:space="preserve">ogółem </w:t>
            </w:r>
            <w:r w:rsidRPr="009667DE">
              <w:t xml:space="preserve">osiągają poziom ok. 7%, w czasie, gdy potencjał (pod w warunkiem powstania w miastach funkcjonalnego systemu tras) można szacować na poziom ok. 15-20% (na podstawie zbliżonych uwarunkowaniami miasto wschodnio niemieckich). Skokowy wzrost zainteresowania transportem rowerowym w sytuacji pandemii udowodnił odporność tego środka transportu na kolejne fale pandemii. </w:t>
            </w:r>
          </w:p>
          <w:p w14:paraId="357B7BC2" w14:textId="648AD6AE" w:rsidR="00FC359D" w:rsidRPr="009667DE" w:rsidRDefault="00FC359D" w:rsidP="00FC359D"/>
        </w:tc>
      </w:tr>
      <w:tr w:rsidR="009667DE" w:rsidRPr="009667DE" w14:paraId="644E488D" w14:textId="77777777" w:rsidTr="0019354B">
        <w:tc>
          <w:tcPr>
            <w:tcW w:w="686" w:type="dxa"/>
          </w:tcPr>
          <w:p w14:paraId="3DEBE8A4" w14:textId="77777777" w:rsidR="00B31AD9" w:rsidRPr="009667DE" w:rsidRDefault="00B31AD9" w:rsidP="00B31AD9">
            <w:pPr>
              <w:pStyle w:val="Akapitzlist"/>
              <w:numPr>
                <w:ilvl w:val="0"/>
                <w:numId w:val="1"/>
              </w:numPr>
            </w:pPr>
          </w:p>
        </w:tc>
        <w:tc>
          <w:tcPr>
            <w:tcW w:w="2003" w:type="dxa"/>
          </w:tcPr>
          <w:p w14:paraId="1E48AC0E" w14:textId="3623A7E4" w:rsidR="00B31AD9" w:rsidRPr="009667DE" w:rsidRDefault="00B31AD9">
            <w:r w:rsidRPr="009667DE">
              <w:t>Uzasadnienie uwagi</w:t>
            </w:r>
          </w:p>
        </w:tc>
        <w:tc>
          <w:tcPr>
            <w:tcW w:w="11198" w:type="dxa"/>
          </w:tcPr>
          <w:p w14:paraId="1C5E0414" w14:textId="77777777" w:rsidR="001C5A45" w:rsidRPr="009667DE" w:rsidRDefault="00FC359D" w:rsidP="001C5A45">
            <w:r w:rsidRPr="009667DE">
              <w:t xml:space="preserve">Czas pandemii pokazał, że rower stanowi najbezpieczniejszy środek transportu biorąc pod uwagę kryteria zachowania dystansu społecznego, jak i kwestie obciążenia środowiskowe transportu. W momencie wprowadzania przez rząd </w:t>
            </w:r>
            <w:r w:rsidRPr="009667DE">
              <w:lastRenderedPageBreak/>
              <w:t xml:space="preserve">obostrzeń w transporcie publicznym, co wynika z troski o zdrowie publiczne, </w:t>
            </w:r>
            <w:r w:rsidR="00302035" w:rsidRPr="009667DE">
              <w:t xml:space="preserve">autobusy elektryczne, jak i trolejbusy podlegają takim samym ograniczeniom, jak pojazdy o napędzie konwencjonalnym. </w:t>
            </w:r>
          </w:p>
          <w:p w14:paraId="1D6B62D5" w14:textId="4F5024F6" w:rsidR="00302035" w:rsidRPr="009667DE" w:rsidRDefault="00302035" w:rsidP="001C5A45">
            <w:r w:rsidRPr="009667DE">
              <w:t xml:space="preserve">Jednocześnie, pojazdy transportu publicznego, ze względu na ograniczone możliwości zachowania dystansu społecznego podczas podróży, są </w:t>
            </w:r>
            <w:r w:rsidR="0051305F" w:rsidRPr="009667DE">
              <w:t xml:space="preserve">społecznie </w:t>
            </w:r>
            <w:r w:rsidRPr="009667DE">
              <w:t>postrzegane jako niebezpieczne. Zgodnie z badaniami społecznym</w:t>
            </w:r>
            <w:r w:rsidR="002C759C" w:rsidRPr="009667DE">
              <w:t xml:space="preserve">i przeprowadzonymi w Gdańsku, Metropolii Górnośląskiej, Krakowie, Warszawie, Poznaniu i Wrocławiu mieszkańcy ograniczyli podróże transportem publicznym o około 60 proc. (od 57 proc. w Gdańsku, do 65 proc. w Warszawie). Wśród powodów rezygnacji z transportu publicznego respondenci w każdym z miast na pierwszym miejscu wskazywali obawę o własne zdrowie (średnio 50 proc. wskazań w każdym z miast). Jednocześnie w każdym z tych miast mieszkańcy deklarowali, że </w:t>
            </w:r>
            <w:r w:rsidR="00F36CFC" w:rsidRPr="009667DE">
              <w:t>rzadziej chce korzystać z komunikacji miejskiej 15,7 proc. badanych, w Warszawie 17,6 proc., w Krakowie 18,6 proc, we Wrocławiu 22 proc., w Poznaniu 22,9 proc., a w Górnośląsko-Zagłębiowskiej Metropolii aż 24,7 proc. W przypadku braku bezpiecznej i wygodnej alternatywy dla samochodu, osoby te zaczną wybierać transport samochodowy w codziennych podróżach. Jeżeli mieszkańcy miast porzucą transport publiczny na rzecz samochodów osobowych, obniży się też jego rentowność. A to z kolei doprowadzi do ograniczenia jego funkcjonowania i trwale zmieni nawyki transportowe. Jakość życia w miastach zostanie obniżona. Większy ruch kołowy to nie tylko korki, ale także większe zanieczyszczenie czy hałas. Infrastruktura rowerowa pozwala na wybór środka transportu uznanego za bezpieczny, przy jednoczesnej rezygnacji z samochodu.</w:t>
            </w:r>
          </w:p>
          <w:p w14:paraId="64FD4BB5" w14:textId="32F934CD" w:rsidR="00F36CFC" w:rsidRPr="009667DE" w:rsidRDefault="00F36CFC" w:rsidP="001C5A45"/>
        </w:tc>
      </w:tr>
    </w:tbl>
    <w:p w14:paraId="48003512" w14:textId="7D1C06A2" w:rsidR="00C31EA8" w:rsidRDefault="00C31EA8"/>
    <w:p w14:paraId="37378025" w14:textId="673BD8B1" w:rsidR="0066038E" w:rsidRDefault="0066038E"/>
    <w:p w14:paraId="7DF4E28D" w14:textId="36A43CC6" w:rsidR="0066038E" w:rsidRDefault="0066038E"/>
    <w:p w14:paraId="55BC5404" w14:textId="34F0005C" w:rsidR="0066038E" w:rsidRDefault="0066038E"/>
    <w:p w14:paraId="764A9A44" w14:textId="270D2288" w:rsidR="0066038E" w:rsidRDefault="0066038E"/>
    <w:p w14:paraId="3DF290C0" w14:textId="1DA7EB52" w:rsidR="0066038E" w:rsidRDefault="0066038E"/>
    <w:p w14:paraId="4DFB6CE6" w14:textId="418D91AA" w:rsidR="0066038E" w:rsidRDefault="0066038E"/>
    <w:p w14:paraId="6F1A05FD" w14:textId="5464B5F1" w:rsidR="0066038E" w:rsidRDefault="0066038E"/>
    <w:p w14:paraId="36A4C248" w14:textId="69BE14ED" w:rsidR="0066038E" w:rsidRDefault="0066038E"/>
    <w:p w14:paraId="4A643E45" w14:textId="77777777" w:rsidR="0066038E" w:rsidRPr="009667DE" w:rsidRDefault="0066038E"/>
    <w:tbl>
      <w:tblPr>
        <w:tblStyle w:val="Tabela-Siatka"/>
        <w:tblW w:w="0" w:type="auto"/>
        <w:tblLook w:val="04A0" w:firstRow="1" w:lastRow="0" w:firstColumn="1" w:lastColumn="0" w:noHBand="0" w:noVBand="1"/>
      </w:tblPr>
      <w:tblGrid>
        <w:gridCol w:w="686"/>
        <w:gridCol w:w="2003"/>
        <w:gridCol w:w="11198"/>
      </w:tblGrid>
      <w:tr w:rsidR="009667DE" w:rsidRPr="009667DE" w14:paraId="07E67B38" w14:textId="77777777" w:rsidTr="00560EBE">
        <w:tc>
          <w:tcPr>
            <w:tcW w:w="686" w:type="dxa"/>
          </w:tcPr>
          <w:p w14:paraId="4B00C92F" w14:textId="77777777" w:rsidR="00C31EA8" w:rsidRPr="009667DE" w:rsidRDefault="00C31EA8" w:rsidP="00560EBE">
            <w:proofErr w:type="spellStart"/>
            <w:r w:rsidRPr="009667DE">
              <w:lastRenderedPageBreak/>
              <w:t>Lp</w:t>
            </w:r>
            <w:proofErr w:type="spellEnd"/>
          </w:p>
        </w:tc>
        <w:tc>
          <w:tcPr>
            <w:tcW w:w="2003" w:type="dxa"/>
          </w:tcPr>
          <w:p w14:paraId="7832DB26" w14:textId="77777777" w:rsidR="00C31EA8" w:rsidRPr="009667DE" w:rsidRDefault="00C31EA8" w:rsidP="00560EBE">
            <w:r w:rsidRPr="009667DE">
              <w:t>Pole formularza</w:t>
            </w:r>
          </w:p>
        </w:tc>
        <w:tc>
          <w:tcPr>
            <w:tcW w:w="11198" w:type="dxa"/>
          </w:tcPr>
          <w:p w14:paraId="520E4128" w14:textId="77777777" w:rsidR="00C31EA8" w:rsidRPr="009667DE" w:rsidRDefault="00C31EA8" w:rsidP="00560EBE">
            <w:r w:rsidRPr="009667DE">
              <w:t>Treść</w:t>
            </w:r>
          </w:p>
        </w:tc>
      </w:tr>
      <w:tr w:rsidR="009667DE" w:rsidRPr="009667DE" w14:paraId="1514F90B" w14:textId="77777777" w:rsidTr="00560EBE">
        <w:tc>
          <w:tcPr>
            <w:tcW w:w="686" w:type="dxa"/>
          </w:tcPr>
          <w:p w14:paraId="3011C519" w14:textId="77777777" w:rsidR="00C31EA8" w:rsidRPr="009667DE" w:rsidRDefault="00C31EA8" w:rsidP="00C31EA8">
            <w:pPr>
              <w:pStyle w:val="Akapitzlist"/>
              <w:numPr>
                <w:ilvl w:val="0"/>
                <w:numId w:val="3"/>
              </w:numPr>
            </w:pPr>
          </w:p>
        </w:tc>
        <w:tc>
          <w:tcPr>
            <w:tcW w:w="2003" w:type="dxa"/>
          </w:tcPr>
          <w:p w14:paraId="34C31AF0" w14:textId="77777777" w:rsidR="00C31EA8" w:rsidRPr="009667DE" w:rsidRDefault="00C31EA8" w:rsidP="00560EBE">
            <w:r w:rsidRPr="009667DE">
              <w:t>Imię</w:t>
            </w:r>
          </w:p>
        </w:tc>
        <w:tc>
          <w:tcPr>
            <w:tcW w:w="11198" w:type="dxa"/>
            <w:shd w:val="clear" w:color="auto" w:fill="A6A6A6" w:themeFill="background1" w:themeFillShade="A6"/>
          </w:tcPr>
          <w:p w14:paraId="3BED2E46" w14:textId="77777777" w:rsidR="00C31EA8" w:rsidRPr="009667DE" w:rsidRDefault="00C31EA8" w:rsidP="00560EBE"/>
        </w:tc>
      </w:tr>
      <w:tr w:rsidR="009667DE" w:rsidRPr="009667DE" w14:paraId="1457C167" w14:textId="77777777" w:rsidTr="00560EBE">
        <w:tc>
          <w:tcPr>
            <w:tcW w:w="686" w:type="dxa"/>
          </w:tcPr>
          <w:p w14:paraId="60A2C4A8" w14:textId="77777777" w:rsidR="00C31EA8" w:rsidRPr="009667DE" w:rsidRDefault="00C31EA8" w:rsidP="00C31EA8">
            <w:pPr>
              <w:pStyle w:val="Akapitzlist"/>
              <w:numPr>
                <w:ilvl w:val="0"/>
                <w:numId w:val="3"/>
              </w:numPr>
            </w:pPr>
          </w:p>
        </w:tc>
        <w:tc>
          <w:tcPr>
            <w:tcW w:w="2003" w:type="dxa"/>
          </w:tcPr>
          <w:p w14:paraId="5F5F3A92" w14:textId="77777777" w:rsidR="00C31EA8" w:rsidRPr="009667DE" w:rsidRDefault="00C31EA8" w:rsidP="00560EBE">
            <w:r w:rsidRPr="009667DE">
              <w:t>Nazwisko</w:t>
            </w:r>
          </w:p>
        </w:tc>
        <w:tc>
          <w:tcPr>
            <w:tcW w:w="11198" w:type="dxa"/>
            <w:shd w:val="clear" w:color="auto" w:fill="A6A6A6" w:themeFill="background1" w:themeFillShade="A6"/>
          </w:tcPr>
          <w:p w14:paraId="6356CF33" w14:textId="77777777" w:rsidR="00C31EA8" w:rsidRPr="009667DE" w:rsidRDefault="00C31EA8" w:rsidP="00560EBE"/>
        </w:tc>
      </w:tr>
      <w:tr w:rsidR="009667DE" w:rsidRPr="009667DE" w14:paraId="397CF768" w14:textId="77777777" w:rsidTr="00560EBE">
        <w:tc>
          <w:tcPr>
            <w:tcW w:w="686" w:type="dxa"/>
          </w:tcPr>
          <w:p w14:paraId="05A35926" w14:textId="77777777" w:rsidR="00C31EA8" w:rsidRPr="009667DE" w:rsidRDefault="00C31EA8" w:rsidP="00C31EA8">
            <w:pPr>
              <w:pStyle w:val="Akapitzlist"/>
              <w:numPr>
                <w:ilvl w:val="0"/>
                <w:numId w:val="3"/>
              </w:numPr>
            </w:pPr>
          </w:p>
        </w:tc>
        <w:tc>
          <w:tcPr>
            <w:tcW w:w="2003" w:type="dxa"/>
          </w:tcPr>
          <w:p w14:paraId="669FBA47" w14:textId="77777777" w:rsidR="00C31EA8" w:rsidRPr="009667DE" w:rsidRDefault="00C31EA8" w:rsidP="00560EBE">
            <w:r w:rsidRPr="009667DE">
              <w:t>Instytucja</w:t>
            </w:r>
          </w:p>
        </w:tc>
        <w:tc>
          <w:tcPr>
            <w:tcW w:w="11198" w:type="dxa"/>
            <w:shd w:val="clear" w:color="auto" w:fill="A6A6A6" w:themeFill="background1" w:themeFillShade="A6"/>
          </w:tcPr>
          <w:p w14:paraId="18BA2DD5" w14:textId="77777777" w:rsidR="00C31EA8" w:rsidRPr="009667DE" w:rsidRDefault="00C31EA8" w:rsidP="00560EBE"/>
        </w:tc>
      </w:tr>
      <w:tr w:rsidR="009667DE" w:rsidRPr="009667DE" w14:paraId="202EB947" w14:textId="77777777" w:rsidTr="00560EBE">
        <w:tc>
          <w:tcPr>
            <w:tcW w:w="686" w:type="dxa"/>
          </w:tcPr>
          <w:p w14:paraId="0A2C1F03" w14:textId="77777777" w:rsidR="00C31EA8" w:rsidRPr="009667DE" w:rsidRDefault="00C31EA8" w:rsidP="00C31EA8">
            <w:pPr>
              <w:pStyle w:val="Akapitzlist"/>
              <w:numPr>
                <w:ilvl w:val="0"/>
                <w:numId w:val="3"/>
              </w:numPr>
            </w:pPr>
          </w:p>
        </w:tc>
        <w:tc>
          <w:tcPr>
            <w:tcW w:w="2003" w:type="dxa"/>
          </w:tcPr>
          <w:p w14:paraId="59AE5B7A" w14:textId="77777777" w:rsidR="00C31EA8" w:rsidRPr="009667DE" w:rsidRDefault="00C31EA8" w:rsidP="00560EBE">
            <w:r w:rsidRPr="009667DE">
              <w:t>Województwo</w:t>
            </w:r>
          </w:p>
        </w:tc>
        <w:tc>
          <w:tcPr>
            <w:tcW w:w="11198" w:type="dxa"/>
            <w:shd w:val="clear" w:color="auto" w:fill="A6A6A6" w:themeFill="background1" w:themeFillShade="A6"/>
          </w:tcPr>
          <w:p w14:paraId="10F849AA" w14:textId="77777777" w:rsidR="00C31EA8" w:rsidRPr="009667DE" w:rsidRDefault="00C31EA8" w:rsidP="00560EBE"/>
        </w:tc>
      </w:tr>
      <w:tr w:rsidR="009667DE" w:rsidRPr="009667DE" w14:paraId="24B90A5F" w14:textId="77777777" w:rsidTr="00560EBE">
        <w:tc>
          <w:tcPr>
            <w:tcW w:w="686" w:type="dxa"/>
          </w:tcPr>
          <w:p w14:paraId="3B86AD50" w14:textId="77777777" w:rsidR="00C31EA8" w:rsidRPr="009667DE" w:rsidRDefault="00C31EA8" w:rsidP="00C31EA8">
            <w:pPr>
              <w:pStyle w:val="Akapitzlist"/>
              <w:numPr>
                <w:ilvl w:val="0"/>
                <w:numId w:val="3"/>
              </w:numPr>
            </w:pPr>
          </w:p>
        </w:tc>
        <w:tc>
          <w:tcPr>
            <w:tcW w:w="2003" w:type="dxa"/>
          </w:tcPr>
          <w:p w14:paraId="38B3ABB5" w14:textId="77777777" w:rsidR="00C31EA8" w:rsidRPr="009667DE" w:rsidRDefault="00C31EA8" w:rsidP="00560EBE">
            <w:r w:rsidRPr="009667DE">
              <w:t>Część KPO</w:t>
            </w:r>
          </w:p>
        </w:tc>
        <w:tc>
          <w:tcPr>
            <w:tcW w:w="11198" w:type="dxa"/>
          </w:tcPr>
          <w:p w14:paraId="5FCF09D5" w14:textId="77777777" w:rsidR="00C31EA8" w:rsidRPr="009667DE" w:rsidRDefault="00C31EA8" w:rsidP="00560EBE">
            <w:r w:rsidRPr="009667DE">
              <w:t>1.2. Wyzwania rozwojowe</w:t>
            </w:r>
          </w:p>
        </w:tc>
      </w:tr>
      <w:tr w:rsidR="009667DE" w:rsidRPr="009667DE" w14:paraId="3EC3DD28" w14:textId="77777777" w:rsidTr="00560EBE">
        <w:tc>
          <w:tcPr>
            <w:tcW w:w="686" w:type="dxa"/>
          </w:tcPr>
          <w:p w14:paraId="69CF97C1" w14:textId="77777777" w:rsidR="00C31EA8" w:rsidRPr="009667DE" w:rsidRDefault="00C31EA8" w:rsidP="00C31EA8">
            <w:pPr>
              <w:pStyle w:val="Akapitzlist"/>
              <w:numPr>
                <w:ilvl w:val="0"/>
                <w:numId w:val="3"/>
              </w:numPr>
            </w:pPr>
          </w:p>
        </w:tc>
        <w:tc>
          <w:tcPr>
            <w:tcW w:w="2003" w:type="dxa"/>
          </w:tcPr>
          <w:p w14:paraId="5BFDBE9F" w14:textId="77777777" w:rsidR="00C31EA8" w:rsidRPr="009667DE" w:rsidRDefault="00C31EA8" w:rsidP="00560EBE">
            <w:r w:rsidRPr="009667DE">
              <w:t>Strona</w:t>
            </w:r>
          </w:p>
        </w:tc>
        <w:tc>
          <w:tcPr>
            <w:tcW w:w="11198" w:type="dxa"/>
          </w:tcPr>
          <w:p w14:paraId="3086CF1A" w14:textId="1A684191" w:rsidR="00C31EA8" w:rsidRPr="009667DE" w:rsidRDefault="00B57DD4" w:rsidP="00560EBE">
            <w:r w:rsidRPr="009667DE">
              <w:t>15</w:t>
            </w:r>
          </w:p>
        </w:tc>
      </w:tr>
      <w:tr w:rsidR="009667DE" w:rsidRPr="009667DE" w14:paraId="42F274BB" w14:textId="77777777" w:rsidTr="00560EBE">
        <w:tc>
          <w:tcPr>
            <w:tcW w:w="686" w:type="dxa"/>
          </w:tcPr>
          <w:p w14:paraId="7B0810A8" w14:textId="77777777" w:rsidR="00C31EA8" w:rsidRPr="009667DE" w:rsidRDefault="00C31EA8" w:rsidP="00C31EA8">
            <w:pPr>
              <w:pStyle w:val="Akapitzlist"/>
              <w:numPr>
                <w:ilvl w:val="0"/>
                <w:numId w:val="3"/>
              </w:numPr>
            </w:pPr>
          </w:p>
        </w:tc>
        <w:tc>
          <w:tcPr>
            <w:tcW w:w="2003" w:type="dxa"/>
          </w:tcPr>
          <w:p w14:paraId="7F740805" w14:textId="77777777" w:rsidR="00C31EA8" w:rsidRPr="009667DE" w:rsidRDefault="00C31EA8" w:rsidP="00560EBE">
            <w:r w:rsidRPr="009667DE">
              <w:t>Treść Uwagi</w:t>
            </w:r>
          </w:p>
        </w:tc>
        <w:tc>
          <w:tcPr>
            <w:tcW w:w="11198" w:type="dxa"/>
          </w:tcPr>
          <w:p w14:paraId="2164A5EC" w14:textId="109C29F8" w:rsidR="00C31EA8" w:rsidRPr="009667DE" w:rsidRDefault="00FB0D0A" w:rsidP="00560EBE">
            <w:r w:rsidRPr="009667DE">
              <w:t xml:space="preserve">Rezultat: </w:t>
            </w:r>
            <w:r w:rsidR="00B57DD4" w:rsidRPr="009667DE">
              <w:t>Wzrost udziału</w:t>
            </w:r>
            <w:r w:rsidR="0051305F" w:rsidRPr="009667DE">
              <w:t xml:space="preserve"> ruchu rowerowego</w:t>
            </w:r>
            <w:r w:rsidR="00B57DD4" w:rsidRPr="009667DE">
              <w:t xml:space="preserve"> w podróżach</w:t>
            </w:r>
            <w:r w:rsidR="0051305F" w:rsidRPr="009667DE">
              <w:t xml:space="preserve"> ogółem</w:t>
            </w:r>
          </w:p>
          <w:p w14:paraId="2D3E1D30" w14:textId="77777777" w:rsidR="00C31EA8" w:rsidRPr="009667DE" w:rsidRDefault="00C31EA8" w:rsidP="00560EBE"/>
        </w:tc>
      </w:tr>
      <w:tr w:rsidR="00C31EA8" w:rsidRPr="009667DE" w14:paraId="01C03228" w14:textId="77777777" w:rsidTr="00560EBE">
        <w:tc>
          <w:tcPr>
            <w:tcW w:w="686" w:type="dxa"/>
          </w:tcPr>
          <w:p w14:paraId="6A750FE9" w14:textId="77777777" w:rsidR="00C31EA8" w:rsidRPr="009667DE" w:rsidRDefault="00C31EA8" w:rsidP="00C31EA8">
            <w:pPr>
              <w:pStyle w:val="Akapitzlist"/>
              <w:numPr>
                <w:ilvl w:val="0"/>
                <w:numId w:val="3"/>
              </w:numPr>
            </w:pPr>
          </w:p>
        </w:tc>
        <w:tc>
          <w:tcPr>
            <w:tcW w:w="2003" w:type="dxa"/>
          </w:tcPr>
          <w:p w14:paraId="27F03FA7" w14:textId="77777777" w:rsidR="00C31EA8" w:rsidRPr="009667DE" w:rsidRDefault="00C31EA8" w:rsidP="00560EBE">
            <w:r w:rsidRPr="009667DE">
              <w:t>Uzasadnienie uwagi</w:t>
            </w:r>
          </w:p>
        </w:tc>
        <w:tc>
          <w:tcPr>
            <w:tcW w:w="11198" w:type="dxa"/>
          </w:tcPr>
          <w:p w14:paraId="3BE95720" w14:textId="63B93E38" w:rsidR="00C31EA8" w:rsidRPr="009667DE" w:rsidRDefault="00B57DD4" w:rsidP="00560EBE">
            <w:r w:rsidRPr="009667DE">
              <w:t xml:space="preserve">Rower stanowi jedyny środek transportu, który jednocześnie umożliwia zachowanie dystansu społecznego i nie powoduje znacznego obciążenia środowiskowego. Zasadność tego rodzaju działań pokazują przykłady miast zachodniej Europy, gdzie tworzenie dróg i pasów rowerowych było wskazywane wprost jako recepta na szerzenie się pandemii. Większy udział rowerów w podróżach wpisuje się wprost </w:t>
            </w:r>
            <w:r w:rsidR="008433D7" w:rsidRPr="009667DE">
              <w:t xml:space="preserve">przytoczony cel szczegółowy KPO: Zielona transformacja gospodarki oraz rozwój zielonej, inteligentnej mobilności. Transport rowerowy nie generuje bowiem szkodliwych substancji, hałasu, ani nie obniża spójności przestrzeni. </w:t>
            </w:r>
          </w:p>
        </w:tc>
      </w:tr>
    </w:tbl>
    <w:p w14:paraId="31DD7218" w14:textId="363D505C" w:rsidR="008433D7" w:rsidRPr="009667DE" w:rsidRDefault="008433D7"/>
    <w:p w14:paraId="6940B55B" w14:textId="77777777" w:rsidR="008433D7" w:rsidRPr="009667DE" w:rsidRDefault="008433D7">
      <w:r w:rsidRPr="009667DE">
        <w:br w:type="page"/>
      </w:r>
    </w:p>
    <w:tbl>
      <w:tblPr>
        <w:tblStyle w:val="Tabela-Siatka"/>
        <w:tblW w:w="0" w:type="auto"/>
        <w:tblLook w:val="04A0" w:firstRow="1" w:lastRow="0" w:firstColumn="1" w:lastColumn="0" w:noHBand="0" w:noVBand="1"/>
      </w:tblPr>
      <w:tblGrid>
        <w:gridCol w:w="686"/>
        <w:gridCol w:w="2003"/>
        <w:gridCol w:w="11198"/>
      </w:tblGrid>
      <w:tr w:rsidR="009667DE" w:rsidRPr="009667DE" w14:paraId="21C10B9A" w14:textId="77777777" w:rsidTr="00560EBE">
        <w:tc>
          <w:tcPr>
            <w:tcW w:w="686" w:type="dxa"/>
          </w:tcPr>
          <w:p w14:paraId="727A5F63" w14:textId="77777777" w:rsidR="008433D7" w:rsidRPr="009667DE" w:rsidRDefault="008433D7" w:rsidP="00560EBE">
            <w:proofErr w:type="spellStart"/>
            <w:r w:rsidRPr="009667DE">
              <w:lastRenderedPageBreak/>
              <w:t>Lp</w:t>
            </w:r>
            <w:proofErr w:type="spellEnd"/>
          </w:p>
        </w:tc>
        <w:tc>
          <w:tcPr>
            <w:tcW w:w="2003" w:type="dxa"/>
          </w:tcPr>
          <w:p w14:paraId="5BAA586B" w14:textId="77777777" w:rsidR="008433D7" w:rsidRPr="009667DE" w:rsidRDefault="008433D7" w:rsidP="00560EBE">
            <w:r w:rsidRPr="009667DE">
              <w:t>Pole formularza</w:t>
            </w:r>
          </w:p>
        </w:tc>
        <w:tc>
          <w:tcPr>
            <w:tcW w:w="11198" w:type="dxa"/>
          </w:tcPr>
          <w:p w14:paraId="310ED9AA" w14:textId="77777777" w:rsidR="008433D7" w:rsidRPr="009667DE" w:rsidRDefault="008433D7" w:rsidP="00560EBE">
            <w:r w:rsidRPr="009667DE">
              <w:t>Treść</w:t>
            </w:r>
          </w:p>
        </w:tc>
      </w:tr>
      <w:tr w:rsidR="009667DE" w:rsidRPr="009667DE" w14:paraId="18D66ECF" w14:textId="77777777" w:rsidTr="00560EBE">
        <w:tc>
          <w:tcPr>
            <w:tcW w:w="686" w:type="dxa"/>
          </w:tcPr>
          <w:p w14:paraId="05E6D94F" w14:textId="77777777" w:rsidR="008433D7" w:rsidRPr="009667DE" w:rsidRDefault="008433D7" w:rsidP="00382AC3">
            <w:pPr>
              <w:pStyle w:val="Akapitzlist"/>
              <w:numPr>
                <w:ilvl w:val="0"/>
                <w:numId w:val="7"/>
              </w:numPr>
            </w:pPr>
          </w:p>
        </w:tc>
        <w:tc>
          <w:tcPr>
            <w:tcW w:w="2003" w:type="dxa"/>
          </w:tcPr>
          <w:p w14:paraId="042B4E52" w14:textId="77777777" w:rsidR="008433D7" w:rsidRPr="009667DE" w:rsidRDefault="008433D7" w:rsidP="00560EBE">
            <w:r w:rsidRPr="009667DE">
              <w:t>Imię</w:t>
            </w:r>
          </w:p>
        </w:tc>
        <w:tc>
          <w:tcPr>
            <w:tcW w:w="11198" w:type="dxa"/>
            <w:shd w:val="clear" w:color="auto" w:fill="A6A6A6" w:themeFill="background1" w:themeFillShade="A6"/>
          </w:tcPr>
          <w:p w14:paraId="0C68501F" w14:textId="77777777" w:rsidR="008433D7" w:rsidRPr="009667DE" w:rsidRDefault="008433D7" w:rsidP="00560EBE"/>
        </w:tc>
      </w:tr>
      <w:tr w:rsidR="009667DE" w:rsidRPr="009667DE" w14:paraId="728DC0A0" w14:textId="77777777" w:rsidTr="00560EBE">
        <w:tc>
          <w:tcPr>
            <w:tcW w:w="686" w:type="dxa"/>
          </w:tcPr>
          <w:p w14:paraId="7565C1DB" w14:textId="77777777" w:rsidR="008433D7" w:rsidRPr="009667DE" w:rsidRDefault="008433D7" w:rsidP="00382AC3">
            <w:pPr>
              <w:pStyle w:val="Akapitzlist"/>
              <w:numPr>
                <w:ilvl w:val="0"/>
                <w:numId w:val="7"/>
              </w:numPr>
            </w:pPr>
          </w:p>
        </w:tc>
        <w:tc>
          <w:tcPr>
            <w:tcW w:w="2003" w:type="dxa"/>
          </w:tcPr>
          <w:p w14:paraId="5BCAD369" w14:textId="77777777" w:rsidR="008433D7" w:rsidRPr="009667DE" w:rsidRDefault="008433D7" w:rsidP="00560EBE">
            <w:r w:rsidRPr="009667DE">
              <w:t>Nazwisko</w:t>
            </w:r>
          </w:p>
        </w:tc>
        <w:tc>
          <w:tcPr>
            <w:tcW w:w="11198" w:type="dxa"/>
            <w:shd w:val="clear" w:color="auto" w:fill="A6A6A6" w:themeFill="background1" w:themeFillShade="A6"/>
          </w:tcPr>
          <w:p w14:paraId="0F1D4FDE" w14:textId="77777777" w:rsidR="008433D7" w:rsidRPr="009667DE" w:rsidRDefault="008433D7" w:rsidP="00560EBE"/>
        </w:tc>
      </w:tr>
      <w:tr w:rsidR="009667DE" w:rsidRPr="009667DE" w14:paraId="766EC09D" w14:textId="77777777" w:rsidTr="00560EBE">
        <w:tc>
          <w:tcPr>
            <w:tcW w:w="686" w:type="dxa"/>
          </w:tcPr>
          <w:p w14:paraId="4323B72E" w14:textId="77777777" w:rsidR="008433D7" w:rsidRPr="009667DE" w:rsidRDefault="008433D7" w:rsidP="00382AC3">
            <w:pPr>
              <w:pStyle w:val="Akapitzlist"/>
              <w:numPr>
                <w:ilvl w:val="0"/>
                <w:numId w:val="7"/>
              </w:numPr>
            </w:pPr>
          </w:p>
        </w:tc>
        <w:tc>
          <w:tcPr>
            <w:tcW w:w="2003" w:type="dxa"/>
          </w:tcPr>
          <w:p w14:paraId="4C373FB2" w14:textId="77777777" w:rsidR="008433D7" w:rsidRPr="009667DE" w:rsidRDefault="008433D7" w:rsidP="00560EBE">
            <w:r w:rsidRPr="009667DE">
              <w:t>Instytucja</w:t>
            </w:r>
          </w:p>
        </w:tc>
        <w:tc>
          <w:tcPr>
            <w:tcW w:w="11198" w:type="dxa"/>
            <w:shd w:val="clear" w:color="auto" w:fill="A6A6A6" w:themeFill="background1" w:themeFillShade="A6"/>
          </w:tcPr>
          <w:p w14:paraId="7E935D49" w14:textId="77777777" w:rsidR="008433D7" w:rsidRPr="009667DE" w:rsidRDefault="008433D7" w:rsidP="00560EBE"/>
        </w:tc>
      </w:tr>
      <w:tr w:rsidR="009667DE" w:rsidRPr="009667DE" w14:paraId="1C737DC7" w14:textId="77777777" w:rsidTr="00560EBE">
        <w:tc>
          <w:tcPr>
            <w:tcW w:w="686" w:type="dxa"/>
          </w:tcPr>
          <w:p w14:paraId="11E0340F" w14:textId="77777777" w:rsidR="008433D7" w:rsidRPr="009667DE" w:rsidRDefault="008433D7" w:rsidP="00382AC3">
            <w:pPr>
              <w:pStyle w:val="Akapitzlist"/>
              <w:numPr>
                <w:ilvl w:val="0"/>
                <w:numId w:val="7"/>
              </w:numPr>
            </w:pPr>
          </w:p>
        </w:tc>
        <w:tc>
          <w:tcPr>
            <w:tcW w:w="2003" w:type="dxa"/>
          </w:tcPr>
          <w:p w14:paraId="6139E203" w14:textId="77777777" w:rsidR="008433D7" w:rsidRPr="009667DE" w:rsidRDefault="008433D7" w:rsidP="00560EBE">
            <w:r w:rsidRPr="009667DE">
              <w:t>Województwo</w:t>
            </w:r>
          </w:p>
        </w:tc>
        <w:tc>
          <w:tcPr>
            <w:tcW w:w="11198" w:type="dxa"/>
            <w:shd w:val="clear" w:color="auto" w:fill="A6A6A6" w:themeFill="background1" w:themeFillShade="A6"/>
          </w:tcPr>
          <w:p w14:paraId="04A080A2" w14:textId="77777777" w:rsidR="008433D7" w:rsidRPr="009667DE" w:rsidRDefault="008433D7" w:rsidP="00560EBE"/>
        </w:tc>
      </w:tr>
      <w:tr w:rsidR="009667DE" w:rsidRPr="009667DE" w14:paraId="5639AC40" w14:textId="77777777" w:rsidTr="00560EBE">
        <w:tc>
          <w:tcPr>
            <w:tcW w:w="686" w:type="dxa"/>
          </w:tcPr>
          <w:p w14:paraId="15ACF43E" w14:textId="77777777" w:rsidR="008433D7" w:rsidRPr="009667DE" w:rsidRDefault="008433D7" w:rsidP="00382AC3">
            <w:pPr>
              <w:pStyle w:val="Akapitzlist"/>
              <w:numPr>
                <w:ilvl w:val="0"/>
                <w:numId w:val="7"/>
              </w:numPr>
            </w:pPr>
          </w:p>
        </w:tc>
        <w:tc>
          <w:tcPr>
            <w:tcW w:w="2003" w:type="dxa"/>
          </w:tcPr>
          <w:p w14:paraId="2722A3CD" w14:textId="77777777" w:rsidR="008433D7" w:rsidRPr="009667DE" w:rsidRDefault="008433D7" w:rsidP="00560EBE">
            <w:r w:rsidRPr="009667DE">
              <w:t>Część KPO</w:t>
            </w:r>
          </w:p>
        </w:tc>
        <w:tc>
          <w:tcPr>
            <w:tcW w:w="11198" w:type="dxa"/>
          </w:tcPr>
          <w:p w14:paraId="76F2A891" w14:textId="77777777" w:rsidR="008433D7" w:rsidRPr="009667DE" w:rsidRDefault="008433D7" w:rsidP="00560EBE">
            <w:r w:rsidRPr="009667DE">
              <w:t>1.2. Wyzwania rozwojowe</w:t>
            </w:r>
          </w:p>
        </w:tc>
      </w:tr>
      <w:tr w:rsidR="009667DE" w:rsidRPr="009667DE" w14:paraId="59132E27" w14:textId="77777777" w:rsidTr="00560EBE">
        <w:tc>
          <w:tcPr>
            <w:tcW w:w="686" w:type="dxa"/>
          </w:tcPr>
          <w:p w14:paraId="7D91EA8A" w14:textId="77777777" w:rsidR="008433D7" w:rsidRPr="009667DE" w:rsidRDefault="008433D7" w:rsidP="00382AC3">
            <w:pPr>
              <w:pStyle w:val="Akapitzlist"/>
              <w:numPr>
                <w:ilvl w:val="0"/>
                <w:numId w:val="7"/>
              </w:numPr>
            </w:pPr>
          </w:p>
        </w:tc>
        <w:tc>
          <w:tcPr>
            <w:tcW w:w="2003" w:type="dxa"/>
          </w:tcPr>
          <w:p w14:paraId="61DFA16C" w14:textId="77777777" w:rsidR="008433D7" w:rsidRPr="009667DE" w:rsidRDefault="008433D7" w:rsidP="00560EBE">
            <w:r w:rsidRPr="009667DE">
              <w:t>Strona</w:t>
            </w:r>
          </w:p>
        </w:tc>
        <w:tc>
          <w:tcPr>
            <w:tcW w:w="11198" w:type="dxa"/>
          </w:tcPr>
          <w:p w14:paraId="5B409EA6" w14:textId="76960CB7" w:rsidR="008433D7" w:rsidRPr="009667DE" w:rsidRDefault="008433D7" w:rsidP="00560EBE">
            <w:r w:rsidRPr="009667DE">
              <w:t>16</w:t>
            </w:r>
          </w:p>
        </w:tc>
      </w:tr>
      <w:tr w:rsidR="009667DE" w:rsidRPr="009667DE" w14:paraId="0084C2C4" w14:textId="77777777" w:rsidTr="00560EBE">
        <w:tc>
          <w:tcPr>
            <w:tcW w:w="686" w:type="dxa"/>
          </w:tcPr>
          <w:p w14:paraId="4FDE84EE" w14:textId="77777777" w:rsidR="008433D7" w:rsidRPr="009667DE" w:rsidRDefault="008433D7" w:rsidP="00382AC3">
            <w:pPr>
              <w:pStyle w:val="Akapitzlist"/>
              <w:numPr>
                <w:ilvl w:val="0"/>
                <w:numId w:val="7"/>
              </w:numPr>
            </w:pPr>
          </w:p>
        </w:tc>
        <w:tc>
          <w:tcPr>
            <w:tcW w:w="2003" w:type="dxa"/>
          </w:tcPr>
          <w:p w14:paraId="269E747B" w14:textId="77777777" w:rsidR="008433D7" w:rsidRPr="009667DE" w:rsidRDefault="008433D7" w:rsidP="00560EBE">
            <w:r w:rsidRPr="009667DE">
              <w:t>Treść Uwagi</w:t>
            </w:r>
          </w:p>
        </w:tc>
        <w:tc>
          <w:tcPr>
            <w:tcW w:w="11198" w:type="dxa"/>
          </w:tcPr>
          <w:p w14:paraId="1BEE64E0" w14:textId="636B300C" w:rsidR="00FB0D0A" w:rsidRPr="009667DE" w:rsidRDefault="00FB0D0A" w:rsidP="00FB0D0A">
            <w:pPr>
              <w:pStyle w:val="Default"/>
              <w:rPr>
                <w:color w:val="auto"/>
              </w:rPr>
            </w:pPr>
            <w:r w:rsidRPr="009667DE">
              <w:rPr>
                <w:color w:val="auto"/>
              </w:rPr>
              <w:t>Zmiana brzmienia komponentu E KPO na:</w:t>
            </w:r>
            <w:r w:rsidRPr="009667DE">
              <w:rPr>
                <w:color w:val="auto"/>
              </w:rPr>
              <w:br/>
            </w:r>
          </w:p>
          <w:p w14:paraId="717DC1E8" w14:textId="221F2749" w:rsidR="008433D7" w:rsidRPr="009667DE" w:rsidRDefault="00FB0D0A" w:rsidP="00FB0D0A">
            <w:pPr>
              <w:pStyle w:val="Default"/>
              <w:rPr>
                <w:b/>
                <w:bCs/>
                <w:color w:val="auto"/>
                <w:sz w:val="22"/>
                <w:szCs w:val="22"/>
              </w:rPr>
            </w:pPr>
            <w:r w:rsidRPr="009667DE">
              <w:rPr>
                <w:color w:val="auto"/>
                <w:sz w:val="22"/>
                <w:szCs w:val="22"/>
              </w:rPr>
              <w:t>zwiększania zrównoważonej dostępności transportowej, w szczególności poprzez zapewnienie odpowiedniej jakości usług zbiorowych przewozów publicznych na potrzeby zeroemisyjnego transportu publicznego oraz rozbudowy sieci dróg rowerowych.</w:t>
            </w:r>
          </w:p>
        </w:tc>
      </w:tr>
      <w:tr w:rsidR="008433D7" w:rsidRPr="009667DE" w14:paraId="7875D3E0" w14:textId="77777777" w:rsidTr="00560EBE">
        <w:tc>
          <w:tcPr>
            <w:tcW w:w="686" w:type="dxa"/>
          </w:tcPr>
          <w:p w14:paraId="003098D2" w14:textId="77777777" w:rsidR="008433D7" w:rsidRPr="009667DE" w:rsidRDefault="008433D7" w:rsidP="00382AC3">
            <w:pPr>
              <w:pStyle w:val="Akapitzlist"/>
              <w:numPr>
                <w:ilvl w:val="0"/>
                <w:numId w:val="7"/>
              </w:numPr>
            </w:pPr>
          </w:p>
        </w:tc>
        <w:tc>
          <w:tcPr>
            <w:tcW w:w="2003" w:type="dxa"/>
          </w:tcPr>
          <w:p w14:paraId="63636BEE" w14:textId="77777777" w:rsidR="008433D7" w:rsidRPr="009667DE" w:rsidRDefault="008433D7" w:rsidP="00560EBE">
            <w:r w:rsidRPr="009667DE">
              <w:t>Uzasadnienie uwagi</w:t>
            </w:r>
          </w:p>
        </w:tc>
        <w:tc>
          <w:tcPr>
            <w:tcW w:w="11198" w:type="dxa"/>
          </w:tcPr>
          <w:p w14:paraId="78308546" w14:textId="66CB7549" w:rsidR="008433D7" w:rsidRPr="009667DE" w:rsidRDefault="00FB0D0A" w:rsidP="00560EBE">
            <w:r w:rsidRPr="009667DE">
              <w:t xml:space="preserve">Zmiana jest konsekwencją całościowego podejścia do oczekiwanych rezultatów podejmowanych interwencji. W kontekście równoważenia mobilności i tworzenia warunków dla bezemisyjnego, a przy tym bezpiecznego z punktu widzenia pandemii transportu, nie można pominąć kwestii </w:t>
            </w:r>
            <w:r w:rsidR="00FF511B" w:rsidRPr="009667DE">
              <w:t xml:space="preserve">rozwoju transportu rowerowego. </w:t>
            </w:r>
            <w:r w:rsidR="008433D7" w:rsidRPr="009667DE">
              <w:t xml:space="preserve">Większy udział rowerów w podróżach wpisuje się wprost przytoczony cel szczegółowy KPO: Zielona transformacja gospodarki oraz rozwój zielonej, inteligentnej mobilności. Transport rowerowy nie generuje bowiem szkodliwych substancji, hałasu, ani nie obniża spójności przestrzeni. </w:t>
            </w:r>
          </w:p>
        </w:tc>
      </w:tr>
    </w:tbl>
    <w:p w14:paraId="77092E2C" w14:textId="394E4130" w:rsidR="00FF511B" w:rsidRPr="009667DE" w:rsidRDefault="00FF511B"/>
    <w:p w14:paraId="426C7DC6" w14:textId="77777777" w:rsidR="00FF511B" w:rsidRPr="009667DE" w:rsidRDefault="00FF511B">
      <w:r w:rsidRPr="009667DE">
        <w:br w:type="column"/>
      </w:r>
    </w:p>
    <w:tbl>
      <w:tblPr>
        <w:tblStyle w:val="Tabela-Siatka"/>
        <w:tblW w:w="0" w:type="auto"/>
        <w:tblLook w:val="04A0" w:firstRow="1" w:lastRow="0" w:firstColumn="1" w:lastColumn="0" w:noHBand="0" w:noVBand="1"/>
      </w:tblPr>
      <w:tblGrid>
        <w:gridCol w:w="686"/>
        <w:gridCol w:w="2003"/>
        <w:gridCol w:w="11198"/>
      </w:tblGrid>
      <w:tr w:rsidR="009667DE" w:rsidRPr="009667DE" w14:paraId="03CD3D32" w14:textId="77777777" w:rsidTr="00560EBE">
        <w:tc>
          <w:tcPr>
            <w:tcW w:w="686" w:type="dxa"/>
          </w:tcPr>
          <w:p w14:paraId="5721DCEF" w14:textId="77777777" w:rsidR="00FF511B" w:rsidRPr="009667DE" w:rsidRDefault="00FF511B" w:rsidP="00560EBE">
            <w:proofErr w:type="spellStart"/>
            <w:r w:rsidRPr="009667DE">
              <w:t>Lp</w:t>
            </w:r>
            <w:proofErr w:type="spellEnd"/>
          </w:p>
        </w:tc>
        <w:tc>
          <w:tcPr>
            <w:tcW w:w="2003" w:type="dxa"/>
          </w:tcPr>
          <w:p w14:paraId="4925AC04" w14:textId="77777777" w:rsidR="00FF511B" w:rsidRPr="009667DE" w:rsidRDefault="00FF511B" w:rsidP="00560EBE">
            <w:r w:rsidRPr="009667DE">
              <w:t>Pole formularza</w:t>
            </w:r>
          </w:p>
        </w:tc>
        <w:tc>
          <w:tcPr>
            <w:tcW w:w="11198" w:type="dxa"/>
          </w:tcPr>
          <w:p w14:paraId="45450492" w14:textId="77777777" w:rsidR="00FF511B" w:rsidRPr="009667DE" w:rsidRDefault="00FF511B" w:rsidP="00560EBE">
            <w:r w:rsidRPr="009667DE">
              <w:t>Treść</w:t>
            </w:r>
          </w:p>
        </w:tc>
      </w:tr>
      <w:tr w:rsidR="009667DE" w:rsidRPr="009667DE" w14:paraId="1F54CAF2" w14:textId="77777777" w:rsidTr="00560EBE">
        <w:tc>
          <w:tcPr>
            <w:tcW w:w="686" w:type="dxa"/>
          </w:tcPr>
          <w:p w14:paraId="73B146B5" w14:textId="77777777" w:rsidR="00FF511B" w:rsidRPr="009667DE" w:rsidRDefault="00FF511B" w:rsidP="00382AC3">
            <w:pPr>
              <w:pStyle w:val="Akapitzlist"/>
              <w:numPr>
                <w:ilvl w:val="0"/>
                <w:numId w:val="6"/>
              </w:numPr>
            </w:pPr>
          </w:p>
        </w:tc>
        <w:tc>
          <w:tcPr>
            <w:tcW w:w="2003" w:type="dxa"/>
          </w:tcPr>
          <w:p w14:paraId="72F279A6" w14:textId="77777777" w:rsidR="00FF511B" w:rsidRPr="009667DE" w:rsidRDefault="00FF511B" w:rsidP="00560EBE">
            <w:r w:rsidRPr="009667DE">
              <w:t>Imię</w:t>
            </w:r>
          </w:p>
        </w:tc>
        <w:tc>
          <w:tcPr>
            <w:tcW w:w="11198" w:type="dxa"/>
            <w:shd w:val="clear" w:color="auto" w:fill="A6A6A6" w:themeFill="background1" w:themeFillShade="A6"/>
          </w:tcPr>
          <w:p w14:paraId="5B31C4B9" w14:textId="77777777" w:rsidR="00FF511B" w:rsidRPr="009667DE" w:rsidRDefault="00FF511B" w:rsidP="00560EBE"/>
        </w:tc>
      </w:tr>
      <w:tr w:rsidR="009667DE" w:rsidRPr="009667DE" w14:paraId="30CC62AF" w14:textId="77777777" w:rsidTr="00560EBE">
        <w:tc>
          <w:tcPr>
            <w:tcW w:w="686" w:type="dxa"/>
          </w:tcPr>
          <w:p w14:paraId="12FA624F" w14:textId="77777777" w:rsidR="00FF511B" w:rsidRPr="009667DE" w:rsidRDefault="00FF511B" w:rsidP="00382AC3">
            <w:pPr>
              <w:pStyle w:val="Akapitzlist"/>
              <w:numPr>
                <w:ilvl w:val="0"/>
                <w:numId w:val="6"/>
              </w:numPr>
            </w:pPr>
          </w:p>
        </w:tc>
        <w:tc>
          <w:tcPr>
            <w:tcW w:w="2003" w:type="dxa"/>
          </w:tcPr>
          <w:p w14:paraId="2A9A339D" w14:textId="77777777" w:rsidR="00FF511B" w:rsidRPr="009667DE" w:rsidRDefault="00FF511B" w:rsidP="00560EBE">
            <w:r w:rsidRPr="009667DE">
              <w:t>Nazwisko</w:t>
            </w:r>
          </w:p>
        </w:tc>
        <w:tc>
          <w:tcPr>
            <w:tcW w:w="11198" w:type="dxa"/>
            <w:shd w:val="clear" w:color="auto" w:fill="A6A6A6" w:themeFill="background1" w:themeFillShade="A6"/>
          </w:tcPr>
          <w:p w14:paraId="78BAC960" w14:textId="77777777" w:rsidR="00FF511B" w:rsidRPr="009667DE" w:rsidRDefault="00FF511B" w:rsidP="00560EBE"/>
        </w:tc>
      </w:tr>
      <w:tr w:rsidR="009667DE" w:rsidRPr="009667DE" w14:paraId="47A510A9" w14:textId="77777777" w:rsidTr="00560EBE">
        <w:tc>
          <w:tcPr>
            <w:tcW w:w="686" w:type="dxa"/>
          </w:tcPr>
          <w:p w14:paraId="2BF2A253" w14:textId="77777777" w:rsidR="00FF511B" w:rsidRPr="009667DE" w:rsidRDefault="00FF511B" w:rsidP="00382AC3">
            <w:pPr>
              <w:pStyle w:val="Akapitzlist"/>
              <w:numPr>
                <w:ilvl w:val="0"/>
                <w:numId w:val="6"/>
              </w:numPr>
            </w:pPr>
          </w:p>
        </w:tc>
        <w:tc>
          <w:tcPr>
            <w:tcW w:w="2003" w:type="dxa"/>
          </w:tcPr>
          <w:p w14:paraId="164A2053" w14:textId="77777777" w:rsidR="00FF511B" w:rsidRPr="009667DE" w:rsidRDefault="00FF511B" w:rsidP="00560EBE">
            <w:r w:rsidRPr="009667DE">
              <w:t>Instytucja</w:t>
            </w:r>
          </w:p>
        </w:tc>
        <w:tc>
          <w:tcPr>
            <w:tcW w:w="11198" w:type="dxa"/>
            <w:shd w:val="clear" w:color="auto" w:fill="A6A6A6" w:themeFill="background1" w:themeFillShade="A6"/>
          </w:tcPr>
          <w:p w14:paraId="34C6BF49" w14:textId="77777777" w:rsidR="00FF511B" w:rsidRPr="009667DE" w:rsidRDefault="00FF511B" w:rsidP="00560EBE"/>
        </w:tc>
      </w:tr>
      <w:tr w:rsidR="009667DE" w:rsidRPr="009667DE" w14:paraId="224C247C" w14:textId="77777777" w:rsidTr="00560EBE">
        <w:tc>
          <w:tcPr>
            <w:tcW w:w="686" w:type="dxa"/>
          </w:tcPr>
          <w:p w14:paraId="227D05A1" w14:textId="77777777" w:rsidR="00FF511B" w:rsidRPr="009667DE" w:rsidRDefault="00FF511B" w:rsidP="00382AC3">
            <w:pPr>
              <w:pStyle w:val="Akapitzlist"/>
              <w:numPr>
                <w:ilvl w:val="0"/>
                <w:numId w:val="6"/>
              </w:numPr>
            </w:pPr>
          </w:p>
        </w:tc>
        <w:tc>
          <w:tcPr>
            <w:tcW w:w="2003" w:type="dxa"/>
          </w:tcPr>
          <w:p w14:paraId="314DA9FC" w14:textId="77777777" w:rsidR="00FF511B" w:rsidRPr="009667DE" w:rsidRDefault="00FF511B" w:rsidP="00560EBE">
            <w:r w:rsidRPr="009667DE">
              <w:t>Województwo</w:t>
            </w:r>
          </w:p>
        </w:tc>
        <w:tc>
          <w:tcPr>
            <w:tcW w:w="11198" w:type="dxa"/>
            <w:shd w:val="clear" w:color="auto" w:fill="A6A6A6" w:themeFill="background1" w:themeFillShade="A6"/>
          </w:tcPr>
          <w:p w14:paraId="0B7F00BE" w14:textId="77777777" w:rsidR="00FF511B" w:rsidRPr="009667DE" w:rsidRDefault="00FF511B" w:rsidP="00560EBE"/>
        </w:tc>
      </w:tr>
      <w:tr w:rsidR="009667DE" w:rsidRPr="009667DE" w14:paraId="51321EB7" w14:textId="77777777" w:rsidTr="00560EBE">
        <w:tc>
          <w:tcPr>
            <w:tcW w:w="686" w:type="dxa"/>
          </w:tcPr>
          <w:p w14:paraId="5E206A02" w14:textId="77777777" w:rsidR="00FF511B" w:rsidRPr="009667DE" w:rsidRDefault="00FF511B" w:rsidP="00382AC3">
            <w:pPr>
              <w:pStyle w:val="Akapitzlist"/>
              <w:numPr>
                <w:ilvl w:val="0"/>
                <w:numId w:val="6"/>
              </w:numPr>
            </w:pPr>
          </w:p>
        </w:tc>
        <w:tc>
          <w:tcPr>
            <w:tcW w:w="2003" w:type="dxa"/>
          </w:tcPr>
          <w:p w14:paraId="1C8FBB13" w14:textId="77777777" w:rsidR="00FF511B" w:rsidRPr="009667DE" w:rsidRDefault="00FF511B" w:rsidP="00560EBE">
            <w:r w:rsidRPr="009667DE">
              <w:t>Część KPO</w:t>
            </w:r>
          </w:p>
        </w:tc>
        <w:tc>
          <w:tcPr>
            <w:tcW w:w="11198" w:type="dxa"/>
          </w:tcPr>
          <w:p w14:paraId="51089467" w14:textId="63993165" w:rsidR="00FF511B" w:rsidRPr="009667DE" w:rsidRDefault="009D2FF1" w:rsidP="00560EBE">
            <w:r w:rsidRPr="009667DE">
              <w:t xml:space="preserve">1.4.1. Zgodność KPO z 6 filarami wynikającymi z art. 3 rozporządzenia </w:t>
            </w:r>
            <w:proofErr w:type="spellStart"/>
            <w:r w:rsidRPr="009667DE">
              <w:t>ws</w:t>
            </w:r>
            <w:proofErr w:type="spellEnd"/>
            <w:r w:rsidRPr="009667DE">
              <w:t>. RRF</w:t>
            </w:r>
          </w:p>
        </w:tc>
      </w:tr>
      <w:tr w:rsidR="009667DE" w:rsidRPr="009667DE" w14:paraId="0F2AB48F" w14:textId="77777777" w:rsidTr="00560EBE">
        <w:tc>
          <w:tcPr>
            <w:tcW w:w="686" w:type="dxa"/>
          </w:tcPr>
          <w:p w14:paraId="0AD13085" w14:textId="77777777" w:rsidR="00FF511B" w:rsidRPr="009667DE" w:rsidRDefault="00FF511B" w:rsidP="00382AC3">
            <w:pPr>
              <w:pStyle w:val="Akapitzlist"/>
              <w:numPr>
                <w:ilvl w:val="0"/>
                <w:numId w:val="6"/>
              </w:numPr>
            </w:pPr>
          </w:p>
        </w:tc>
        <w:tc>
          <w:tcPr>
            <w:tcW w:w="2003" w:type="dxa"/>
          </w:tcPr>
          <w:p w14:paraId="163F1039" w14:textId="77777777" w:rsidR="00FF511B" w:rsidRPr="009667DE" w:rsidRDefault="00FF511B" w:rsidP="00560EBE">
            <w:r w:rsidRPr="009667DE">
              <w:t>Strona</w:t>
            </w:r>
          </w:p>
        </w:tc>
        <w:tc>
          <w:tcPr>
            <w:tcW w:w="11198" w:type="dxa"/>
          </w:tcPr>
          <w:p w14:paraId="0C5E0D23" w14:textId="79567B83" w:rsidR="00FF511B" w:rsidRPr="009667DE" w:rsidRDefault="009D2FF1" w:rsidP="00560EBE">
            <w:r w:rsidRPr="009667DE">
              <w:t>19-20</w:t>
            </w:r>
          </w:p>
        </w:tc>
      </w:tr>
      <w:tr w:rsidR="009667DE" w:rsidRPr="009667DE" w14:paraId="405DEC9B" w14:textId="77777777" w:rsidTr="00560EBE">
        <w:tc>
          <w:tcPr>
            <w:tcW w:w="686" w:type="dxa"/>
          </w:tcPr>
          <w:p w14:paraId="745D984E" w14:textId="77777777" w:rsidR="00FF511B" w:rsidRPr="009667DE" w:rsidRDefault="00FF511B" w:rsidP="00382AC3">
            <w:pPr>
              <w:pStyle w:val="Akapitzlist"/>
              <w:numPr>
                <w:ilvl w:val="0"/>
                <w:numId w:val="6"/>
              </w:numPr>
            </w:pPr>
          </w:p>
        </w:tc>
        <w:tc>
          <w:tcPr>
            <w:tcW w:w="2003" w:type="dxa"/>
          </w:tcPr>
          <w:p w14:paraId="45A8D7AE" w14:textId="77777777" w:rsidR="00FF511B" w:rsidRPr="009667DE" w:rsidRDefault="00FF511B" w:rsidP="00560EBE">
            <w:r w:rsidRPr="009667DE">
              <w:t>Treść Uwagi</w:t>
            </w:r>
          </w:p>
        </w:tc>
        <w:tc>
          <w:tcPr>
            <w:tcW w:w="11198" w:type="dxa"/>
          </w:tcPr>
          <w:p w14:paraId="194188D0" w14:textId="45FD8581" w:rsidR="00620CE9" w:rsidRPr="009667DE" w:rsidRDefault="00620CE9" w:rsidP="00620CE9">
            <w:pPr>
              <w:pStyle w:val="Default"/>
              <w:rPr>
                <w:color w:val="auto"/>
              </w:rPr>
            </w:pPr>
            <w:r w:rsidRPr="009667DE">
              <w:rPr>
                <w:color w:val="auto"/>
              </w:rPr>
              <w:t>Rozszerzenie zakresu finansowania Komponentu E KPO:</w:t>
            </w:r>
          </w:p>
          <w:p w14:paraId="022A4937" w14:textId="0C16540E" w:rsidR="00620CE9" w:rsidRPr="009667DE" w:rsidRDefault="00620CE9" w:rsidP="00620CE9">
            <w:pPr>
              <w:pStyle w:val="Default"/>
              <w:rPr>
                <w:color w:val="auto"/>
                <w:sz w:val="22"/>
                <w:szCs w:val="22"/>
              </w:rPr>
            </w:pPr>
            <w:r w:rsidRPr="009667DE">
              <w:rPr>
                <w:color w:val="auto"/>
                <w:sz w:val="22"/>
                <w:szCs w:val="22"/>
              </w:rPr>
              <w:t>- wsparcie kwotą 1 031 mln euro programu kompleksowej wymiany taboru autobusowego (w miastach i ich obszarach funkcjonalnych) na tabor nisko i zeroemisyjny oraz infrastrukturę towarzyszącą, służącą zarówno poborowi energii, jak i serwisowaniu taboru; wsparcie rozbudowy infrastruktury rowerowej.</w:t>
            </w:r>
          </w:p>
          <w:p w14:paraId="0039B192" w14:textId="53E2F76F" w:rsidR="00FF511B" w:rsidRPr="009667DE" w:rsidRDefault="00FF511B" w:rsidP="00620CE9">
            <w:pPr>
              <w:pStyle w:val="Default"/>
              <w:rPr>
                <w:b/>
                <w:bCs/>
                <w:color w:val="auto"/>
                <w:sz w:val="22"/>
                <w:szCs w:val="22"/>
              </w:rPr>
            </w:pPr>
          </w:p>
        </w:tc>
      </w:tr>
      <w:tr w:rsidR="00FF511B" w:rsidRPr="009667DE" w14:paraId="4F0454F4" w14:textId="77777777" w:rsidTr="00560EBE">
        <w:tc>
          <w:tcPr>
            <w:tcW w:w="686" w:type="dxa"/>
          </w:tcPr>
          <w:p w14:paraId="6E4AC37C" w14:textId="77777777" w:rsidR="00FF511B" w:rsidRPr="009667DE" w:rsidRDefault="00FF511B" w:rsidP="00382AC3">
            <w:pPr>
              <w:pStyle w:val="Akapitzlist"/>
              <w:numPr>
                <w:ilvl w:val="0"/>
                <w:numId w:val="6"/>
              </w:numPr>
            </w:pPr>
          </w:p>
        </w:tc>
        <w:tc>
          <w:tcPr>
            <w:tcW w:w="2003" w:type="dxa"/>
          </w:tcPr>
          <w:p w14:paraId="453A57B8" w14:textId="77777777" w:rsidR="00FF511B" w:rsidRPr="009667DE" w:rsidRDefault="00FF511B" w:rsidP="00560EBE">
            <w:r w:rsidRPr="009667DE">
              <w:t>Uzasadnienie uwagi</w:t>
            </w:r>
          </w:p>
        </w:tc>
        <w:tc>
          <w:tcPr>
            <w:tcW w:w="11198" w:type="dxa"/>
          </w:tcPr>
          <w:p w14:paraId="6A44086E" w14:textId="045DE360" w:rsidR="00FF511B" w:rsidRPr="009667DE" w:rsidRDefault="00FF511B" w:rsidP="00560EBE">
            <w:r w:rsidRPr="009667DE">
              <w:t xml:space="preserve">Zmiana jest konsekwencją całościowego podejścia do oczekiwanych rezultatów podejmowanych interwencji. W kontekście równoważenia mobilności i tworzenia warunków dla bezemisyjnego, a przy tym bezpiecznego z punktu widzenia pandemii transportu, nie można pominąć kwestii rozwoju transportu rowerowego. Większy udział rowerów w podróżach wpisuje się wprost przytoczony cel szczegółowy KPO: Zielona transformacja gospodarki oraz rozwój zielonej, inteligentnej mobilności. Transport rowerowy nie generuje bowiem szkodliwych substancji, hałasu, ani nie obniża spójności przestrzeni. </w:t>
            </w:r>
            <w:r w:rsidR="00620CE9" w:rsidRPr="009667DE">
              <w:t xml:space="preserve">Nie można zatem, w kontekście zadeklarowanych celów KPO oraz odporności na przyszłe pandemie pominąć kwestii rozwoju roweru jako środka transportu. Działanie takie wpisuje się w </w:t>
            </w:r>
            <w:r w:rsidR="00E158A7" w:rsidRPr="009667DE">
              <w:t>zaplanowany filar I dot. zielonej transformacji, w ramach Instrumentu na rzecz Odbudowy i Zwiększania Odporności.</w:t>
            </w:r>
          </w:p>
        </w:tc>
      </w:tr>
    </w:tbl>
    <w:p w14:paraId="315C3446" w14:textId="2416B356" w:rsidR="00620CE9" w:rsidRPr="009667DE" w:rsidRDefault="00620CE9"/>
    <w:p w14:paraId="15EAA49D" w14:textId="77777777" w:rsidR="00620CE9" w:rsidRPr="009667DE" w:rsidRDefault="00620CE9">
      <w:r w:rsidRPr="009667DE">
        <w:br w:type="page"/>
      </w:r>
    </w:p>
    <w:tbl>
      <w:tblPr>
        <w:tblStyle w:val="Tabela-Siatka"/>
        <w:tblW w:w="0" w:type="auto"/>
        <w:tblLook w:val="04A0" w:firstRow="1" w:lastRow="0" w:firstColumn="1" w:lastColumn="0" w:noHBand="0" w:noVBand="1"/>
      </w:tblPr>
      <w:tblGrid>
        <w:gridCol w:w="686"/>
        <w:gridCol w:w="2003"/>
        <w:gridCol w:w="11198"/>
      </w:tblGrid>
      <w:tr w:rsidR="009667DE" w:rsidRPr="009667DE" w14:paraId="1F217FDE" w14:textId="77777777" w:rsidTr="00560EBE">
        <w:tc>
          <w:tcPr>
            <w:tcW w:w="686" w:type="dxa"/>
          </w:tcPr>
          <w:p w14:paraId="65B9E19E" w14:textId="77777777" w:rsidR="00620CE9" w:rsidRPr="009667DE" w:rsidRDefault="00620CE9" w:rsidP="00560EBE">
            <w:proofErr w:type="spellStart"/>
            <w:r w:rsidRPr="009667DE">
              <w:lastRenderedPageBreak/>
              <w:t>Lp</w:t>
            </w:r>
            <w:proofErr w:type="spellEnd"/>
          </w:p>
        </w:tc>
        <w:tc>
          <w:tcPr>
            <w:tcW w:w="2003" w:type="dxa"/>
          </w:tcPr>
          <w:p w14:paraId="27114849" w14:textId="77777777" w:rsidR="00620CE9" w:rsidRPr="009667DE" w:rsidRDefault="00620CE9" w:rsidP="00560EBE">
            <w:r w:rsidRPr="009667DE">
              <w:t>Pole formularza</w:t>
            </w:r>
          </w:p>
        </w:tc>
        <w:tc>
          <w:tcPr>
            <w:tcW w:w="11198" w:type="dxa"/>
          </w:tcPr>
          <w:p w14:paraId="5D0EE2D9" w14:textId="77777777" w:rsidR="00620CE9" w:rsidRPr="009667DE" w:rsidRDefault="00620CE9" w:rsidP="00560EBE">
            <w:r w:rsidRPr="009667DE">
              <w:t>Treść</w:t>
            </w:r>
          </w:p>
        </w:tc>
      </w:tr>
      <w:tr w:rsidR="009667DE" w:rsidRPr="009667DE" w14:paraId="0A05CA8C" w14:textId="77777777" w:rsidTr="00560EBE">
        <w:tc>
          <w:tcPr>
            <w:tcW w:w="686" w:type="dxa"/>
          </w:tcPr>
          <w:p w14:paraId="633323BD" w14:textId="77777777" w:rsidR="00620CE9" w:rsidRPr="009667DE" w:rsidRDefault="00620CE9" w:rsidP="00382AC3">
            <w:pPr>
              <w:pStyle w:val="Akapitzlist"/>
              <w:numPr>
                <w:ilvl w:val="0"/>
                <w:numId w:val="5"/>
              </w:numPr>
            </w:pPr>
          </w:p>
        </w:tc>
        <w:tc>
          <w:tcPr>
            <w:tcW w:w="2003" w:type="dxa"/>
          </w:tcPr>
          <w:p w14:paraId="3BEEFD6D" w14:textId="77777777" w:rsidR="00620CE9" w:rsidRPr="009667DE" w:rsidRDefault="00620CE9" w:rsidP="00560EBE">
            <w:r w:rsidRPr="009667DE">
              <w:t>Imię</w:t>
            </w:r>
          </w:p>
        </w:tc>
        <w:tc>
          <w:tcPr>
            <w:tcW w:w="11198" w:type="dxa"/>
            <w:shd w:val="clear" w:color="auto" w:fill="A6A6A6" w:themeFill="background1" w:themeFillShade="A6"/>
          </w:tcPr>
          <w:p w14:paraId="5A7D0A6C" w14:textId="77777777" w:rsidR="00620CE9" w:rsidRPr="009667DE" w:rsidRDefault="00620CE9" w:rsidP="00560EBE"/>
        </w:tc>
      </w:tr>
      <w:tr w:rsidR="009667DE" w:rsidRPr="009667DE" w14:paraId="2A8AF530" w14:textId="77777777" w:rsidTr="00560EBE">
        <w:tc>
          <w:tcPr>
            <w:tcW w:w="686" w:type="dxa"/>
          </w:tcPr>
          <w:p w14:paraId="1B381343" w14:textId="77777777" w:rsidR="00620CE9" w:rsidRPr="009667DE" w:rsidRDefault="00620CE9" w:rsidP="00382AC3">
            <w:pPr>
              <w:pStyle w:val="Akapitzlist"/>
              <w:numPr>
                <w:ilvl w:val="0"/>
                <w:numId w:val="5"/>
              </w:numPr>
            </w:pPr>
          </w:p>
        </w:tc>
        <w:tc>
          <w:tcPr>
            <w:tcW w:w="2003" w:type="dxa"/>
          </w:tcPr>
          <w:p w14:paraId="51479FDF" w14:textId="77777777" w:rsidR="00620CE9" w:rsidRPr="009667DE" w:rsidRDefault="00620CE9" w:rsidP="00560EBE">
            <w:r w:rsidRPr="009667DE">
              <w:t>Nazwisko</w:t>
            </w:r>
          </w:p>
        </w:tc>
        <w:tc>
          <w:tcPr>
            <w:tcW w:w="11198" w:type="dxa"/>
            <w:shd w:val="clear" w:color="auto" w:fill="A6A6A6" w:themeFill="background1" w:themeFillShade="A6"/>
          </w:tcPr>
          <w:p w14:paraId="43CD0022" w14:textId="77777777" w:rsidR="00620CE9" w:rsidRPr="009667DE" w:rsidRDefault="00620CE9" w:rsidP="00560EBE"/>
        </w:tc>
      </w:tr>
      <w:tr w:rsidR="009667DE" w:rsidRPr="009667DE" w14:paraId="42F76676" w14:textId="77777777" w:rsidTr="00560EBE">
        <w:tc>
          <w:tcPr>
            <w:tcW w:w="686" w:type="dxa"/>
          </w:tcPr>
          <w:p w14:paraId="2FED0E4D" w14:textId="77777777" w:rsidR="00620CE9" w:rsidRPr="009667DE" w:rsidRDefault="00620CE9" w:rsidP="00382AC3">
            <w:pPr>
              <w:pStyle w:val="Akapitzlist"/>
              <w:numPr>
                <w:ilvl w:val="0"/>
                <w:numId w:val="5"/>
              </w:numPr>
            </w:pPr>
          </w:p>
        </w:tc>
        <w:tc>
          <w:tcPr>
            <w:tcW w:w="2003" w:type="dxa"/>
          </w:tcPr>
          <w:p w14:paraId="344A6DF9" w14:textId="77777777" w:rsidR="00620CE9" w:rsidRPr="009667DE" w:rsidRDefault="00620CE9" w:rsidP="00560EBE">
            <w:r w:rsidRPr="009667DE">
              <w:t>Instytucja</w:t>
            </w:r>
          </w:p>
        </w:tc>
        <w:tc>
          <w:tcPr>
            <w:tcW w:w="11198" w:type="dxa"/>
            <w:shd w:val="clear" w:color="auto" w:fill="A6A6A6" w:themeFill="background1" w:themeFillShade="A6"/>
          </w:tcPr>
          <w:p w14:paraId="2669C6AB" w14:textId="77777777" w:rsidR="00620CE9" w:rsidRPr="009667DE" w:rsidRDefault="00620CE9" w:rsidP="00560EBE"/>
        </w:tc>
      </w:tr>
      <w:tr w:rsidR="009667DE" w:rsidRPr="009667DE" w14:paraId="5C535527" w14:textId="77777777" w:rsidTr="00560EBE">
        <w:tc>
          <w:tcPr>
            <w:tcW w:w="686" w:type="dxa"/>
          </w:tcPr>
          <w:p w14:paraId="28229CA1" w14:textId="77777777" w:rsidR="00620CE9" w:rsidRPr="009667DE" w:rsidRDefault="00620CE9" w:rsidP="00382AC3">
            <w:pPr>
              <w:pStyle w:val="Akapitzlist"/>
              <w:numPr>
                <w:ilvl w:val="0"/>
                <w:numId w:val="5"/>
              </w:numPr>
            </w:pPr>
          </w:p>
        </w:tc>
        <w:tc>
          <w:tcPr>
            <w:tcW w:w="2003" w:type="dxa"/>
          </w:tcPr>
          <w:p w14:paraId="52DF8535" w14:textId="77777777" w:rsidR="00620CE9" w:rsidRPr="009667DE" w:rsidRDefault="00620CE9" w:rsidP="00560EBE">
            <w:r w:rsidRPr="009667DE">
              <w:t>Województwo</w:t>
            </w:r>
          </w:p>
        </w:tc>
        <w:tc>
          <w:tcPr>
            <w:tcW w:w="11198" w:type="dxa"/>
            <w:shd w:val="clear" w:color="auto" w:fill="A6A6A6" w:themeFill="background1" w:themeFillShade="A6"/>
          </w:tcPr>
          <w:p w14:paraId="64062F59" w14:textId="77777777" w:rsidR="00620CE9" w:rsidRPr="009667DE" w:rsidRDefault="00620CE9" w:rsidP="00560EBE"/>
        </w:tc>
      </w:tr>
      <w:tr w:rsidR="009667DE" w:rsidRPr="009667DE" w14:paraId="529EC22E" w14:textId="77777777" w:rsidTr="00560EBE">
        <w:tc>
          <w:tcPr>
            <w:tcW w:w="686" w:type="dxa"/>
          </w:tcPr>
          <w:p w14:paraId="03F6A19F" w14:textId="77777777" w:rsidR="00AD2572" w:rsidRPr="009667DE" w:rsidRDefault="00AD2572" w:rsidP="00382AC3">
            <w:pPr>
              <w:pStyle w:val="Akapitzlist"/>
              <w:numPr>
                <w:ilvl w:val="0"/>
                <w:numId w:val="5"/>
              </w:numPr>
            </w:pPr>
          </w:p>
        </w:tc>
        <w:tc>
          <w:tcPr>
            <w:tcW w:w="2003" w:type="dxa"/>
          </w:tcPr>
          <w:p w14:paraId="27A30C2F" w14:textId="77777777" w:rsidR="00AD2572" w:rsidRPr="009667DE" w:rsidRDefault="00AD2572" w:rsidP="00AD2572">
            <w:r w:rsidRPr="009667DE">
              <w:t>Część KPO</w:t>
            </w:r>
          </w:p>
        </w:tc>
        <w:tc>
          <w:tcPr>
            <w:tcW w:w="11198" w:type="dxa"/>
          </w:tcPr>
          <w:p w14:paraId="35171C20" w14:textId="607C774F" w:rsidR="00AD2572" w:rsidRPr="009667DE" w:rsidRDefault="00AD2572" w:rsidP="00AD2572">
            <w:r w:rsidRPr="009667DE">
              <w:t xml:space="preserve">1.4.1. Zgodność KPO z 6 filarami wynikającymi z art. 3 rozporządzenia </w:t>
            </w:r>
            <w:proofErr w:type="spellStart"/>
            <w:r w:rsidRPr="009667DE">
              <w:t>ws</w:t>
            </w:r>
            <w:proofErr w:type="spellEnd"/>
            <w:r w:rsidRPr="009667DE">
              <w:t>. RRF</w:t>
            </w:r>
          </w:p>
        </w:tc>
      </w:tr>
      <w:tr w:rsidR="009667DE" w:rsidRPr="009667DE" w14:paraId="44789293" w14:textId="77777777" w:rsidTr="00560EBE">
        <w:tc>
          <w:tcPr>
            <w:tcW w:w="686" w:type="dxa"/>
          </w:tcPr>
          <w:p w14:paraId="2F8C2E49" w14:textId="77777777" w:rsidR="00AD2572" w:rsidRPr="009667DE" w:rsidRDefault="00AD2572" w:rsidP="00382AC3">
            <w:pPr>
              <w:pStyle w:val="Akapitzlist"/>
              <w:numPr>
                <w:ilvl w:val="0"/>
                <w:numId w:val="5"/>
              </w:numPr>
            </w:pPr>
          </w:p>
        </w:tc>
        <w:tc>
          <w:tcPr>
            <w:tcW w:w="2003" w:type="dxa"/>
          </w:tcPr>
          <w:p w14:paraId="2FD87C9D" w14:textId="77777777" w:rsidR="00AD2572" w:rsidRPr="009667DE" w:rsidRDefault="00AD2572" w:rsidP="00AD2572">
            <w:r w:rsidRPr="009667DE">
              <w:t>Strona</w:t>
            </w:r>
          </w:p>
        </w:tc>
        <w:tc>
          <w:tcPr>
            <w:tcW w:w="11198" w:type="dxa"/>
          </w:tcPr>
          <w:p w14:paraId="1F316190" w14:textId="16218429" w:rsidR="00AD2572" w:rsidRPr="009667DE" w:rsidRDefault="00AD2572" w:rsidP="00AD2572">
            <w:r w:rsidRPr="009667DE">
              <w:t>23</w:t>
            </w:r>
          </w:p>
        </w:tc>
      </w:tr>
      <w:tr w:rsidR="009667DE" w:rsidRPr="009667DE" w14:paraId="33583C65" w14:textId="77777777" w:rsidTr="00560EBE">
        <w:tc>
          <w:tcPr>
            <w:tcW w:w="686" w:type="dxa"/>
          </w:tcPr>
          <w:p w14:paraId="609BF342" w14:textId="77777777" w:rsidR="00AD2572" w:rsidRPr="009667DE" w:rsidRDefault="00AD2572" w:rsidP="00382AC3">
            <w:pPr>
              <w:pStyle w:val="Akapitzlist"/>
              <w:numPr>
                <w:ilvl w:val="0"/>
                <w:numId w:val="5"/>
              </w:numPr>
            </w:pPr>
          </w:p>
        </w:tc>
        <w:tc>
          <w:tcPr>
            <w:tcW w:w="2003" w:type="dxa"/>
          </w:tcPr>
          <w:p w14:paraId="59D00D5B" w14:textId="77777777" w:rsidR="00AD2572" w:rsidRPr="009667DE" w:rsidRDefault="00AD2572" w:rsidP="00AD2572">
            <w:r w:rsidRPr="009667DE">
              <w:t>Treść Uwagi</w:t>
            </w:r>
          </w:p>
        </w:tc>
        <w:tc>
          <w:tcPr>
            <w:tcW w:w="11198" w:type="dxa"/>
          </w:tcPr>
          <w:p w14:paraId="1169A8CF" w14:textId="600FEFB9" w:rsidR="00AD2572" w:rsidRPr="009667DE" w:rsidRDefault="00AD2572" w:rsidP="00AD2572">
            <w:pPr>
              <w:pStyle w:val="Default"/>
              <w:rPr>
                <w:color w:val="auto"/>
                <w:sz w:val="22"/>
                <w:szCs w:val="22"/>
              </w:rPr>
            </w:pPr>
            <w:r w:rsidRPr="009667DE">
              <w:rPr>
                <w:color w:val="auto"/>
                <w:sz w:val="22"/>
                <w:szCs w:val="22"/>
              </w:rPr>
              <w:t>Dodanie zapisu o wsparciu rozbudowy infrastruktury dróg rowerowych:</w:t>
            </w:r>
            <w:r w:rsidRPr="009667DE">
              <w:rPr>
                <w:color w:val="auto"/>
                <w:sz w:val="22"/>
                <w:szCs w:val="22"/>
              </w:rPr>
              <w:br/>
            </w:r>
          </w:p>
          <w:p w14:paraId="573F52CC" w14:textId="5E6C673E" w:rsidR="00AD2572" w:rsidRPr="009667DE" w:rsidRDefault="00AD2572" w:rsidP="00AD2572">
            <w:pPr>
              <w:autoSpaceDE w:val="0"/>
              <w:autoSpaceDN w:val="0"/>
              <w:adjustRightInd w:val="0"/>
              <w:rPr>
                <w:rFonts w:ascii="Calibri" w:hAnsi="Calibri" w:cs="Calibri"/>
              </w:rPr>
            </w:pPr>
            <w:r w:rsidRPr="009667DE">
              <w:rPr>
                <w:rFonts w:ascii="Calibri" w:hAnsi="Calibri" w:cs="Calibri"/>
              </w:rPr>
              <w:t xml:space="preserve">Zielona, inteligentna mobilność podjęto zagadnienie zwiększania zrównoważonej dostępności transportowej, w szczególności poprzez zapewnienie odpowiedniej jakości usług zbiorowych przewozów publicznych na potrzeby zeroemisyjnego transportu publicznego oraz rozbudowy infrastruktury dróg rowerowych (przeszło 1 mld euro). </w:t>
            </w:r>
          </w:p>
        </w:tc>
      </w:tr>
      <w:tr w:rsidR="00AD2572" w:rsidRPr="009667DE" w14:paraId="42F578D1" w14:textId="77777777" w:rsidTr="00560EBE">
        <w:tc>
          <w:tcPr>
            <w:tcW w:w="686" w:type="dxa"/>
          </w:tcPr>
          <w:p w14:paraId="5B11B1D3" w14:textId="77777777" w:rsidR="00AD2572" w:rsidRPr="009667DE" w:rsidRDefault="00AD2572" w:rsidP="00382AC3">
            <w:pPr>
              <w:pStyle w:val="Akapitzlist"/>
              <w:numPr>
                <w:ilvl w:val="0"/>
                <w:numId w:val="5"/>
              </w:numPr>
            </w:pPr>
          </w:p>
        </w:tc>
        <w:tc>
          <w:tcPr>
            <w:tcW w:w="2003" w:type="dxa"/>
          </w:tcPr>
          <w:p w14:paraId="50DFE243" w14:textId="77777777" w:rsidR="00AD2572" w:rsidRPr="009667DE" w:rsidRDefault="00AD2572" w:rsidP="00AD2572">
            <w:r w:rsidRPr="009667DE">
              <w:t>Uzasadnienie uwagi</w:t>
            </w:r>
          </w:p>
        </w:tc>
        <w:tc>
          <w:tcPr>
            <w:tcW w:w="11198" w:type="dxa"/>
          </w:tcPr>
          <w:p w14:paraId="37F812C9" w14:textId="62F4AFFA" w:rsidR="00AD2572" w:rsidRPr="009667DE" w:rsidRDefault="00AD2572" w:rsidP="00AD2572">
            <w:r w:rsidRPr="009667DE">
              <w:t>Zmiana jest konsekwencją całościowego podejścia do oczekiwanych rezultatów podejmowanych interwencji. W kontekście równoważenia mobilności i tworzenia warunków dla bezemisyjnego, a przy tym bezpiecznego z punktu widzenia pandemii transportu, nie można pominąć kwestii rozwoju transportu rowerowego. Większy udział rowerów w podróżach wpisuje się wprost przytoczony cel szczegółowy KPO: Zielona transformacja gospodarki oraz rozwój zielonej, inteligentnej mobilności. Transport rowerowy nie generuje bowiem szkodliwych substancji, hałasu, ani nie obniża spójności przestrzeni. Nie można zatem, w kontekście zadeklarowanych celów KPO oraz odporności na przyszłe pandemie pominąć kwestii rozwoju roweru jako środka transportu. Wsparcie w pełni wpisuje się w całości w Filar IV RRF – spójność społeczna i terytorialna. Jednym ze szczegółowych, horyzontalnych celów Planu jest wspieranie spójności terytorialnej i społecznej. Możliwość bezpiecznej i wygodnej jazdy rowerem zwiększa spójność zarówno w wymiarze społecznym, jak i terytorialnym.</w:t>
            </w:r>
          </w:p>
        </w:tc>
      </w:tr>
    </w:tbl>
    <w:p w14:paraId="7E87355A" w14:textId="3770C792" w:rsidR="00AD2572" w:rsidRPr="009667DE" w:rsidRDefault="00AD2572"/>
    <w:p w14:paraId="7CA4EB33" w14:textId="77777777" w:rsidR="00AD2572" w:rsidRPr="009667DE" w:rsidRDefault="00AD2572">
      <w:r w:rsidRPr="009667DE">
        <w:br w:type="page"/>
      </w:r>
    </w:p>
    <w:tbl>
      <w:tblPr>
        <w:tblStyle w:val="Tabela-Siatka"/>
        <w:tblW w:w="0" w:type="auto"/>
        <w:tblLook w:val="04A0" w:firstRow="1" w:lastRow="0" w:firstColumn="1" w:lastColumn="0" w:noHBand="0" w:noVBand="1"/>
      </w:tblPr>
      <w:tblGrid>
        <w:gridCol w:w="686"/>
        <w:gridCol w:w="2003"/>
        <w:gridCol w:w="11198"/>
      </w:tblGrid>
      <w:tr w:rsidR="009667DE" w:rsidRPr="009667DE" w14:paraId="31ECF6F6" w14:textId="77777777" w:rsidTr="00560EBE">
        <w:tc>
          <w:tcPr>
            <w:tcW w:w="686" w:type="dxa"/>
          </w:tcPr>
          <w:p w14:paraId="5DE00873" w14:textId="77777777" w:rsidR="00AD2572" w:rsidRPr="009667DE" w:rsidRDefault="00AD2572" w:rsidP="00560EBE">
            <w:proofErr w:type="spellStart"/>
            <w:r w:rsidRPr="009667DE">
              <w:lastRenderedPageBreak/>
              <w:t>Lp</w:t>
            </w:r>
            <w:proofErr w:type="spellEnd"/>
          </w:p>
        </w:tc>
        <w:tc>
          <w:tcPr>
            <w:tcW w:w="2003" w:type="dxa"/>
          </w:tcPr>
          <w:p w14:paraId="76B1069B" w14:textId="77777777" w:rsidR="00AD2572" w:rsidRPr="009667DE" w:rsidRDefault="00AD2572" w:rsidP="00560EBE">
            <w:r w:rsidRPr="009667DE">
              <w:t>Pole formularza</w:t>
            </w:r>
          </w:p>
        </w:tc>
        <w:tc>
          <w:tcPr>
            <w:tcW w:w="11198" w:type="dxa"/>
          </w:tcPr>
          <w:p w14:paraId="0057588E" w14:textId="77777777" w:rsidR="00AD2572" w:rsidRPr="009667DE" w:rsidRDefault="00AD2572" w:rsidP="00560EBE">
            <w:r w:rsidRPr="009667DE">
              <w:t>Treść</w:t>
            </w:r>
          </w:p>
        </w:tc>
      </w:tr>
      <w:tr w:rsidR="009667DE" w:rsidRPr="009667DE" w14:paraId="301038D4" w14:textId="77777777" w:rsidTr="00560EBE">
        <w:tc>
          <w:tcPr>
            <w:tcW w:w="686" w:type="dxa"/>
          </w:tcPr>
          <w:p w14:paraId="6ACAF7C2" w14:textId="77777777" w:rsidR="00AD2572" w:rsidRPr="009667DE" w:rsidRDefault="00AD2572" w:rsidP="00382AC3">
            <w:pPr>
              <w:pStyle w:val="Akapitzlist"/>
              <w:numPr>
                <w:ilvl w:val="0"/>
                <w:numId w:val="4"/>
              </w:numPr>
            </w:pPr>
          </w:p>
        </w:tc>
        <w:tc>
          <w:tcPr>
            <w:tcW w:w="2003" w:type="dxa"/>
          </w:tcPr>
          <w:p w14:paraId="078FC524" w14:textId="77777777" w:rsidR="00AD2572" w:rsidRPr="009667DE" w:rsidRDefault="00AD2572" w:rsidP="00560EBE">
            <w:r w:rsidRPr="009667DE">
              <w:t>Imię</w:t>
            </w:r>
          </w:p>
        </w:tc>
        <w:tc>
          <w:tcPr>
            <w:tcW w:w="11198" w:type="dxa"/>
            <w:shd w:val="clear" w:color="auto" w:fill="A6A6A6" w:themeFill="background1" w:themeFillShade="A6"/>
          </w:tcPr>
          <w:p w14:paraId="318AACB4" w14:textId="77777777" w:rsidR="00AD2572" w:rsidRPr="009667DE" w:rsidRDefault="00AD2572" w:rsidP="00560EBE"/>
        </w:tc>
      </w:tr>
      <w:tr w:rsidR="009667DE" w:rsidRPr="009667DE" w14:paraId="3C8FEF47" w14:textId="77777777" w:rsidTr="00560EBE">
        <w:tc>
          <w:tcPr>
            <w:tcW w:w="686" w:type="dxa"/>
          </w:tcPr>
          <w:p w14:paraId="7960E2C5" w14:textId="77777777" w:rsidR="00AD2572" w:rsidRPr="009667DE" w:rsidRDefault="00AD2572" w:rsidP="00382AC3">
            <w:pPr>
              <w:pStyle w:val="Akapitzlist"/>
              <w:numPr>
                <w:ilvl w:val="0"/>
                <w:numId w:val="4"/>
              </w:numPr>
            </w:pPr>
          </w:p>
        </w:tc>
        <w:tc>
          <w:tcPr>
            <w:tcW w:w="2003" w:type="dxa"/>
          </w:tcPr>
          <w:p w14:paraId="14E8A3E5" w14:textId="77777777" w:rsidR="00AD2572" w:rsidRPr="009667DE" w:rsidRDefault="00AD2572" w:rsidP="00560EBE">
            <w:r w:rsidRPr="009667DE">
              <w:t>Nazwisko</w:t>
            </w:r>
          </w:p>
        </w:tc>
        <w:tc>
          <w:tcPr>
            <w:tcW w:w="11198" w:type="dxa"/>
            <w:shd w:val="clear" w:color="auto" w:fill="A6A6A6" w:themeFill="background1" w:themeFillShade="A6"/>
          </w:tcPr>
          <w:p w14:paraId="3BE43347" w14:textId="77777777" w:rsidR="00AD2572" w:rsidRPr="009667DE" w:rsidRDefault="00AD2572" w:rsidP="00560EBE"/>
        </w:tc>
      </w:tr>
      <w:tr w:rsidR="009667DE" w:rsidRPr="009667DE" w14:paraId="37F580CB" w14:textId="77777777" w:rsidTr="00560EBE">
        <w:tc>
          <w:tcPr>
            <w:tcW w:w="686" w:type="dxa"/>
          </w:tcPr>
          <w:p w14:paraId="78DB5161" w14:textId="77777777" w:rsidR="00AD2572" w:rsidRPr="009667DE" w:rsidRDefault="00AD2572" w:rsidP="00382AC3">
            <w:pPr>
              <w:pStyle w:val="Akapitzlist"/>
              <w:numPr>
                <w:ilvl w:val="0"/>
                <w:numId w:val="4"/>
              </w:numPr>
            </w:pPr>
          </w:p>
        </w:tc>
        <w:tc>
          <w:tcPr>
            <w:tcW w:w="2003" w:type="dxa"/>
          </w:tcPr>
          <w:p w14:paraId="10CDE73C" w14:textId="77777777" w:rsidR="00AD2572" w:rsidRPr="009667DE" w:rsidRDefault="00AD2572" w:rsidP="00560EBE">
            <w:r w:rsidRPr="009667DE">
              <w:t>Instytucja</w:t>
            </w:r>
          </w:p>
        </w:tc>
        <w:tc>
          <w:tcPr>
            <w:tcW w:w="11198" w:type="dxa"/>
            <w:shd w:val="clear" w:color="auto" w:fill="A6A6A6" w:themeFill="background1" w:themeFillShade="A6"/>
          </w:tcPr>
          <w:p w14:paraId="462C98FA" w14:textId="77777777" w:rsidR="00AD2572" w:rsidRPr="009667DE" w:rsidRDefault="00AD2572" w:rsidP="00560EBE"/>
        </w:tc>
      </w:tr>
      <w:tr w:rsidR="009667DE" w:rsidRPr="009667DE" w14:paraId="236C89EE" w14:textId="77777777" w:rsidTr="00560EBE">
        <w:tc>
          <w:tcPr>
            <w:tcW w:w="686" w:type="dxa"/>
          </w:tcPr>
          <w:p w14:paraId="605ABAA5" w14:textId="77777777" w:rsidR="00AD2572" w:rsidRPr="009667DE" w:rsidRDefault="00AD2572" w:rsidP="00382AC3">
            <w:pPr>
              <w:pStyle w:val="Akapitzlist"/>
              <w:numPr>
                <w:ilvl w:val="0"/>
                <w:numId w:val="4"/>
              </w:numPr>
            </w:pPr>
          </w:p>
        </w:tc>
        <w:tc>
          <w:tcPr>
            <w:tcW w:w="2003" w:type="dxa"/>
          </w:tcPr>
          <w:p w14:paraId="13B7300C" w14:textId="77777777" w:rsidR="00AD2572" w:rsidRPr="009667DE" w:rsidRDefault="00AD2572" w:rsidP="00560EBE">
            <w:r w:rsidRPr="009667DE">
              <w:t>Województwo</w:t>
            </w:r>
          </w:p>
        </w:tc>
        <w:tc>
          <w:tcPr>
            <w:tcW w:w="11198" w:type="dxa"/>
            <w:shd w:val="clear" w:color="auto" w:fill="A6A6A6" w:themeFill="background1" w:themeFillShade="A6"/>
          </w:tcPr>
          <w:p w14:paraId="75BB099C" w14:textId="77777777" w:rsidR="00AD2572" w:rsidRPr="009667DE" w:rsidRDefault="00AD2572" w:rsidP="00560EBE"/>
        </w:tc>
      </w:tr>
      <w:tr w:rsidR="009667DE" w:rsidRPr="009667DE" w14:paraId="4D03AE58" w14:textId="77777777" w:rsidTr="00560EBE">
        <w:tc>
          <w:tcPr>
            <w:tcW w:w="686" w:type="dxa"/>
          </w:tcPr>
          <w:p w14:paraId="15F42470" w14:textId="77777777" w:rsidR="00AD2572" w:rsidRPr="009667DE" w:rsidRDefault="00AD2572" w:rsidP="00382AC3">
            <w:pPr>
              <w:pStyle w:val="Akapitzlist"/>
              <w:numPr>
                <w:ilvl w:val="0"/>
                <w:numId w:val="4"/>
              </w:numPr>
            </w:pPr>
          </w:p>
        </w:tc>
        <w:tc>
          <w:tcPr>
            <w:tcW w:w="2003" w:type="dxa"/>
          </w:tcPr>
          <w:p w14:paraId="5226A046" w14:textId="77777777" w:rsidR="00AD2572" w:rsidRPr="009667DE" w:rsidRDefault="00AD2572" w:rsidP="00AD2572">
            <w:r w:rsidRPr="009667DE">
              <w:t>Część KPO</w:t>
            </w:r>
          </w:p>
        </w:tc>
        <w:tc>
          <w:tcPr>
            <w:tcW w:w="11198" w:type="dxa"/>
          </w:tcPr>
          <w:p w14:paraId="2EDF7120" w14:textId="5297AC13" w:rsidR="00AD2572" w:rsidRPr="009667DE" w:rsidRDefault="0054688C" w:rsidP="00AD2572">
            <w:r w:rsidRPr="009667DE">
              <w:t>2. POWIĄZANIE Z SEMESTREM EUROPEJSKIM</w:t>
            </w:r>
          </w:p>
        </w:tc>
      </w:tr>
      <w:tr w:rsidR="009667DE" w:rsidRPr="009667DE" w14:paraId="42F89D8E" w14:textId="77777777" w:rsidTr="00560EBE">
        <w:tc>
          <w:tcPr>
            <w:tcW w:w="686" w:type="dxa"/>
          </w:tcPr>
          <w:p w14:paraId="21443804" w14:textId="77777777" w:rsidR="00AD2572" w:rsidRPr="009667DE" w:rsidRDefault="00AD2572" w:rsidP="00382AC3">
            <w:pPr>
              <w:pStyle w:val="Akapitzlist"/>
              <w:numPr>
                <w:ilvl w:val="0"/>
                <w:numId w:val="4"/>
              </w:numPr>
            </w:pPr>
          </w:p>
        </w:tc>
        <w:tc>
          <w:tcPr>
            <w:tcW w:w="2003" w:type="dxa"/>
          </w:tcPr>
          <w:p w14:paraId="5125C752" w14:textId="77777777" w:rsidR="00AD2572" w:rsidRPr="009667DE" w:rsidRDefault="00AD2572" w:rsidP="00AD2572">
            <w:r w:rsidRPr="009667DE">
              <w:t>Strona</w:t>
            </w:r>
          </w:p>
        </w:tc>
        <w:tc>
          <w:tcPr>
            <w:tcW w:w="11198" w:type="dxa"/>
          </w:tcPr>
          <w:p w14:paraId="315C74C6" w14:textId="7572A798" w:rsidR="00AD2572" w:rsidRPr="009667DE" w:rsidRDefault="00054510" w:rsidP="00AD2572">
            <w:r w:rsidRPr="009667DE">
              <w:t>34-35</w:t>
            </w:r>
          </w:p>
        </w:tc>
      </w:tr>
      <w:tr w:rsidR="009667DE" w:rsidRPr="009667DE" w14:paraId="4A0732A2" w14:textId="77777777" w:rsidTr="00560EBE">
        <w:tc>
          <w:tcPr>
            <w:tcW w:w="686" w:type="dxa"/>
          </w:tcPr>
          <w:p w14:paraId="56C13151" w14:textId="77777777" w:rsidR="00AD2572" w:rsidRPr="009667DE" w:rsidRDefault="00AD2572" w:rsidP="00382AC3">
            <w:pPr>
              <w:pStyle w:val="Akapitzlist"/>
              <w:numPr>
                <w:ilvl w:val="0"/>
                <w:numId w:val="4"/>
              </w:numPr>
            </w:pPr>
          </w:p>
        </w:tc>
        <w:tc>
          <w:tcPr>
            <w:tcW w:w="2003" w:type="dxa"/>
          </w:tcPr>
          <w:p w14:paraId="4C8DDD5F" w14:textId="77777777" w:rsidR="00AD2572" w:rsidRPr="009667DE" w:rsidRDefault="00AD2572" w:rsidP="00AD2572">
            <w:r w:rsidRPr="009667DE">
              <w:t>Treść Uwagi</w:t>
            </w:r>
          </w:p>
        </w:tc>
        <w:tc>
          <w:tcPr>
            <w:tcW w:w="11198" w:type="dxa"/>
          </w:tcPr>
          <w:p w14:paraId="203BBE75" w14:textId="1346D145" w:rsidR="00CA2921" w:rsidRPr="009667DE" w:rsidRDefault="00054510" w:rsidP="00AD2572">
            <w:pPr>
              <w:autoSpaceDE w:val="0"/>
              <w:autoSpaceDN w:val="0"/>
              <w:adjustRightInd w:val="0"/>
              <w:rPr>
                <w:rFonts w:ascii="Calibri" w:hAnsi="Calibri" w:cs="Calibri"/>
              </w:rPr>
            </w:pPr>
            <w:r w:rsidRPr="009667DE">
              <w:rPr>
                <w:rFonts w:ascii="Calibri" w:hAnsi="Calibri" w:cs="Calibri"/>
              </w:rPr>
              <w:t>Dodanie ukierunkowania wsparcia na rozwój infrastruktury rowerowej</w:t>
            </w:r>
          </w:p>
          <w:p w14:paraId="1ED6FAFE" w14:textId="38679B38" w:rsidR="00054510" w:rsidRPr="009667DE" w:rsidRDefault="00054510" w:rsidP="00AD2572">
            <w:pPr>
              <w:autoSpaceDE w:val="0"/>
              <w:autoSpaceDN w:val="0"/>
              <w:adjustRightInd w:val="0"/>
              <w:rPr>
                <w:rFonts w:ascii="Calibri" w:hAnsi="Calibri" w:cs="Calibri"/>
              </w:rPr>
            </w:pPr>
          </w:p>
          <w:p w14:paraId="79BA8EFA" w14:textId="54CC2EB7" w:rsidR="00054510" w:rsidRPr="009667DE" w:rsidRDefault="00054510" w:rsidP="00AD2572">
            <w:pPr>
              <w:autoSpaceDE w:val="0"/>
              <w:autoSpaceDN w:val="0"/>
              <w:adjustRightInd w:val="0"/>
              <w:rPr>
                <w:rFonts w:ascii="Calibri" w:hAnsi="Calibri" w:cs="Calibri"/>
              </w:rPr>
            </w:pPr>
            <w:r w:rsidRPr="009667DE">
              <w:rPr>
                <w:rFonts w:ascii="Calibri" w:hAnsi="Calibri" w:cs="Calibri"/>
              </w:rPr>
              <w:t>Wsparciem zostanie objęty transport rowerowy jako forma bezemisyjnego transportu</w:t>
            </w:r>
            <w:r w:rsidR="00A60B10" w:rsidRPr="009667DE">
              <w:rPr>
                <w:rFonts w:ascii="Calibri" w:hAnsi="Calibri" w:cs="Calibri"/>
              </w:rPr>
              <w:t>, która jednocześnie wspiera odporność społeczeństwa na epidemie dzięki możliwości zachowania dystansu społecznego oraz ma funkcje prozdrowotne. Wymaga on jednak stworzenia infrastruktury, która będzie efektywna, bezpieczna i wygodna dla wszystkich grup użytkowników.</w:t>
            </w:r>
          </w:p>
          <w:p w14:paraId="345C0A62" w14:textId="58647079" w:rsidR="00CA2921" w:rsidRPr="009667DE" w:rsidRDefault="00CA2921" w:rsidP="00AD2572">
            <w:pPr>
              <w:autoSpaceDE w:val="0"/>
              <w:autoSpaceDN w:val="0"/>
              <w:adjustRightInd w:val="0"/>
              <w:rPr>
                <w:rFonts w:ascii="Calibri" w:hAnsi="Calibri" w:cs="Calibri"/>
              </w:rPr>
            </w:pPr>
          </w:p>
        </w:tc>
      </w:tr>
      <w:tr w:rsidR="00AD2572" w:rsidRPr="009667DE" w14:paraId="2D9A0060" w14:textId="77777777" w:rsidTr="00560EBE">
        <w:tc>
          <w:tcPr>
            <w:tcW w:w="686" w:type="dxa"/>
          </w:tcPr>
          <w:p w14:paraId="112E534F" w14:textId="77777777" w:rsidR="00AD2572" w:rsidRPr="009667DE" w:rsidRDefault="00AD2572" w:rsidP="00382AC3">
            <w:pPr>
              <w:pStyle w:val="Akapitzlist"/>
              <w:numPr>
                <w:ilvl w:val="0"/>
                <w:numId w:val="4"/>
              </w:numPr>
            </w:pPr>
          </w:p>
        </w:tc>
        <w:tc>
          <w:tcPr>
            <w:tcW w:w="2003" w:type="dxa"/>
          </w:tcPr>
          <w:p w14:paraId="393ECB1A" w14:textId="77777777" w:rsidR="00AD2572" w:rsidRPr="009667DE" w:rsidRDefault="00AD2572" w:rsidP="00AD2572">
            <w:r w:rsidRPr="009667DE">
              <w:t>Uzasadnienie uwagi</w:t>
            </w:r>
          </w:p>
        </w:tc>
        <w:tc>
          <w:tcPr>
            <w:tcW w:w="11198" w:type="dxa"/>
          </w:tcPr>
          <w:p w14:paraId="39027046" w14:textId="70F65A38" w:rsidR="00AD2572" w:rsidRPr="009667DE" w:rsidRDefault="00A60B10" w:rsidP="00AD2572">
            <w:r w:rsidRPr="009667DE">
              <w:t xml:space="preserve">Działanie na rzecz rozwoju infrastruktury rowerowej wpisuje się wprost w rekomendacje </w:t>
            </w:r>
            <w:r w:rsidR="00382AC3" w:rsidRPr="009667DE">
              <w:t xml:space="preserve">ukierunkowanie inwestycji publicznych na czyste i wydajne wytwarzanie i wykorzystanie energii oraz zrównoważony transport (CSR3 2019 i CSR3 2020). Rower bowiem stanowi </w:t>
            </w:r>
            <w:proofErr w:type="spellStart"/>
            <w:r w:rsidR="00382AC3" w:rsidRPr="009667DE">
              <w:t>bezemisyjny</w:t>
            </w:r>
            <w:proofErr w:type="spellEnd"/>
            <w:r w:rsidR="00382AC3" w:rsidRPr="009667DE">
              <w:t xml:space="preserve"> transport, co wspierać będzie rozwój zrównoważonej, zielonej mobilności.</w:t>
            </w:r>
          </w:p>
        </w:tc>
      </w:tr>
    </w:tbl>
    <w:p w14:paraId="14C07C64" w14:textId="151EFFD4" w:rsidR="00382AC3" w:rsidRPr="009667DE" w:rsidRDefault="00382AC3"/>
    <w:p w14:paraId="61491FB0" w14:textId="77777777" w:rsidR="00382AC3" w:rsidRPr="009667DE" w:rsidRDefault="00382AC3">
      <w:r w:rsidRPr="009667DE">
        <w:br w:type="page"/>
      </w:r>
    </w:p>
    <w:tbl>
      <w:tblPr>
        <w:tblStyle w:val="Tabela-Siatka"/>
        <w:tblW w:w="0" w:type="auto"/>
        <w:tblLook w:val="04A0" w:firstRow="1" w:lastRow="0" w:firstColumn="1" w:lastColumn="0" w:noHBand="0" w:noVBand="1"/>
      </w:tblPr>
      <w:tblGrid>
        <w:gridCol w:w="686"/>
        <w:gridCol w:w="2003"/>
        <w:gridCol w:w="11198"/>
      </w:tblGrid>
      <w:tr w:rsidR="009667DE" w:rsidRPr="009667DE" w14:paraId="090F42D3" w14:textId="77777777" w:rsidTr="00560EBE">
        <w:tc>
          <w:tcPr>
            <w:tcW w:w="686" w:type="dxa"/>
          </w:tcPr>
          <w:p w14:paraId="717F1BAB" w14:textId="77777777" w:rsidR="00382AC3" w:rsidRPr="009667DE" w:rsidRDefault="00382AC3" w:rsidP="00560EBE">
            <w:proofErr w:type="spellStart"/>
            <w:r w:rsidRPr="009667DE">
              <w:lastRenderedPageBreak/>
              <w:t>Lp</w:t>
            </w:r>
            <w:proofErr w:type="spellEnd"/>
          </w:p>
        </w:tc>
        <w:tc>
          <w:tcPr>
            <w:tcW w:w="2003" w:type="dxa"/>
          </w:tcPr>
          <w:p w14:paraId="34555E2A" w14:textId="77777777" w:rsidR="00382AC3" w:rsidRPr="009667DE" w:rsidRDefault="00382AC3" w:rsidP="00560EBE">
            <w:r w:rsidRPr="009667DE">
              <w:t>Pole formularza</w:t>
            </w:r>
          </w:p>
        </w:tc>
        <w:tc>
          <w:tcPr>
            <w:tcW w:w="11198" w:type="dxa"/>
          </w:tcPr>
          <w:p w14:paraId="4A0A5297" w14:textId="77777777" w:rsidR="00382AC3" w:rsidRPr="009667DE" w:rsidRDefault="00382AC3" w:rsidP="00560EBE">
            <w:r w:rsidRPr="009667DE">
              <w:t>Treść</w:t>
            </w:r>
          </w:p>
        </w:tc>
      </w:tr>
      <w:tr w:rsidR="009667DE" w:rsidRPr="009667DE" w14:paraId="23F9F9CC" w14:textId="77777777" w:rsidTr="00560EBE">
        <w:tc>
          <w:tcPr>
            <w:tcW w:w="686" w:type="dxa"/>
          </w:tcPr>
          <w:p w14:paraId="29835592" w14:textId="77777777" w:rsidR="00382AC3" w:rsidRPr="009667DE" w:rsidRDefault="00382AC3" w:rsidP="00382AC3">
            <w:pPr>
              <w:pStyle w:val="Akapitzlist"/>
              <w:numPr>
                <w:ilvl w:val="0"/>
                <w:numId w:val="8"/>
              </w:numPr>
            </w:pPr>
          </w:p>
        </w:tc>
        <w:tc>
          <w:tcPr>
            <w:tcW w:w="2003" w:type="dxa"/>
          </w:tcPr>
          <w:p w14:paraId="2E768F5E" w14:textId="77777777" w:rsidR="00382AC3" w:rsidRPr="009667DE" w:rsidRDefault="00382AC3" w:rsidP="00560EBE">
            <w:r w:rsidRPr="009667DE">
              <w:t>Imię</w:t>
            </w:r>
          </w:p>
        </w:tc>
        <w:tc>
          <w:tcPr>
            <w:tcW w:w="11198" w:type="dxa"/>
            <w:shd w:val="clear" w:color="auto" w:fill="A6A6A6" w:themeFill="background1" w:themeFillShade="A6"/>
          </w:tcPr>
          <w:p w14:paraId="1566CE03" w14:textId="77777777" w:rsidR="00382AC3" w:rsidRPr="009667DE" w:rsidRDefault="00382AC3" w:rsidP="00560EBE"/>
        </w:tc>
      </w:tr>
      <w:tr w:rsidR="009667DE" w:rsidRPr="009667DE" w14:paraId="116AB781" w14:textId="77777777" w:rsidTr="00560EBE">
        <w:tc>
          <w:tcPr>
            <w:tcW w:w="686" w:type="dxa"/>
          </w:tcPr>
          <w:p w14:paraId="47F0BD22" w14:textId="77777777" w:rsidR="00382AC3" w:rsidRPr="009667DE" w:rsidRDefault="00382AC3" w:rsidP="00382AC3">
            <w:pPr>
              <w:pStyle w:val="Akapitzlist"/>
              <w:numPr>
                <w:ilvl w:val="0"/>
                <w:numId w:val="8"/>
              </w:numPr>
            </w:pPr>
          </w:p>
        </w:tc>
        <w:tc>
          <w:tcPr>
            <w:tcW w:w="2003" w:type="dxa"/>
          </w:tcPr>
          <w:p w14:paraId="799499C4" w14:textId="77777777" w:rsidR="00382AC3" w:rsidRPr="009667DE" w:rsidRDefault="00382AC3" w:rsidP="00560EBE">
            <w:r w:rsidRPr="009667DE">
              <w:t>Nazwisko</w:t>
            </w:r>
          </w:p>
        </w:tc>
        <w:tc>
          <w:tcPr>
            <w:tcW w:w="11198" w:type="dxa"/>
            <w:shd w:val="clear" w:color="auto" w:fill="A6A6A6" w:themeFill="background1" w:themeFillShade="A6"/>
          </w:tcPr>
          <w:p w14:paraId="54DBDAEE" w14:textId="77777777" w:rsidR="00382AC3" w:rsidRPr="009667DE" w:rsidRDefault="00382AC3" w:rsidP="00560EBE"/>
        </w:tc>
      </w:tr>
      <w:tr w:rsidR="009667DE" w:rsidRPr="009667DE" w14:paraId="59F99477" w14:textId="77777777" w:rsidTr="00560EBE">
        <w:tc>
          <w:tcPr>
            <w:tcW w:w="686" w:type="dxa"/>
          </w:tcPr>
          <w:p w14:paraId="460E7793" w14:textId="77777777" w:rsidR="00382AC3" w:rsidRPr="009667DE" w:rsidRDefault="00382AC3" w:rsidP="00382AC3">
            <w:pPr>
              <w:pStyle w:val="Akapitzlist"/>
              <w:numPr>
                <w:ilvl w:val="0"/>
                <w:numId w:val="8"/>
              </w:numPr>
            </w:pPr>
          </w:p>
        </w:tc>
        <w:tc>
          <w:tcPr>
            <w:tcW w:w="2003" w:type="dxa"/>
          </w:tcPr>
          <w:p w14:paraId="340E2695" w14:textId="77777777" w:rsidR="00382AC3" w:rsidRPr="009667DE" w:rsidRDefault="00382AC3" w:rsidP="00560EBE">
            <w:r w:rsidRPr="009667DE">
              <w:t>Instytucja</w:t>
            </w:r>
          </w:p>
        </w:tc>
        <w:tc>
          <w:tcPr>
            <w:tcW w:w="11198" w:type="dxa"/>
            <w:shd w:val="clear" w:color="auto" w:fill="A6A6A6" w:themeFill="background1" w:themeFillShade="A6"/>
          </w:tcPr>
          <w:p w14:paraId="1DEAF65A" w14:textId="77777777" w:rsidR="00382AC3" w:rsidRPr="009667DE" w:rsidRDefault="00382AC3" w:rsidP="00560EBE"/>
        </w:tc>
      </w:tr>
      <w:tr w:rsidR="009667DE" w:rsidRPr="009667DE" w14:paraId="258BBF9E" w14:textId="77777777" w:rsidTr="00560EBE">
        <w:tc>
          <w:tcPr>
            <w:tcW w:w="686" w:type="dxa"/>
          </w:tcPr>
          <w:p w14:paraId="56C174CB" w14:textId="77777777" w:rsidR="00382AC3" w:rsidRPr="009667DE" w:rsidRDefault="00382AC3" w:rsidP="00382AC3">
            <w:pPr>
              <w:pStyle w:val="Akapitzlist"/>
              <w:numPr>
                <w:ilvl w:val="0"/>
                <w:numId w:val="8"/>
              </w:numPr>
            </w:pPr>
          </w:p>
        </w:tc>
        <w:tc>
          <w:tcPr>
            <w:tcW w:w="2003" w:type="dxa"/>
          </w:tcPr>
          <w:p w14:paraId="56AA683C" w14:textId="77777777" w:rsidR="00382AC3" w:rsidRPr="009667DE" w:rsidRDefault="00382AC3" w:rsidP="00560EBE">
            <w:r w:rsidRPr="009667DE">
              <w:t>Województwo</w:t>
            </w:r>
          </w:p>
        </w:tc>
        <w:tc>
          <w:tcPr>
            <w:tcW w:w="11198" w:type="dxa"/>
            <w:shd w:val="clear" w:color="auto" w:fill="A6A6A6" w:themeFill="background1" w:themeFillShade="A6"/>
          </w:tcPr>
          <w:p w14:paraId="626DB37D" w14:textId="77777777" w:rsidR="00382AC3" w:rsidRPr="009667DE" w:rsidRDefault="00382AC3" w:rsidP="00560EBE"/>
        </w:tc>
      </w:tr>
      <w:tr w:rsidR="009667DE" w:rsidRPr="009667DE" w14:paraId="53BC94FC" w14:textId="77777777" w:rsidTr="00560EBE">
        <w:tc>
          <w:tcPr>
            <w:tcW w:w="686" w:type="dxa"/>
          </w:tcPr>
          <w:p w14:paraId="7D42D7E0" w14:textId="77777777" w:rsidR="00382AC3" w:rsidRPr="009667DE" w:rsidRDefault="00382AC3" w:rsidP="00382AC3">
            <w:pPr>
              <w:pStyle w:val="Akapitzlist"/>
              <w:numPr>
                <w:ilvl w:val="0"/>
                <w:numId w:val="8"/>
              </w:numPr>
            </w:pPr>
          </w:p>
        </w:tc>
        <w:tc>
          <w:tcPr>
            <w:tcW w:w="2003" w:type="dxa"/>
          </w:tcPr>
          <w:p w14:paraId="0860B785" w14:textId="77777777" w:rsidR="00382AC3" w:rsidRPr="009667DE" w:rsidRDefault="00382AC3" w:rsidP="00560EBE">
            <w:r w:rsidRPr="009667DE">
              <w:t>Część KPO</w:t>
            </w:r>
          </w:p>
        </w:tc>
        <w:tc>
          <w:tcPr>
            <w:tcW w:w="11198" w:type="dxa"/>
          </w:tcPr>
          <w:p w14:paraId="016D28A3" w14:textId="77777777" w:rsidR="00382AC3" w:rsidRPr="009667DE" w:rsidRDefault="00382AC3" w:rsidP="00560EBE">
            <w:r w:rsidRPr="009667DE">
              <w:t>2. POWIĄZANIE Z SEMESTREM EUROPEJSKIM</w:t>
            </w:r>
          </w:p>
        </w:tc>
      </w:tr>
      <w:tr w:rsidR="009667DE" w:rsidRPr="009667DE" w14:paraId="04B1456E" w14:textId="77777777" w:rsidTr="00560EBE">
        <w:tc>
          <w:tcPr>
            <w:tcW w:w="686" w:type="dxa"/>
          </w:tcPr>
          <w:p w14:paraId="04AC61FE" w14:textId="77777777" w:rsidR="00382AC3" w:rsidRPr="009667DE" w:rsidRDefault="00382AC3" w:rsidP="00382AC3">
            <w:pPr>
              <w:pStyle w:val="Akapitzlist"/>
              <w:numPr>
                <w:ilvl w:val="0"/>
                <w:numId w:val="8"/>
              </w:numPr>
            </w:pPr>
          </w:p>
        </w:tc>
        <w:tc>
          <w:tcPr>
            <w:tcW w:w="2003" w:type="dxa"/>
          </w:tcPr>
          <w:p w14:paraId="6437EF10" w14:textId="77777777" w:rsidR="00382AC3" w:rsidRPr="009667DE" w:rsidRDefault="00382AC3" w:rsidP="00560EBE">
            <w:r w:rsidRPr="009667DE">
              <w:t>Strona</w:t>
            </w:r>
          </w:p>
        </w:tc>
        <w:tc>
          <w:tcPr>
            <w:tcW w:w="11198" w:type="dxa"/>
          </w:tcPr>
          <w:p w14:paraId="50DB35F1" w14:textId="78C8B3A1" w:rsidR="00382AC3" w:rsidRPr="009667DE" w:rsidRDefault="00C65CBA" w:rsidP="00560EBE">
            <w:r w:rsidRPr="009667DE">
              <w:t>39</w:t>
            </w:r>
          </w:p>
        </w:tc>
      </w:tr>
      <w:tr w:rsidR="009667DE" w:rsidRPr="009667DE" w14:paraId="2788323B" w14:textId="77777777" w:rsidTr="00560EBE">
        <w:tc>
          <w:tcPr>
            <w:tcW w:w="686" w:type="dxa"/>
          </w:tcPr>
          <w:p w14:paraId="1FC14F80" w14:textId="77777777" w:rsidR="00382AC3" w:rsidRPr="009667DE" w:rsidRDefault="00382AC3" w:rsidP="00382AC3">
            <w:pPr>
              <w:pStyle w:val="Akapitzlist"/>
              <w:numPr>
                <w:ilvl w:val="0"/>
                <w:numId w:val="8"/>
              </w:numPr>
            </w:pPr>
          </w:p>
        </w:tc>
        <w:tc>
          <w:tcPr>
            <w:tcW w:w="2003" w:type="dxa"/>
          </w:tcPr>
          <w:p w14:paraId="5613A05D" w14:textId="77777777" w:rsidR="00382AC3" w:rsidRPr="009667DE" w:rsidRDefault="00382AC3" w:rsidP="00560EBE">
            <w:r w:rsidRPr="009667DE">
              <w:t>Treść Uwagi</w:t>
            </w:r>
          </w:p>
        </w:tc>
        <w:tc>
          <w:tcPr>
            <w:tcW w:w="11198" w:type="dxa"/>
          </w:tcPr>
          <w:p w14:paraId="49FBF8D6" w14:textId="77777777" w:rsidR="00382AC3" w:rsidRPr="009667DE" w:rsidRDefault="00382AC3" w:rsidP="00560EBE">
            <w:pPr>
              <w:autoSpaceDE w:val="0"/>
              <w:autoSpaceDN w:val="0"/>
              <w:adjustRightInd w:val="0"/>
              <w:rPr>
                <w:rFonts w:ascii="Calibri" w:hAnsi="Calibri" w:cs="Calibri"/>
              </w:rPr>
            </w:pPr>
            <w:r w:rsidRPr="009667DE">
              <w:rPr>
                <w:rFonts w:ascii="Calibri" w:hAnsi="Calibri" w:cs="Calibri"/>
              </w:rPr>
              <w:t>Dodanie ukierunkowania wsparcia na rozwój infrastruktury rowerowej</w:t>
            </w:r>
          </w:p>
          <w:p w14:paraId="6285F68B" w14:textId="77777777" w:rsidR="00382AC3" w:rsidRPr="009667DE" w:rsidRDefault="00382AC3" w:rsidP="00560EBE">
            <w:pPr>
              <w:autoSpaceDE w:val="0"/>
              <w:autoSpaceDN w:val="0"/>
              <w:adjustRightInd w:val="0"/>
              <w:rPr>
                <w:rFonts w:ascii="Calibri" w:hAnsi="Calibri" w:cs="Calibri"/>
              </w:rPr>
            </w:pPr>
          </w:p>
          <w:p w14:paraId="4850134E" w14:textId="3470D7AE" w:rsidR="00382AC3" w:rsidRPr="009667DE" w:rsidRDefault="00C65CBA" w:rsidP="00C65CBA">
            <w:pPr>
              <w:autoSpaceDE w:val="0"/>
              <w:autoSpaceDN w:val="0"/>
              <w:adjustRightInd w:val="0"/>
            </w:pPr>
            <w:r w:rsidRPr="009667DE">
              <w:rPr>
                <w:rFonts w:ascii="Calibri" w:hAnsi="Calibri" w:cs="Calibri"/>
              </w:rPr>
              <w:t>Dodanie tzw. wiązki inwestycji E1.1.3 „</w:t>
            </w:r>
            <w:r w:rsidR="00F96E11" w:rsidRPr="009667DE">
              <w:rPr>
                <w:rFonts w:ascii="Calibri" w:hAnsi="Calibri" w:cs="Calibri"/>
              </w:rPr>
              <w:t>Wsparcie rozwoju</w:t>
            </w:r>
            <w:r w:rsidRPr="009667DE">
              <w:rPr>
                <w:rFonts w:ascii="Calibri" w:hAnsi="Calibri" w:cs="Calibri"/>
              </w:rPr>
              <w:t xml:space="preserve"> infrastruktury rowerowej” do tabeli </w:t>
            </w:r>
            <w:r w:rsidRPr="009667DE">
              <w:t xml:space="preserve">Realizacja szczegółowych zaleceń dla Polski z lat 2019 i 2020 w ramach KPO, w odniesieniu do rekomendacji CSR3 2019 „Ukierunkowanie inwestycyjnej polityki gospodarczej na innowacje, transport, w szczególności jego zrównoważony charakter, na infrastrukturę energetyczną i cyfrową, opiekę zdrowotną oraz czystszą energię, z uwzględnieniem różnic regionalnych, komponentu E „Zielona, inteligentna mobilność”, reformy E1.1 „Wzrost wykorzystania transportu przyjaznego dla środowiska”. </w:t>
            </w:r>
          </w:p>
          <w:p w14:paraId="430164E3" w14:textId="77777777" w:rsidR="00382AC3" w:rsidRPr="009667DE" w:rsidRDefault="00382AC3" w:rsidP="00560EBE">
            <w:pPr>
              <w:autoSpaceDE w:val="0"/>
              <w:autoSpaceDN w:val="0"/>
              <w:adjustRightInd w:val="0"/>
              <w:rPr>
                <w:rFonts w:ascii="Calibri" w:hAnsi="Calibri" w:cs="Calibri"/>
              </w:rPr>
            </w:pPr>
          </w:p>
        </w:tc>
      </w:tr>
      <w:tr w:rsidR="00382AC3" w:rsidRPr="009667DE" w14:paraId="6CE1EB02" w14:textId="77777777" w:rsidTr="00560EBE">
        <w:tc>
          <w:tcPr>
            <w:tcW w:w="686" w:type="dxa"/>
          </w:tcPr>
          <w:p w14:paraId="2EFBCC23" w14:textId="77777777" w:rsidR="00382AC3" w:rsidRPr="009667DE" w:rsidRDefault="00382AC3" w:rsidP="00382AC3">
            <w:pPr>
              <w:pStyle w:val="Akapitzlist"/>
              <w:numPr>
                <w:ilvl w:val="0"/>
                <w:numId w:val="8"/>
              </w:numPr>
            </w:pPr>
          </w:p>
        </w:tc>
        <w:tc>
          <w:tcPr>
            <w:tcW w:w="2003" w:type="dxa"/>
          </w:tcPr>
          <w:p w14:paraId="0CD3383B" w14:textId="77777777" w:rsidR="00382AC3" w:rsidRPr="009667DE" w:rsidRDefault="00382AC3" w:rsidP="00560EBE">
            <w:r w:rsidRPr="009667DE">
              <w:t>Uzasadnienie uwagi</w:t>
            </w:r>
          </w:p>
        </w:tc>
        <w:tc>
          <w:tcPr>
            <w:tcW w:w="11198" w:type="dxa"/>
          </w:tcPr>
          <w:p w14:paraId="1E20D6EC" w14:textId="77777777" w:rsidR="00382AC3" w:rsidRPr="009667DE" w:rsidRDefault="00382AC3" w:rsidP="00560EBE">
            <w:r w:rsidRPr="009667DE">
              <w:t xml:space="preserve">Działanie na rzecz rozwoju infrastruktury rowerowej wpisuje się wprost w rekomendacje ukierunkowanie inwestycji publicznych na czyste i wydajne wytwarzanie i wykorzystanie energii oraz zrównoważony transport (CSR3 2019 i CSR3 2020). Rower bowiem stanowi </w:t>
            </w:r>
            <w:proofErr w:type="spellStart"/>
            <w:r w:rsidRPr="009667DE">
              <w:t>bezemisyjny</w:t>
            </w:r>
            <w:proofErr w:type="spellEnd"/>
            <w:r w:rsidRPr="009667DE">
              <w:t xml:space="preserve"> transport, co wspierać będzie rozwój zrównoważonej, zielonej mobilności.</w:t>
            </w:r>
          </w:p>
        </w:tc>
      </w:tr>
    </w:tbl>
    <w:p w14:paraId="3EAD3034" w14:textId="0542566F" w:rsidR="00B31AD9" w:rsidRPr="009667DE" w:rsidRDefault="00B31AD9"/>
    <w:p w14:paraId="5CFA8590" w14:textId="11E2C9B8" w:rsidR="00C65CBA" w:rsidRPr="009667DE" w:rsidRDefault="00C65CBA">
      <w:r w:rsidRPr="009667DE">
        <w:br w:type="page"/>
      </w:r>
    </w:p>
    <w:tbl>
      <w:tblPr>
        <w:tblStyle w:val="Tabela-Siatka"/>
        <w:tblW w:w="0" w:type="auto"/>
        <w:tblLook w:val="04A0" w:firstRow="1" w:lastRow="0" w:firstColumn="1" w:lastColumn="0" w:noHBand="0" w:noVBand="1"/>
      </w:tblPr>
      <w:tblGrid>
        <w:gridCol w:w="686"/>
        <w:gridCol w:w="2003"/>
        <w:gridCol w:w="11198"/>
      </w:tblGrid>
      <w:tr w:rsidR="009667DE" w:rsidRPr="009667DE" w14:paraId="247C69EC" w14:textId="77777777" w:rsidTr="00560EBE">
        <w:tc>
          <w:tcPr>
            <w:tcW w:w="686" w:type="dxa"/>
          </w:tcPr>
          <w:p w14:paraId="65DDC014" w14:textId="77777777" w:rsidR="00C65CBA" w:rsidRPr="009667DE" w:rsidRDefault="00C65CBA" w:rsidP="00560EBE">
            <w:proofErr w:type="spellStart"/>
            <w:r w:rsidRPr="009667DE">
              <w:lastRenderedPageBreak/>
              <w:t>Lp</w:t>
            </w:r>
            <w:proofErr w:type="spellEnd"/>
          </w:p>
        </w:tc>
        <w:tc>
          <w:tcPr>
            <w:tcW w:w="2003" w:type="dxa"/>
          </w:tcPr>
          <w:p w14:paraId="071E9BF5" w14:textId="77777777" w:rsidR="00C65CBA" w:rsidRPr="009667DE" w:rsidRDefault="00C65CBA" w:rsidP="00560EBE">
            <w:r w:rsidRPr="009667DE">
              <w:t>Pole formularza</w:t>
            </w:r>
          </w:p>
        </w:tc>
        <w:tc>
          <w:tcPr>
            <w:tcW w:w="11198" w:type="dxa"/>
          </w:tcPr>
          <w:p w14:paraId="3C51AD91" w14:textId="77777777" w:rsidR="00C65CBA" w:rsidRPr="009667DE" w:rsidRDefault="00C65CBA" w:rsidP="00560EBE">
            <w:r w:rsidRPr="009667DE">
              <w:t>Treść</w:t>
            </w:r>
          </w:p>
        </w:tc>
      </w:tr>
      <w:tr w:rsidR="009667DE" w:rsidRPr="009667DE" w14:paraId="0E5171C1" w14:textId="77777777" w:rsidTr="00560EBE">
        <w:tc>
          <w:tcPr>
            <w:tcW w:w="686" w:type="dxa"/>
          </w:tcPr>
          <w:p w14:paraId="53F838D5" w14:textId="77777777" w:rsidR="00C65CBA" w:rsidRPr="009667DE" w:rsidRDefault="00C65CBA" w:rsidP="00482E8C">
            <w:pPr>
              <w:pStyle w:val="Akapitzlist"/>
              <w:numPr>
                <w:ilvl w:val="0"/>
                <w:numId w:val="9"/>
              </w:numPr>
            </w:pPr>
          </w:p>
        </w:tc>
        <w:tc>
          <w:tcPr>
            <w:tcW w:w="2003" w:type="dxa"/>
          </w:tcPr>
          <w:p w14:paraId="74A922C2" w14:textId="77777777" w:rsidR="00C65CBA" w:rsidRPr="009667DE" w:rsidRDefault="00C65CBA" w:rsidP="00560EBE">
            <w:r w:rsidRPr="009667DE">
              <w:t>Imię</w:t>
            </w:r>
          </w:p>
        </w:tc>
        <w:tc>
          <w:tcPr>
            <w:tcW w:w="11198" w:type="dxa"/>
            <w:shd w:val="clear" w:color="auto" w:fill="A6A6A6" w:themeFill="background1" w:themeFillShade="A6"/>
          </w:tcPr>
          <w:p w14:paraId="17A77573" w14:textId="77777777" w:rsidR="00C65CBA" w:rsidRPr="009667DE" w:rsidRDefault="00C65CBA" w:rsidP="00560EBE"/>
        </w:tc>
      </w:tr>
      <w:tr w:rsidR="009667DE" w:rsidRPr="009667DE" w14:paraId="5A2BEE25" w14:textId="77777777" w:rsidTr="00560EBE">
        <w:tc>
          <w:tcPr>
            <w:tcW w:w="686" w:type="dxa"/>
          </w:tcPr>
          <w:p w14:paraId="6585BCB2" w14:textId="77777777" w:rsidR="00C65CBA" w:rsidRPr="009667DE" w:rsidRDefault="00C65CBA" w:rsidP="00482E8C">
            <w:pPr>
              <w:pStyle w:val="Akapitzlist"/>
              <w:numPr>
                <w:ilvl w:val="0"/>
                <w:numId w:val="9"/>
              </w:numPr>
            </w:pPr>
          </w:p>
        </w:tc>
        <w:tc>
          <w:tcPr>
            <w:tcW w:w="2003" w:type="dxa"/>
          </w:tcPr>
          <w:p w14:paraId="56A4F2B9" w14:textId="77777777" w:rsidR="00C65CBA" w:rsidRPr="009667DE" w:rsidRDefault="00C65CBA" w:rsidP="00560EBE">
            <w:r w:rsidRPr="009667DE">
              <w:t>Nazwisko</w:t>
            </w:r>
          </w:p>
        </w:tc>
        <w:tc>
          <w:tcPr>
            <w:tcW w:w="11198" w:type="dxa"/>
            <w:shd w:val="clear" w:color="auto" w:fill="A6A6A6" w:themeFill="background1" w:themeFillShade="A6"/>
          </w:tcPr>
          <w:p w14:paraId="110078EE" w14:textId="77777777" w:rsidR="00C65CBA" w:rsidRPr="009667DE" w:rsidRDefault="00C65CBA" w:rsidP="00560EBE"/>
        </w:tc>
      </w:tr>
      <w:tr w:rsidR="009667DE" w:rsidRPr="009667DE" w14:paraId="72D42942" w14:textId="77777777" w:rsidTr="00560EBE">
        <w:tc>
          <w:tcPr>
            <w:tcW w:w="686" w:type="dxa"/>
          </w:tcPr>
          <w:p w14:paraId="625BD74F" w14:textId="77777777" w:rsidR="00C65CBA" w:rsidRPr="009667DE" w:rsidRDefault="00C65CBA" w:rsidP="00482E8C">
            <w:pPr>
              <w:pStyle w:val="Akapitzlist"/>
              <w:numPr>
                <w:ilvl w:val="0"/>
                <w:numId w:val="9"/>
              </w:numPr>
            </w:pPr>
          </w:p>
        </w:tc>
        <w:tc>
          <w:tcPr>
            <w:tcW w:w="2003" w:type="dxa"/>
          </w:tcPr>
          <w:p w14:paraId="785FD1AE" w14:textId="77777777" w:rsidR="00C65CBA" w:rsidRPr="009667DE" w:rsidRDefault="00C65CBA" w:rsidP="00560EBE">
            <w:r w:rsidRPr="009667DE">
              <w:t>Instytucja</w:t>
            </w:r>
          </w:p>
        </w:tc>
        <w:tc>
          <w:tcPr>
            <w:tcW w:w="11198" w:type="dxa"/>
            <w:shd w:val="clear" w:color="auto" w:fill="A6A6A6" w:themeFill="background1" w:themeFillShade="A6"/>
          </w:tcPr>
          <w:p w14:paraId="0EFBF434" w14:textId="77777777" w:rsidR="00C65CBA" w:rsidRPr="009667DE" w:rsidRDefault="00C65CBA" w:rsidP="00560EBE"/>
        </w:tc>
      </w:tr>
      <w:tr w:rsidR="009667DE" w:rsidRPr="009667DE" w14:paraId="4272692B" w14:textId="77777777" w:rsidTr="00560EBE">
        <w:tc>
          <w:tcPr>
            <w:tcW w:w="686" w:type="dxa"/>
          </w:tcPr>
          <w:p w14:paraId="503FB5EC" w14:textId="77777777" w:rsidR="00C65CBA" w:rsidRPr="009667DE" w:rsidRDefault="00C65CBA" w:rsidP="00482E8C">
            <w:pPr>
              <w:pStyle w:val="Akapitzlist"/>
              <w:numPr>
                <w:ilvl w:val="0"/>
                <w:numId w:val="9"/>
              </w:numPr>
            </w:pPr>
          </w:p>
        </w:tc>
        <w:tc>
          <w:tcPr>
            <w:tcW w:w="2003" w:type="dxa"/>
          </w:tcPr>
          <w:p w14:paraId="3732FCC5" w14:textId="77777777" w:rsidR="00C65CBA" w:rsidRPr="009667DE" w:rsidRDefault="00C65CBA" w:rsidP="00560EBE">
            <w:r w:rsidRPr="009667DE">
              <w:t>Województwo</w:t>
            </w:r>
          </w:p>
        </w:tc>
        <w:tc>
          <w:tcPr>
            <w:tcW w:w="11198" w:type="dxa"/>
            <w:shd w:val="clear" w:color="auto" w:fill="A6A6A6" w:themeFill="background1" w:themeFillShade="A6"/>
          </w:tcPr>
          <w:p w14:paraId="3A17E9D5" w14:textId="77777777" w:rsidR="00C65CBA" w:rsidRPr="009667DE" w:rsidRDefault="00C65CBA" w:rsidP="00560EBE"/>
        </w:tc>
      </w:tr>
      <w:tr w:rsidR="009667DE" w:rsidRPr="009667DE" w14:paraId="2EADC741" w14:textId="77777777" w:rsidTr="00560EBE">
        <w:tc>
          <w:tcPr>
            <w:tcW w:w="686" w:type="dxa"/>
          </w:tcPr>
          <w:p w14:paraId="3A3979D4" w14:textId="77777777" w:rsidR="00C65CBA" w:rsidRPr="009667DE" w:rsidRDefault="00C65CBA" w:rsidP="00482E8C">
            <w:pPr>
              <w:pStyle w:val="Akapitzlist"/>
              <w:numPr>
                <w:ilvl w:val="0"/>
                <w:numId w:val="9"/>
              </w:numPr>
            </w:pPr>
          </w:p>
        </w:tc>
        <w:tc>
          <w:tcPr>
            <w:tcW w:w="2003" w:type="dxa"/>
          </w:tcPr>
          <w:p w14:paraId="4A03805F" w14:textId="77777777" w:rsidR="00C65CBA" w:rsidRPr="009667DE" w:rsidRDefault="00C65CBA" w:rsidP="00560EBE">
            <w:r w:rsidRPr="009667DE">
              <w:t>Część KPO</w:t>
            </w:r>
          </w:p>
        </w:tc>
        <w:tc>
          <w:tcPr>
            <w:tcW w:w="11198" w:type="dxa"/>
          </w:tcPr>
          <w:p w14:paraId="0360ABDC" w14:textId="77777777" w:rsidR="00C65CBA" w:rsidRPr="009667DE" w:rsidRDefault="00C65CBA" w:rsidP="00560EBE">
            <w:r w:rsidRPr="009667DE">
              <w:t>2. POWIĄZANIE Z SEMESTREM EUROPEJSKIM</w:t>
            </w:r>
          </w:p>
        </w:tc>
      </w:tr>
      <w:tr w:rsidR="009667DE" w:rsidRPr="009667DE" w14:paraId="2202407A" w14:textId="77777777" w:rsidTr="00560EBE">
        <w:tc>
          <w:tcPr>
            <w:tcW w:w="686" w:type="dxa"/>
          </w:tcPr>
          <w:p w14:paraId="5BC1C228" w14:textId="77777777" w:rsidR="00C65CBA" w:rsidRPr="009667DE" w:rsidRDefault="00C65CBA" w:rsidP="00482E8C">
            <w:pPr>
              <w:pStyle w:val="Akapitzlist"/>
              <w:numPr>
                <w:ilvl w:val="0"/>
                <w:numId w:val="9"/>
              </w:numPr>
            </w:pPr>
          </w:p>
        </w:tc>
        <w:tc>
          <w:tcPr>
            <w:tcW w:w="2003" w:type="dxa"/>
          </w:tcPr>
          <w:p w14:paraId="3342658E" w14:textId="77777777" w:rsidR="00C65CBA" w:rsidRPr="009667DE" w:rsidRDefault="00C65CBA" w:rsidP="00560EBE">
            <w:r w:rsidRPr="009667DE">
              <w:t>Strona</w:t>
            </w:r>
          </w:p>
        </w:tc>
        <w:tc>
          <w:tcPr>
            <w:tcW w:w="11198" w:type="dxa"/>
          </w:tcPr>
          <w:p w14:paraId="153EB714" w14:textId="2675CAFC" w:rsidR="00C65CBA" w:rsidRPr="009667DE" w:rsidRDefault="00482E8C" w:rsidP="00560EBE">
            <w:r w:rsidRPr="009667DE">
              <w:t>41</w:t>
            </w:r>
          </w:p>
        </w:tc>
      </w:tr>
      <w:tr w:rsidR="009667DE" w:rsidRPr="009667DE" w14:paraId="6A8A6ED7" w14:textId="77777777" w:rsidTr="00560EBE">
        <w:tc>
          <w:tcPr>
            <w:tcW w:w="686" w:type="dxa"/>
          </w:tcPr>
          <w:p w14:paraId="4B70435D" w14:textId="77777777" w:rsidR="00C65CBA" w:rsidRPr="009667DE" w:rsidRDefault="00C65CBA" w:rsidP="00482E8C">
            <w:pPr>
              <w:pStyle w:val="Akapitzlist"/>
              <w:numPr>
                <w:ilvl w:val="0"/>
                <w:numId w:val="9"/>
              </w:numPr>
            </w:pPr>
          </w:p>
        </w:tc>
        <w:tc>
          <w:tcPr>
            <w:tcW w:w="2003" w:type="dxa"/>
          </w:tcPr>
          <w:p w14:paraId="2CD525B9" w14:textId="77777777" w:rsidR="00C65CBA" w:rsidRPr="009667DE" w:rsidRDefault="00C65CBA" w:rsidP="00560EBE">
            <w:r w:rsidRPr="009667DE">
              <w:t>Treść Uwagi</w:t>
            </w:r>
          </w:p>
        </w:tc>
        <w:tc>
          <w:tcPr>
            <w:tcW w:w="11198" w:type="dxa"/>
          </w:tcPr>
          <w:p w14:paraId="0814E302" w14:textId="77777777" w:rsidR="00C65CBA" w:rsidRPr="009667DE" w:rsidRDefault="00C65CBA" w:rsidP="00560EBE">
            <w:pPr>
              <w:autoSpaceDE w:val="0"/>
              <w:autoSpaceDN w:val="0"/>
              <w:adjustRightInd w:val="0"/>
              <w:rPr>
                <w:rFonts w:ascii="Calibri" w:hAnsi="Calibri" w:cs="Calibri"/>
              </w:rPr>
            </w:pPr>
            <w:r w:rsidRPr="009667DE">
              <w:rPr>
                <w:rFonts w:ascii="Calibri" w:hAnsi="Calibri" w:cs="Calibri"/>
              </w:rPr>
              <w:t>Dodanie ukierunkowania wsparcia na rozwój infrastruktury rowerowej</w:t>
            </w:r>
          </w:p>
          <w:p w14:paraId="24556B11" w14:textId="77777777" w:rsidR="00C65CBA" w:rsidRPr="009667DE" w:rsidRDefault="00C65CBA" w:rsidP="00560EBE">
            <w:pPr>
              <w:autoSpaceDE w:val="0"/>
              <w:autoSpaceDN w:val="0"/>
              <w:adjustRightInd w:val="0"/>
              <w:rPr>
                <w:rFonts w:ascii="Calibri" w:hAnsi="Calibri" w:cs="Calibri"/>
              </w:rPr>
            </w:pPr>
          </w:p>
          <w:p w14:paraId="7BF92C83" w14:textId="27325442" w:rsidR="00C65CBA" w:rsidRPr="009667DE" w:rsidRDefault="00C65CBA" w:rsidP="00560EBE">
            <w:pPr>
              <w:autoSpaceDE w:val="0"/>
              <w:autoSpaceDN w:val="0"/>
              <w:adjustRightInd w:val="0"/>
            </w:pPr>
            <w:r w:rsidRPr="009667DE">
              <w:rPr>
                <w:rFonts w:ascii="Calibri" w:hAnsi="Calibri" w:cs="Calibri"/>
              </w:rPr>
              <w:t>Dodanie tzw. wiązki inwestycji E1.1.3 „</w:t>
            </w:r>
            <w:r w:rsidR="00F96E11" w:rsidRPr="009667DE">
              <w:rPr>
                <w:rFonts w:ascii="Calibri" w:hAnsi="Calibri" w:cs="Calibri"/>
              </w:rPr>
              <w:t>Wsparcie rozwoju</w:t>
            </w:r>
            <w:r w:rsidRPr="009667DE">
              <w:rPr>
                <w:rFonts w:ascii="Calibri" w:hAnsi="Calibri" w:cs="Calibri"/>
              </w:rPr>
              <w:t xml:space="preserve"> infrastruktury rowerowej” do tabeli </w:t>
            </w:r>
            <w:r w:rsidRPr="009667DE">
              <w:t>Realizacja szczegółowych zaleceń dla Polski z lat 2019 i 2020 w ramach KPO, w odniesieniu do rekomendacji</w:t>
            </w:r>
            <w:r w:rsidR="00482E8C" w:rsidRPr="009667DE">
              <w:t xml:space="preserve"> CSR3 2020 „Ukierunkowanie inwestycji na transformację ekologiczną i cyfrową, w szczególności na infrastrukturę cyfrową, czyste i wydajne wytwarzanie i wykorzystanie energii oraz zrównoważony transport, co będzie przyczyniać się do stopniowej dekarbonizacji gospodarki, m.in. w regionach górniczych”</w:t>
            </w:r>
            <w:r w:rsidRPr="009667DE">
              <w:t xml:space="preserve">, komponentu E „Zielona, inteligentna mobilność”, reformy E1.1 „Wzrost wykorzystania transportu przyjaznego dla środowiska”. </w:t>
            </w:r>
          </w:p>
          <w:p w14:paraId="212D866B" w14:textId="77777777" w:rsidR="00C65CBA" w:rsidRPr="009667DE" w:rsidRDefault="00C65CBA" w:rsidP="00560EBE">
            <w:pPr>
              <w:autoSpaceDE w:val="0"/>
              <w:autoSpaceDN w:val="0"/>
              <w:adjustRightInd w:val="0"/>
              <w:rPr>
                <w:rFonts w:ascii="Calibri" w:hAnsi="Calibri" w:cs="Calibri"/>
              </w:rPr>
            </w:pPr>
          </w:p>
        </w:tc>
      </w:tr>
      <w:tr w:rsidR="00C65CBA" w:rsidRPr="009667DE" w14:paraId="29716A80" w14:textId="77777777" w:rsidTr="00560EBE">
        <w:tc>
          <w:tcPr>
            <w:tcW w:w="686" w:type="dxa"/>
          </w:tcPr>
          <w:p w14:paraId="5BCB223E" w14:textId="77777777" w:rsidR="00C65CBA" w:rsidRPr="009667DE" w:rsidRDefault="00C65CBA" w:rsidP="00482E8C">
            <w:pPr>
              <w:pStyle w:val="Akapitzlist"/>
              <w:numPr>
                <w:ilvl w:val="0"/>
                <w:numId w:val="9"/>
              </w:numPr>
            </w:pPr>
          </w:p>
        </w:tc>
        <w:tc>
          <w:tcPr>
            <w:tcW w:w="2003" w:type="dxa"/>
          </w:tcPr>
          <w:p w14:paraId="1AED9332" w14:textId="77777777" w:rsidR="00C65CBA" w:rsidRPr="009667DE" w:rsidRDefault="00C65CBA" w:rsidP="00560EBE">
            <w:r w:rsidRPr="009667DE">
              <w:t>Uzasadnienie uwagi</w:t>
            </w:r>
          </w:p>
        </w:tc>
        <w:tc>
          <w:tcPr>
            <w:tcW w:w="11198" w:type="dxa"/>
          </w:tcPr>
          <w:p w14:paraId="2734A382" w14:textId="2986FCB2" w:rsidR="00C65CBA" w:rsidRPr="009667DE" w:rsidRDefault="00C65CBA" w:rsidP="00560EBE">
            <w:r w:rsidRPr="009667DE">
              <w:t>Działanie na rzecz rozwoju infrastruktury rowerowej wpisuje się wprost w rekomendacje ukierunkowani</w:t>
            </w:r>
            <w:r w:rsidR="000239B1" w:rsidRPr="009667DE">
              <w:t>a</w:t>
            </w:r>
            <w:r w:rsidRPr="009667DE">
              <w:t xml:space="preserve"> inwestycji publicznych na czyste i wydajne wytwarzanie i wykorzystanie energii oraz zrównoważony transport (CSR3 2019 i CSR3 2020). Rower bowiem stanowi </w:t>
            </w:r>
            <w:proofErr w:type="spellStart"/>
            <w:r w:rsidRPr="009667DE">
              <w:t>bezemisyjny</w:t>
            </w:r>
            <w:proofErr w:type="spellEnd"/>
            <w:r w:rsidRPr="009667DE">
              <w:t xml:space="preserve"> transport, co wspierać będzie rozwój zrównoważonej, zielonej mobilności.</w:t>
            </w:r>
          </w:p>
        </w:tc>
      </w:tr>
    </w:tbl>
    <w:p w14:paraId="44615A9B" w14:textId="77777777" w:rsidR="00C65CBA" w:rsidRPr="009667DE" w:rsidRDefault="00C65CBA"/>
    <w:p w14:paraId="44184BD1" w14:textId="77777777" w:rsidR="00482E8C" w:rsidRPr="009667DE" w:rsidRDefault="00482E8C">
      <w:r w:rsidRPr="009667DE">
        <w:br w:type="page"/>
      </w:r>
    </w:p>
    <w:tbl>
      <w:tblPr>
        <w:tblStyle w:val="Tabela-Siatka"/>
        <w:tblW w:w="0" w:type="auto"/>
        <w:tblLook w:val="04A0" w:firstRow="1" w:lastRow="0" w:firstColumn="1" w:lastColumn="0" w:noHBand="0" w:noVBand="1"/>
      </w:tblPr>
      <w:tblGrid>
        <w:gridCol w:w="686"/>
        <w:gridCol w:w="2003"/>
        <w:gridCol w:w="11198"/>
      </w:tblGrid>
      <w:tr w:rsidR="009667DE" w:rsidRPr="009667DE" w14:paraId="54D8A06F" w14:textId="77777777" w:rsidTr="00560EBE">
        <w:tc>
          <w:tcPr>
            <w:tcW w:w="686" w:type="dxa"/>
          </w:tcPr>
          <w:p w14:paraId="7321704F" w14:textId="77777777" w:rsidR="00482E8C" w:rsidRPr="009667DE" w:rsidRDefault="00482E8C" w:rsidP="00560EBE">
            <w:proofErr w:type="spellStart"/>
            <w:r w:rsidRPr="009667DE">
              <w:lastRenderedPageBreak/>
              <w:t>Lp</w:t>
            </w:r>
            <w:proofErr w:type="spellEnd"/>
          </w:p>
        </w:tc>
        <w:tc>
          <w:tcPr>
            <w:tcW w:w="2003" w:type="dxa"/>
          </w:tcPr>
          <w:p w14:paraId="64DE694E" w14:textId="77777777" w:rsidR="00482E8C" w:rsidRPr="009667DE" w:rsidRDefault="00482E8C" w:rsidP="00560EBE">
            <w:r w:rsidRPr="009667DE">
              <w:t>Pole formularza</w:t>
            </w:r>
          </w:p>
        </w:tc>
        <w:tc>
          <w:tcPr>
            <w:tcW w:w="11198" w:type="dxa"/>
          </w:tcPr>
          <w:p w14:paraId="437AB0AC" w14:textId="77777777" w:rsidR="00482E8C" w:rsidRPr="009667DE" w:rsidRDefault="00482E8C" w:rsidP="00560EBE">
            <w:r w:rsidRPr="009667DE">
              <w:t>Treść</w:t>
            </w:r>
          </w:p>
        </w:tc>
      </w:tr>
      <w:tr w:rsidR="009667DE" w:rsidRPr="009667DE" w14:paraId="142867CC" w14:textId="77777777" w:rsidTr="00560EBE">
        <w:tc>
          <w:tcPr>
            <w:tcW w:w="686" w:type="dxa"/>
          </w:tcPr>
          <w:p w14:paraId="158F9606" w14:textId="77777777" w:rsidR="00482E8C" w:rsidRPr="009667DE" w:rsidRDefault="00482E8C" w:rsidP="00482E8C">
            <w:pPr>
              <w:pStyle w:val="Akapitzlist"/>
              <w:numPr>
                <w:ilvl w:val="0"/>
                <w:numId w:val="10"/>
              </w:numPr>
            </w:pPr>
          </w:p>
        </w:tc>
        <w:tc>
          <w:tcPr>
            <w:tcW w:w="2003" w:type="dxa"/>
          </w:tcPr>
          <w:p w14:paraId="407B1389" w14:textId="77777777" w:rsidR="00482E8C" w:rsidRPr="009667DE" w:rsidRDefault="00482E8C" w:rsidP="00560EBE">
            <w:r w:rsidRPr="009667DE">
              <w:t>Imię</w:t>
            </w:r>
          </w:p>
        </w:tc>
        <w:tc>
          <w:tcPr>
            <w:tcW w:w="11198" w:type="dxa"/>
            <w:shd w:val="clear" w:color="auto" w:fill="A6A6A6" w:themeFill="background1" w:themeFillShade="A6"/>
          </w:tcPr>
          <w:p w14:paraId="4CA940D1" w14:textId="77777777" w:rsidR="00482E8C" w:rsidRPr="009667DE" w:rsidRDefault="00482E8C" w:rsidP="00560EBE"/>
        </w:tc>
      </w:tr>
      <w:tr w:rsidR="009667DE" w:rsidRPr="009667DE" w14:paraId="33E38F28" w14:textId="77777777" w:rsidTr="00560EBE">
        <w:tc>
          <w:tcPr>
            <w:tcW w:w="686" w:type="dxa"/>
          </w:tcPr>
          <w:p w14:paraId="6D22B6BA" w14:textId="77777777" w:rsidR="00482E8C" w:rsidRPr="009667DE" w:rsidRDefault="00482E8C" w:rsidP="00482E8C">
            <w:pPr>
              <w:pStyle w:val="Akapitzlist"/>
              <w:numPr>
                <w:ilvl w:val="0"/>
                <w:numId w:val="10"/>
              </w:numPr>
            </w:pPr>
          </w:p>
        </w:tc>
        <w:tc>
          <w:tcPr>
            <w:tcW w:w="2003" w:type="dxa"/>
          </w:tcPr>
          <w:p w14:paraId="67C8F18F" w14:textId="77777777" w:rsidR="00482E8C" w:rsidRPr="009667DE" w:rsidRDefault="00482E8C" w:rsidP="00560EBE">
            <w:r w:rsidRPr="009667DE">
              <w:t>Nazwisko</w:t>
            </w:r>
          </w:p>
        </w:tc>
        <w:tc>
          <w:tcPr>
            <w:tcW w:w="11198" w:type="dxa"/>
            <w:shd w:val="clear" w:color="auto" w:fill="A6A6A6" w:themeFill="background1" w:themeFillShade="A6"/>
          </w:tcPr>
          <w:p w14:paraId="22E7DBAF" w14:textId="77777777" w:rsidR="00482E8C" w:rsidRPr="009667DE" w:rsidRDefault="00482E8C" w:rsidP="00560EBE"/>
        </w:tc>
      </w:tr>
      <w:tr w:rsidR="009667DE" w:rsidRPr="009667DE" w14:paraId="5E4C5767" w14:textId="77777777" w:rsidTr="00560EBE">
        <w:tc>
          <w:tcPr>
            <w:tcW w:w="686" w:type="dxa"/>
          </w:tcPr>
          <w:p w14:paraId="3BF7CF6B" w14:textId="77777777" w:rsidR="00482E8C" w:rsidRPr="009667DE" w:rsidRDefault="00482E8C" w:rsidP="00482E8C">
            <w:pPr>
              <w:pStyle w:val="Akapitzlist"/>
              <w:numPr>
                <w:ilvl w:val="0"/>
                <w:numId w:val="10"/>
              </w:numPr>
            </w:pPr>
          </w:p>
        </w:tc>
        <w:tc>
          <w:tcPr>
            <w:tcW w:w="2003" w:type="dxa"/>
          </w:tcPr>
          <w:p w14:paraId="2CDD0634" w14:textId="77777777" w:rsidR="00482E8C" w:rsidRPr="009667DE" w:rsidRDefault="00482E8C" w:rsidP="00560EBE">
            <w:r w:rsidRPr="009667DE">
              <w:t>Instytucja</w:t>
            </w:r>
          </w:p>
        </w:tc>
        <w:tc>
          <w:tcPr>
            <w:tcW w:w="11198" w:type="dxa"/>
            <w:shd w:val="clear" w:color="auto" w:fill="A6A6A6" w:themeFill="background1" w:themeFillShade="A6"/>
          </w:tcPr>
          <w:p w14:paraId="3643B38F" w14:textId="77777777" w:rsidR="00482E8C" w:rsidRPr="009667DE" w:rsidRDefault="00482E8C" w:rsidP="00560EBE"/>
        </w:tc>
      </w:tr>
      <w:tr w:rsidR="009667DE" w:rsidRPr="009667DE" w14:paraId="78D4A71E" w14:textId="77777777" w:rsidTr="00560EBE">
        <w:tc>
          <w:tcPr>
            <w:tcW w:w="686" w:type="dxa"/>
          </w:tcPr>
          <w:p w14:paraId="31C1FE2F" w14:textId="77777777" w:rsidR="00482E8C" w:rsidRPr="009667DE" w:rsidRDefault="00482E8C" w:rsidP="00482E8C">
            <w:pPr>
              <w:pStyle w:val="Akapitzlist"/>
              <w:numPr>
                <w:ilvl w:val="0"/>
                <w:numId w:val="10"/>
              </w:numPr>
            </w:pPr>
          </w:p>
        </w:tc>
        <w:tc>
          <w:tcPr>
            <w:tcW w:w="2003" w:type="dxa"/>
          </w:tcPr>
          <w:p w14:paraId="7A411CE6" w14:textId="77777777" w:rsidR="00482E8C" w:rsidRPr="009667DE" w:rsidRDefault="00482E8C" w:rsidP="00560EBE">
            <w:r w:rsidRPr="009667DE">
              <w:t>Województwo</w:t>
            </w:r>
          </w:p>
        </w:tc>
        <w:tc>
          <w:tcPr>
            <w:tcW w:w="11198" w:type="dxa"/>
            <w:shd w:val="clear" w:color="auto" w:fill="A6A6A6" w:themeFill="background1" w:themeFillShade="A6"/>
          </w:tcPr>
          <w:p w14:paraId="2EFE9CDD" w14:textId="77777777" w:rsidR="00482E8C" w:rsidRPr="009667DE" w:rsidRDefault="00482E8C" w:rsidP="00560EBE"/>
        </w:tc>
      </w:tr>
      <w:tr w:rsidR="009667DE" w:rsidRPr="009667DE" w14:paraId="4DA5A75D" w14:textId="77777777" w:rsidTr="00560EBE">
        <w:tc>
          <w:tcPr>
            <w:tcW w:w="686" w:type="dxa"/>
          </w:tcPr>
          <w:p w14:paraId="111C2C21" w14:textId="77777777" w:rsidR="00482E8C" w:rsidRPr="009667DE" w:rsidRDefault="00482E8C" w:rsidP="00482E8C">
            <w:pPr>
              <w:pStyle w:val="Akapitzlist"/>
              <w:numPr>
                <w:ilvl w:val="0"/>
                <w:numId w:val="10"/>
              </w:numPr>
            </w:pPr>
          </w:p>
        </w:tc>
        <w:tc>
          <w:tcPr>
            <w:tcW w:w="2003" w:type="dxa"/>
          </w:tcPr>
          <w:p w14:paraId="00D595C8" w14:textId="77777777" w:rsidR="00482E8C" w:rsidRPr="009667DE" w:rsidRDefault="00482E8C" w:rsidP="00560EBE">
            <w:r w:rsidRPr="009667DE">
              <w:t>Część KPO</w:t>
            </w:r>
          </w:p>
        </w:tc>
        <w:tc>
          <w:tcPr>
            <w:tcW w:w="11198" w:type="dxa"/>
          </w:tcPr>
          <w:p w14:paraId="1CDFB814" w14:textId="77777777" w:rsidR="00482E8C" w:rsidRPr="009667DE" w:rsidRDefault="00482E8C" w:rsidP="00560EBE">
            <w:r w:rsidRPr="009667DE">
              <w:t>2. POWIĄZANIE Z SEMESTREM EUROPEJSKIM</w:t>
            </w:r>
          </w:p>
        </w:tc>
      </w:tr>
      <w:tr w:rsidR="009667DE" w:rsidRPr="009667DE" w14:paraId="0D2D46F4" w14:textId="77777777" w:rsidTr="00560EBE">
        <w:tc>
          <w:tcPr>
            <w:tcW w:w="686" w:type="dxa"/>
          </w:tcPr>
          <w:p w14:paraId="671286CB" w14:textId="77777777" w:rsidR="00482E8C" w:rsidRPr="009667DE" w:rsidRDefault="00482E8C" w:rsidP="00482E8C">
            <w:pPr>
              <w:pStyle w:val="Akapitzlist"/>
              <w:numPr>
                <w:ilvl w:val="0"/>
                <w:numId w:val="10"/>
              </w:numPr>
            </w:pPr>
          </w:p>
        </w:tc>
        <w:tc>
          <w:tcPr>
            <w:tcW w:w="2003" w:type="dxa"/>
          </w:tcPr>
          <w:p w14:paraId="4CCA0066" w14:textId="77777777" w:rsidR="00482E8C" w:rsidRPr="009667DE" w:rsidRDefault="00482E8C" w:rsidP="00560EBE">
            <w:r w:rsidRPr="009667DE">
              <w:t>Strona</w:t>
            </w:r>
          </w:p>
        </w:tc>
        <w:tc>
          <w:tcPr>
            <w:tcW w:w="11198" w:type="dxa"/>
          </w:tcPr>
          <w:p w14:paraId="7C7E1D0C" w14:textId="1BB134B9" w:rsidR="00482E8C" w:rsidRPr="009667DE" w:rsidRDefault="00482E8C" w:rsidP="00560EBE">
            <w:r w:rsidRPr="009667DE">
              <w:t>44</w:t>
            </w:r>
          </w:p>
        </w:tc>
      </w:tr>
      <w:tr w:rsidR="009667DE" w:rsidRPr="009667DE" w14:paraId="171EEA5E" w14:textId="77777777" w:rsidTr="00560EBE">
        <w:tc>
          <w:tcPr>
            <w:tcW w:w="686" w:type="dxa"/>
          </w:tcPr>
          <w:p w14:paraId="1D07C035" w14:textId="77777777" w:rsidR="00482E8C" w:rsidRPr="009667DE" w:rsidRDefault="00482E8C" w:rsidP="00482E8C">
            <w:pPr>
              <w:pStyle w:val="Akapitzlist"/>
              <w:numPr>
                <w:ilvl w:val="0"/>
                <w:numId w:val="10"/>
              </w:numPr>
            </w:pPr>
          </w:p>
        </w:tc>
        <w:tc>
          <w:tcPr>
            <w:tcW w:w="2003" w:type="dxa"/>
          </w:tcPr>
          <w:p w14:paraId="4D656242" w14:textId="77777777" w:rsidR="00482E8C" w:rsidRPr="009667DE" w:rsidRDefault="00482E8C" w:rsidP="00560EBE">
            <w:r w:rsidRPr="009667DE">
              <w:t>Treść Uwagi</w:t>
            </w:r>
          </w:p>
        </w:tc>
        <w:tc>
          <w:tcPr>
            <w:tcW w:w="11198" w:type="dxa"/>
          </w:tcPr>
          <w:p w14:paraId="45774FE0" w14:textId="325EEB71" w:rsidR="00482E8C" w:rsidRPr="009667DE" w:rsidRDefault="00482E8C" w:rsidP="00560EBE">
            <w:pPr>
              <w:autoSpaceDE w:val="0"/>
              <w:autoSpaceDN w:val="0"/>
              <w:adjustRightInd w:val="0"/>
              <w:rPr>
                <w:rFonts w:ascii="Calibri" w:hAnsi="Calibri" w:cs="Calibri"/>
              </w:rPr>
            </w:pPr>
            <w:r w:rsidRPr="009667DE">
              <w:rPr>
                <w:rFonts w:ascii="Calibri" w:hAnsi="Calibri" w:cs="Calibri"/>
              </w:rPr>
              <w:t xml:space="preserve">Dodanie ukierunkowania wsparcia na rozwój infrastruktury rowerowej w ramach </w:t>
            </w:r>
            <w:r w:rsidR="006F1442" w:rsidRPr="009667DE">
              <w:rPr>
                <w:rFonts w:ascii="Calibri" w:hAnsi="Calibri" w:cs="Calibri"/>
              </w:rPr>
              <w:t>tabeli „</w:t>
            </w:r>
            <w:r w:rsidR="006F1442" w:rsidRPr="009667DE">
              <w:t>Realizacja 7 projektów flagowych UE”.</w:t>
            </w:r>
          </w:p>
          <w:p w14:paraId="0D400C4F" w14:textId="77777777" w:rsidR="00482E8C" w:rsidRPr="009667DE" w:rsidRDefault="00482E8C" w:rsidP="00560EBE">
            <w:pPr>
              <w:autoSpaceDE w:val="0"/>
              <w:autoSpaceDN w:val="0"/>
              <w:adjustRightInd w:val="0"/>
              <w:rPr>
                <w:rFonts w:ascii="Calibri" w:hAnsi="Calibri" w:cs="Calibri"/>
              </w:rPr>
            </w:pPr>
          </w:p>
          <w:p w14:paraId="19CE2930" w14:textId="5FECE589" w:rsidR="00F6662E" w:rsidRPr="009667DE" w:rsidRDefault="00482E8C" w:rsidP="00D01A19">
            <w:pPr>
              <w:autoSpaceDE w:val="0"/>
              <w:autoSpaceDN w:val="0"/>
              <w:adjustRightInd w:val="0"/>
              <w:rPr>
                <w:rFonts w:ascii="Calibri" w:hAnsi="Calibri" w:cs="Calibri"/>
              </w:rPr>
            </w:pPr>
            <w:r w:rsidRPr="009667DE">
              <w:rPr>
                <w:rFonts w:ascii="Calibri" w:hAnsi="Calibri" w:cs="Calibri"/>
              </w:rPr>
              <w:t xml:space="preserve">Dodanie </w:t>
            </w:r>
            <w:r w:rsidR="00F6662E" w:rsidRPr="009667DE">
              <w:rPr>
                <w:rFonts w:ascii="Calibri" w:hAnsi="Calibri" w:cs="Calibri"/>
              </w:rPr>
              <w:t xml:space="preserve">punktu „rozwój infrastruktury rowerowej” </w:t>
            </w:r>
            <w:r w:rsidR="00D01A19" w:rsidRPr="009667DE">
              <w:rPr>
                <w:rFonts w:ascii="Calibri" w:hAnsi="Calibri" w:cs="Calibri"/>
              </w:rPr>
              <w:t>w ramach wiersza „Doładowanie i tankowanie”/„</w:t>
            </w:r>
            <w:proofErr w:type="spellStart"/>
            <w:r w:rsidR="00D01A19" w:rsidRPr="009667DE">
              <w:rPr>
                <w:rFonts w:ascii="Calibri" w:hAnsi="Calibri" w:cs="Calibri"/>
              </w:rPr>
              <w:t>Recharge</w:t>
            </w:r>
            <w:proofErr w:type="spellEnd"/>
            <w:r w:rsidR="00D01A19" w:rsidRPr="009667DE">
              <w:rPr>
                <w:rFonts w:ascii="Calibri" w:hAnsi="Calibri" w:cs="Calibri"/>
              </w:rPr>
              <w:t xml:space="preserve"> and </w:t>
            </w:r>
            <w:proofErr w:type="spellStart"/>
            <w:r w:rsidR="00D01A19" w:rsidRPr="009667DE">
              <w:rPr>
                <w:rFonts w:ascii="Calibri" w:hAnsi="Calibri" w:cs="Calibri"/>
              </w:rPr>
              <w:t>refuel</w:t>
            </w:r>
            <w:proofErr w:type="spellEnd"/>
            <w:r w:rsidR="00D01A19" w:rsidRPr="009667DE">
              <w:rPr>
                <w:rFonts w:ascii="Calibri" w:hAnsi="Calibri" w:cs="Calibri"/>
              </w:rPr>
              <w:t xml:space="preserve">”, komponentu „Zrównoważona inteligentna mobilność” </w:t>
            </w:r>
          </w:p>
          <w:p w14:paraId="1E2EB0CF" w14:textId="0041A83B" w:rsidR="00D01A19" w:rsidRPr="009667DE" w:rsidRDefault="00D01A19" w:rsidP="00D01A19">
            <w:pPr>
              <w:autoSpaceDE w:val="0"/>
              <w:autoSpaceDN w:val="0"/>
              <w:adjustRightInd w:val="0"/>
              <w:rPr>
                <w:rFonts w:ascii="Calibri" w:hAnsi="Calibri" w:cs="Calibri"/>
              </w:rPr>
            </w:pPr>
          </w:p>
          <w:p w14:paraId="5B2E2E3D" w14:textId="77777777" w:rsidR="00482E8C" w:rsidRPr="009667DE" w:rsidRDefault="00D01A19" w:rsidP="00D01A19">
            <w:pPr>
              <w:autoSpaceDE w:val="0"/>
              <w:autoSpaceDN w:val="0"/>
              <w:adjustRightInd w:val="0"/>
              <w:rPr>
                <w:rFonts w:ascii="Calibri" w:hAnsi="Calibri" w:cs="Calibri"/>
              </w:rPr>
            </w:pPr>
            <w:r w:rsidRPr="009667DE">
              <w:rPr>
                <w:rFonts w:ascii="Calibri" w:hAnsi="Calibri" w:cs="Calibri"/>
              </w:rPr>
              <w:t xml:space="preserve">oraz „w większym stopniu wykorzystywany będzie </w:t>
            </w:r>
            <w:proofErr w:type="spellStart"/>
            <w:r w:rsidRPr="009667DE">
              <w:rPr>
                <w:rFonts w:ascii="Calibri" w:hAnsi="Calibri" w:cs="Calibri"/>
              </w:rPr>
              <w:t>bezemisyjny</w:t>
            </w:r>
            <w:proofErr w:type="spellEnd"/>
            <w:r w:rsidRPr="009667DE">
              <w:rPr>
                <w:rFonts w:ascii="Calibri" w:hAnsi="Calibri" w:cs="Calibri"/>
              </w:rPr>
              <w:t xml:space="preserve"> transport, w tym transport rowerowy” w kolumnie „Oczekiwany wkład w osiągnięcie celów UE”</w:t>
            </w:r>
          </w:p>
          <w:p w14:paraId="3DC70530" w14:textId="21B295EB" w:rsidR="00D01A19" w:rsidRPr="009667DE" w:rsidRDefault="00D01A19" w:rsidP="00D01A19">
            <w:pPr>
              <w:autoSpaceDE w:val="0"/>
              <w:autoSpaceDN w:val="0"/>
              <w:adjustRightInd w:val="0"/>
              <w:rPr>
                <w:rFonts w:ascii="Calibri" w:hAnsi="Calibri" w:cs="Calibri"/>
              </w:rPr>
            </w:pPr>
          </w:p>
        </w:tc>
      </w:tr>
      <w:tr w:rsidR="00482E8C" w:rsidRPr="009667DE" w14:paraId="1DA4DF09" w14:textId="77777777" w:rsidTr="00560EBE">
        <w:tc>
          <w:tcPr>
            <w:tcW w:w="686" w:type="dxa"/>
          </w:tcPr>
          <w:p w14:paraId="1811C928" w14:textId="77777777" w:rsidR="00482E8C" w:rsidRPr="009667DE" w:rsidRDefault="00482E8C" w:rsidP="00482E8C">
            <w:pPr>
              <w:pStyle w:val="Akapitzlist"/>
              <w:numPr>
                <w:ilvl w:val="0"/>
                <w:numId w:val="10"/>
              </w:numPr>
            </w:pPr>
          </w:p>
        </w:tc>
        <w:tc>
          <w:tcPr>
            <w:tcW w:w="2003" w:type="dxa"/>
          </w:tcPr>
          <w:p w14:paraId="7D5EAF10" w14:textId="77777777" w:rsidR="00482E8C" w:rsidRPr="009667DE" w:rsidRDefault="00482E8C" w:rsidP="00560EBE">
            <w:r w:rsidRPr="009667DE">
              <w:t>Uzasadnienie uwagi</w:t>
            </w:r>
          </w:p>
        </w:tc>
        <w:tc>
          <w:tcPr>
            <w:tcW w:w="11198" w:type="dxa"/>
          </w:tcPr>
          <w:p w14:paraId="346EE71C" w14:textId="0CE230DA" w:rsidR="00482E8C" w:rsidRPr="009667DE" w:rsidRDefault="00482E8C" w:rsidP="000D1810">
            <w:pPr>
              <w:pStyle w:val="Default"/>
              <w:rPr>
                <w:color w:val="auto"/>
                <w:sz w:val="22"/>
                <w:szCs w:val="22"/>
              </w:rPr>
            </w:pPr>
            <w:r w:rsidRPr="009667DE">
              <w:rPr>
                <w:color w:val="auto"/>
              </w:rPr>
              <w:t xml:space="preserve">Działanie na rzecz rozwoju infrastruktury rowerowej wpisuje się wprost w </w:t>
            </w:r>
            <w:r w:rsidR="000239B1" w:rsidRPr="009667DE">
              <w:rPr>
                <w:color w:val="auto"/>
              </w:rPr>
              <w:t>rozwój bezemisyjnego transportu, co wpisuje się w kierunek interwencji 3 „</w:t>
            </w:r>
            <w:r w:rsidR="000239B1" w:rsidRPr="009667DE">
              <w:rPr>
                <w:b/>
                <w:bCs/>
                <w:color w:val="auto"/>
                <w:sz w:val="22"/>
                <w:szCs w:val="22"/>
              </w:rPr>
              <w:t xml:space="preserve">ZMIANY W INDYWIDUALNEJ I ZBIOROWEJ MOBILNOŚCI, punkt </w:t>
            </w:r>
            <w:r w:rsidR="000239B1" w:rsidRPr="009667DE">
              <w:rPr>
                <w:color w:val="auto"/>
                <w:sz w:val="22"/>
                <w:szCs w:val="22"/>
              </w:rPr>
              <w:t>6.1 Indywidualna i zbiorowa mobilność” Strategii Rozwoju Transportu do 2030</w:t>
            </w:r>
            <w:r w:rsidR="007F6A38" w:rsidRPr="009667DE">
              <w:rPr>
                <w:color w:val="auto"/>
                <w:sz w:val="22"/>
                <w:szCs w:val="22"/>
              </w:rPr>
              <w:t xml:space="preserve">, gdzie wskazano, że w rozwiązaniu problemów związanych z redukcją zanieczyszczenia powietrza, emisji gazów cieplarnianych, hałasu i konsumpcją energii wskazany będzie wzrost różnych form podróży transportem niezmotoryzowanym i niskoemisyjnym, w tym pojazdów i jednostek z napędem alternatywnym. W tym celu niezbędny jest jednak rozwój infrastruktury transportowej oraz zaopatrzenie w paliwa alternatywne. Wskazuje to jasno na konieczność wsparcia nie tylko </w:t>
            </w:r>
            <w:r w:rsidR="000D1810" w:rsidRPr="009667DE">
              <w:rPr>
                <w:color w:val="auto"/>
                <w:sz w:val="22"/>
                <w:szCs w:val="22"/>
              </w:rPr>
              <w:t xml:space="preserve">elektryfikacji transportu publicznego, ale także wspieranie budowy dróg rowerowych. </w:t>
            </w:r>
          </w:p>
        </w:tc>
      </w:tr>
    </w:tbl>
    <w:p w14:paraId="29E5F70C" w14:textId="77777777" w:rsidR="00560EBE" w:rsidRPr="009667DE" w:rsidRDefault="00560EBE"/>
    <w:p w14:paraId="78BB27BE" w14:textId="23EC321D" w:rsidR="00B31AD9" w:rsidRPr="009667DE" w:rsidRDefault="00B31AD9"/>
    <w:sectPr w:rsidR="00B31AD9" w:rsidRPr="009667DE" w:rsidSect="0019354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7B78"/>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B83C6B"/>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AC2734"/>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240820"/>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7F772E5"/>
    <w:multiLevelType w:val="hybridMultilevel"/>
    <w:tmpl w:val="79E82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833BCF"/>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E5548E"/>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1D50F0"/>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010070"/>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B82BE8"/>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EF52A9"/>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A44708"/>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520176"/>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E83E1F"/>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D51992"/>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5504A9E"/>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221264"/>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DE0913"/>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305745"/>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0C68EF"/>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276CCB"/>
    <w:multiLevelType w:val="hybridMultilevel"/>
    <w:tmpl w:val="1256C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A00037"/>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356987"/>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0C765B"/>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4B37A5D"/>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511784"/>
    <w:multiLevelType w:val="hybridMultilevel"/>
    <w:tmpl w:val="52F287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25"/>
  </w:num>
  <w:num w:numId="3">
    <w:abstractNumId w:val="15"/>
  </w:num>
  <w:num w:numId="4">
    <w:abstractNumId w:val="10"/>
  </w:num>
  <w:num w:numId="5">
    <w:abstractNumId w:val="21"/>
  </w:num>
  <w:num w:numId="6">
    <w:abstractNumId w:val="23"/>
  </w:num>
  <w:num w:numId="7">
    <w:abstractNumId w:val="18"/>
  </w:num>
  <w:num w:numId="8">
    <w:abstractNumId w:val="8"/>
  </w:num>
  <w:num w:numId="9">
    <w:abstractNumId w:val="22"/>
  </w:num>
  <w:num w:numId="10">
    <w:abstractNumId w:val="19"/>
  </w:num>
  <w:num w:numId="11">
    <w:abstractNumId w:val="6"/>
  </w:num>
  <w:num w:numId="12">
    <w:abstractNumId w:val="11"/>
  </w:num>
  <w:num w:numId="13">
    <w:abstractNumId w:val="5"/>
  </w:num>
  <w:num w:numId="14">
    <w:abstractNumId w:val="17"/>
  </w:num>
  <w:num w:numId="15">
    <w:abstractNumId w:val="20"/>
  </w:num>
  <w:num w:numId="16">
    <w:abstractNumId w:val="9"/>
  </w:num>
  <w:num w:numId="17">
    <w:abstractNumId w:val="0"/>
  </w:num>
  <w:num w:numId="18">
    <w:abstractNumId w:val="14"/>
  </w:num>
  <w:num w:numId="19">
    <w:abstractNumId w:val="3"/>
  </w:num>
  <w:num w:numId="20">
    <w:abstractNumId w:val="13"/>
  </w:num>
  <w:num w:numId="21">
    <w:abstractNumId w:val="16"/>
  </w:num>
  <w:num w:numId="22">
    <w:abstractNumId w:val="1"/>
  </w:num>
  <w:num w:numId="23">
    <w:abstractNumId w:val="12"/>
  </w:num>
  <w:num w:numId="24">
    <w:abstractNumId w:val="24"/>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D9"/>
    <w:rsid w:val="000239B1"/>
    <w:rsid w:val="00040165"/>
    <w:rsid w:val="00054510"/>
    <w:rsid w:val="00093012"/>
    <w:rsid w:val="000C2E58"/>
    <w:rsid w:val="000D1810"/>
    <w:rsid w:val="000E430B"/>
    <w:rsid w:val="000F73CE"/>
    <w:rsid w:val="00141D30"/>
    <w:rsid w:val="00173034"/>
    <w:rsid w:val="0019354B"/>
    <w:rsid w:val="00196431"/>
    <w:rsid w:val="001C59F9"/>
    <w:rsid w:val="001C5A45"/>
    <w:rsid w:val="001D6212"/>
    <w:rsid w:val="002668EF"/>
    <w:rsid w:val="002C759C"/>
    <w:rsid w:val="00302035"/>
    <w:rsid w:val="00331698"/>
    <w:rsid w:val="003320EC"/>
    <w:rsid w:val="00376235"/>
    <w:rsid w:val="00382AC3"/>
    <w:rsid w:val="00387C72"/>
    <w:rsid w:val="003B2387"/>
    <w:rsid w:val="003E6639"/>
    <w:rsid w:val="003F20EF"/>
    <w:rsid w:val="00444F54"/>
    <w:rsid w:val="00482E8C"/>
    <w:rsid w:val="00501167"/>
    <w:rsid w:val="00507B44"/>
    <w:rsid w:val="0051305F"/>
    <w:rsid w:val="00515A61"/>
    <w:rsid w:val="00522075"/>
    <w:rsid w:val="0054688C"/>
    <w:rsid w:val="00560EBE"/>
    <w:rsid w:val="005671F8"/>
    <w:rsid w:val="00583F43"/>
    <w:rsid w:val="005A1312"/>
    <w:rsid w:val="005C2859"/>
    <w:rsid w:val="005D525D"/>
    <w:rsid w:val="005E0D3D"/>
    <w:rsid w:val="0060140C"/>
    <w:rsid w:val="00606444"/>
    <w:rsid w:val="00620CE9"/>
    <w:rsid w:val="00636038"/>
    <w:rsid w:val="0066038E"/>
    <w:rsid w:val="00676745"/>
    <w:rsid w:val="006A11F3"/>
    <w:rsid w:val="006A33E0"/>
    <w:rsid w:val="006A4272"/>
    <w:rsid w:val="006B5D82"/>
    <w:rsid w:val="006E1362"/>
    <w:rsid w:val="006F1442"/>
    <w:rsid w:val="006F2B32"/>
    <w:rsid w:val="00727597"/>
    <w:rsid w:val="00737CCB"/>
    <w:rsid w:val="00751317"/>
    <w:rsid w:val="00753873"/>
    <w:rsid w:val="00754369"/>
    <w:rsid w:val="007720D6"/>
    <w:rsid w:val="007839C2"/>
    <w:rsid w:val="007B068A"/>
    <w:rsid w:val="007D189A"/>
    <w:rsid w:val="007D28DF"/>
    <w:rsid w:val="007D5D6F"/>
    <w:rsid w:val="007E345C"/>
    <w:rsid w:val="007F6A38"/>
    <w:rsid w:val="008055ED"/>
    <w:rsid w:val="00817C90"/>
    <w:rsid w:val="008433D7"/>
    <w:rsid w:val="00853CE4"/>
    <w:rsid w:val="00854F8F"/>
    <w:rsid w:val="00873FF8"/>
    <w:rsid w:val="0087752A"/>
    <w:rsid w:val="00885BF9"/>
    <w:rsid w:val="00886DF0"/>
    <w:rsid w:val="008A46B8"/>
    <w:rsid w:val="008B0193"/>
    <w:rsid w:val="008D7B25"/>
    <w:rsid w:val="00962120"/>
    <w:rsid w:val="00963F6B"/>
    <w:rsid w:val="009667DE"/>
    <w:rsid w:val="009833C5"/>
    <w:rsid w:val="009A7BB8"/>
    <w:rsid w:val="009D2FF1"/>
    <w:rsid w:val="009E743F"/>
    <w:rsid w:val="009F355B"/>
    <w:rsid w:val="00A015AD"/>
    <w:rsid w:val="00A2015E"/>
    <w:rsid w:val="00A23F7D"/>
    <w:rsid w:val="00A277C2"/>
    <w:rsid w:val="00A60B10"/>
    <w:rsid w:val="00A72050"/>
    <w:rsid w:val="00AA20EF"/>
    <w:rsid w:val="00AC7093"/>
    <w:rsid w:val="00AD2572"/>
    <w:rsid w:val="00B30E7C"/>
    <w:rsid w:val="00B31AD9"/>
    <w:rsid w:val="00B57DD4"/>
    <w:rsid w:val="00B64D84"/>
    <w:rsid w:val="00C31EA8"/>
    <w:rsid w:val="00C41DDC"/>
    <w:rsid w:val="00C53A1A"/>
    <w:rsid w:val="00C65CBA"/>
    <w:rsid w:val="00C6774F"/>
    <w:rsid w:val="00C92263"/>
    <w:rsid w:val="00CA2921"/>
    <w:rsid w:val="00CA39E4"/>
    <w:rsid w:val="00CC1033"/>
    <w:rsid w:val="00CD07C3"/>
    <w:rsid w:val="00CF7C82"/>
    <w:rsid w:val="00D01A19"/>
    <w:rsid w:val="00D24ED5"/>
    <w:rsid w:val="00D300D7"/>
    <w:rsid w:val="00D3631A"/>
    <w:rsid w:val="00D47F64"/>
    <w:rsid w:val="00D51EC4"/>
    <w:rsid w:val="00E158A7"/>
    <w:rsid w:val="00E225D4"/>
    <w:rsid w:val="00E346A0"/>
    <w:rsid w:val="00E35313"/>
    <w:rsid w:val="00E67197"/>
    <w:rsid w:val="00E81718"/>
    <w:rsid w:val="00ED5E36"/>
    <w:rsid w:val="00ED7698"/>
    <w:rsid w:val="00EE25CC"/>
    <w:rsid w:val="00EF2770"/>
    <w:rsid w:val="00F072FC"/>
    <w:rsid w:val="00F14412"/>
    <w:rsid w:val="00F1792C"/>
    <w:rsid w:val="00F253B6"/>
    <w:rsid w:val="00F36CFC"/>
    <w:rsid w:val="00F40F91"/>
    <w:rsid w:val="00F5421F"/>
    <w:rsid w:val="00F6662E"/>
    <w:rsid w:val="00F96E11"/>
    <w:rsid w:val="00FB0D0A"/>
    <w:rsid w:val="00FC359D"/>
    <w:rsid w:val="00FD2118"/>
    <w:rsid w:val="00FF5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1F19"/>
  <w15:chartTrackingRefBased/>
  <w15:docId w15:val="{EE7FAD4C-8B90-439E-99D6-B9E6F972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3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1AD9"/>
    <w:pPr>
      <w:ind w:left="720"/>
      <w:contextualSpacing/>
    </w:pPr>
  </w:style>
  <w:style w:type="paragraph" w:customStyle="1" w:styleId="Default">
    <w:name w:val="Default"/>
    <w:rsid w:val="00FB0D0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6B5D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53A1A"/>
    <w:rPr>
      <w:sz w:val="16"/>
      <w:szCs w:val="16"/>
    </w:rPr>
  </w:style>
  <w:style w:type="paragraph" w:styleId="Tekstkomentarza">
    <w:name w:val="annotation text"/>
    <w:basedOn w:val="Normalny"/>
    <w:link w:val="TekstkomentarzaZnak"/>
    <w:uiPriority w:val="99"/>
    <w:semiHidden/>
    <w:unhideWhenUsed/>
    <w:rsid w:val="00C53A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3A1A"/>
    <w:rPr>
      <w:sz w:val="20"/>
      <w:szCs w:val="20"/>
    </w:rPr>
  </w:style>
  <w:style w:type="paragraph" w:styleId="Tematkomentarza">
    <w:name w:val="annotation subject"/>
    <w:basedOn w:val="Tekstkomentarza"/>
    <w:next w:val="Tekstkomentarza"/>
    <w:link w:val="TematkomentarzaZnak"/>
    <w:uiPriority w:val="99"/>
    <w:semiHidden/>
    <w:unhideWhenUsed/>
    <w:rsid w:val="00C53A1A"/>
    <w:rPr>
      <w:b/>
      <w:bCs/>
    </w:rPr>
  </w:style>
  <w:style w:type="character" w:customStyle="1" w:styleId="TematkomentarzaZnak">
    <w:name w:val="Temat komentarza Znak"/>
    <w:basedOn w:val="TekstkomentarzaZnak"/>
    <w:link w:val="Tematkomentarza"/>
    <w:uiPriority w:val="99"/>
    <w:semiHidden/>
    <w:rsid w:val="00C53A1A"/>
    <w:rPr>
      <w:b/>
      <w:bCs/>
      <w:sz w:val="20"/>
      <w:szCs w:val="20"/>
    </w:rPr>
  </w:style>
  <w:style w:type="character" w:styleId="Hipercze">
    <w:name w:val="Hyperlink"/>
    <w:basedOn w:val="Domylnaczcionkaakapitu"/>
    <w:uiPriority w:val="99"/>
    <w:unhideWhenUsed/>
    <w:rsid w:val="0066038E"/>
    <w:rPr>
      <w:color w:val="0563C1" w:themeColor="hyperlink"/>
      <w:u w:val="single"/>
    </w:rPr>
  </w:style>
  <w:style w:type="character" w:styleId="Nierozpoznanawzmianka">
    <w:name w:val="Unresolved Mention"/>
    <w:basedOn w:val="Domylnaczcionkaakapitu"/>
    <w:uiPriority w:val="99"/>
    <w:semiHidden/>
    <w:unhideWhenUsed/>
    <w:rsid w:val="0066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0543">
      <w:bodyDiv w:val="1"/>
      <w:marLeft w:val="0"/>
      <w:marRight w:val="0"/>
      <w:marTop w:val="0"/>
      <w:marBottom w:val="0"/>
      <w:divBdr>
        <w:top w:val="none" w:sz="0" w:space="0" w:color="auto"/>
        <w:left w:val="none" w:sz="0" w:space="0" w:color="auto"/>
        <w:bottom w:val="none" w:sz="0" w:space="0" w:color="auto"/>
        <w:right w:val="none" w:sz="0" w:space="0" w:color="auto"/>
      </w:divBdr>
    </w:div>
    <w:div w:id="585571861">
      <w:bodyDiv w:val="1"/>
      <w:marLeft w:val="0"/>
      <w:marRight w:val="0"/>
      <w:marTop w:val="0"/>
      <w:marBottom w:val="0"/>
      <w:divBdr>
        <w:top w:val="none" w:sz="0" w:space="0" w:color="auto"/>
        <w:left w:val="none" w:sz="0" w:space="0" w:color="auto"/>
        <w:bottom w:val="none" w:sz="0" w:space="0" w:color="auto"/>
        <w:right w:val="none" w:sz="0" w:space="0" w:color="auto"/>
      </w:divBdr>
      <w:divsChild>
        <w:div w:id="1406297740">
          <w:marLeft w:val="0"/>
          <w:marRight w:val="0"/>
          <w:marTop w:val="0"/>
          <w:marBottom w:val="0"/>
          <w:divBdr>
            <w:top w:val="none" w:sz="0" w:space="0" w:color="auto"/>
            <w:left w:val="none" w:sz="0" w:space="0" w:color="auto"/>
            <w:bottom w:val="none" w:sz="0" w:space="0" w:color="auto"/>
            <w:right w:val="none" w:sz="0" w:space="0" w:color="auto"/>
          </w:divBdr>
        </w:div>
        <w:div w:id="739132559">
          <w:marLeft w:val="0"/>
          <w:marRight w:val="0"/>
          <w:marTop w:val="0"/>
          <w:marBottom w:val="0"/>
          <w:divBdr>
            <w:top w:val="none" w:sz="0" w:space="0" w:color="auto"/>
            <w:left w:val="none" w:sz="0" w:space="0" w:color="auto"/>
            <w:bottom w:val="none" w:sz="0" w:space="0" w:color="auto"/>
            <w:right w:val="none" w:sz="0" w:space="0" w:color="auto"/>
          </w:divBdr>
        </w:div>
        <w:div w:id="1341160002">
          <w:marLeft w:val="0"/>
          <w:marRight w:val="0"/>
          <w:marTop w:val="0"/>
          <w:marBottom w:val="0"/>
          <w:divBdr>
            <w:top w:val="none" w:sz="0" w:space="0" w:color="auto"/>
            <w:left w:val="none" w:sz="0" w:space="0" w:color="auto"/>
            <w:bottom w:val="none" w:sz="0" w:space="0" w:color="auto"/>
            <w:right w:val="none" w:sz="0" w:space="0" w:color="auto"/>
          </w:divBdr>
        </w:div>
        <w:div w:id="190775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nduszeeuropejskie.gov.pl/strony/formularz-zglaszania-uwag-do-kpo-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FB3F-48B1-4609-B817-85A9B94E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9058</Words>
  <Characters>54351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Kajetan Lewandowski</dc:creator>
  <cp:keywords/>
  <dc:description/>
  <cp:lastModifiedBy>Krzysztof Gubański</cp:lastModifiedBy>
  <cp:revision>6</cp:revision>
  <dcterms:created xsi:type="dcterms:W3CDTF">2021-03-22T01:04:00Z</dcterms:created>
  <dcterms:modified xsi:type="dcterms:W3CDTF">2021-03-24T14:14:00Z</dcterms:modified>
</cp:coreProperties>
</file>