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3B6B" w14:textId="06D2B676" w:rsidR="00DD6BDD" w:rsidRPr="00DD6BDD" w:rsidRDefault="00DD6BDD" w:rsidP="00DD6BDD">
      <w:pPr>
        <w:rPr>
          <w:sz w:val="24"/>
          <w:szCs w:val="24"/>
          <w:u w:val="single"/>
        </w:rPr>
      </w:pPr>
      <w:r w:rsidRPr="00DD6BDD">
        <w:rPr>
          <w:b/>
          <w:bCs/>
          <w:sz w:val="24"/>
          <w:szCs w:val="24"/>
          <w:u w:val="single"/>
        </w:rPr>
        <w:t>PRIORITY AREAS FOR INVESTMENTS</w:t>
      </w:r>
      <w:r w:rsidRPr="000C7537">
        <w:rPr>
          <w:b/>
          <w:bCs/>
          <w:sz w:val="24"/>
          <w:szCs w:val="24"/>
          <w:u w:val="single"/>
        </w:rPr>
        <w:t xml:space="preserve"> UNDER LARGE GRANTS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5"/>
        <w:gridCol w:w="1450"/>
        <w:gridCol w:w="7560"/>
      </w:tblGrid>
      <w:tr w:rsidR="00FD67F1" w:rsidRPr="000C7537" w14:paraId="38939AF5" w14:textId="7D3C5A17" w:rsidTr="00FD67F1">
        <w:trPr>
          <w:trHeight w:val="539"/>
        </w:trPr>
        <w:tc>
          <w:tcPr>
            <w:tcW w:w="525" w:type="dxa"/>
          </w:tcPr>
          <w:p w14:paraId="6D9C8D54" w14:textId="77777777" w:rsidR="00FD67F1" w:rsidRPr="000C7537" w:rsidRDefault="00FD67F1">
            <w:pPr>
              <w:rPr>
                <w:rFonts w:asciiTheme="majorHAnsi" w:hAnsiTheme="majorHAnsi"/>
                <w:b/>
                <w:bCs/>
              </w:rPr>
            </w:pPr>
          </w:p>
          <w:p w14:paraId="5B7E72CA" w14:textId="1400612C" w:rsidR="00FD67F1" w:rsidRPr="000C7537" w:rsidRDefault="00FD67F1">
            <w:pPr>
              <w:rPr>
                <w:rFonts w:asciiTheme="majorHAnsi" w:hAnsiTheme="majorHAnsi"/>
                <w:b/>
                <w:bCs/>
              </w:rPr>
            </w:pPr>
            <w:r w:rsidRPr="000C7537"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1450" w:type="dxa"/>
          </w:tcPr>
          <w:p w14:paraId="1465B27E" w14:textId="77777777" w:rsidR="00FD67F1" w:rsidRPr="000C7537" w:rsidRDefault="00FD67F1">
            <w:pPr>
              <w:rPr>
                <w:rFonts w:asciiTheme="majorHAnsi" w:hAnsiTheme="majorHAnsi"/>
                <w:b/>
                <w:bCs/>
              </w:rPr>
            </w:pPr>
          </w:p>
          <w:p w14:paraId="1D068DCB" w14:textId="29E6C022" w:rsidR="00FD67F1" w:rsidRPr="000C7537" w:rsidRDefault="00FD67F1">
            <w:pPr>
              <w:rPr>
                <w:rFonts w:asciiTheme="majorHAnsi" w:hAnsiTheme="majorHAnsi"/>
                <w:b/>
                <w:bCs/>
              </w:rPr>
            </w:pPr>
            <w:r w:rsidRPr="000C7537">
              <w:rPr>
                <w:rFonts w:asciiTheme="majorHAnsi" w:hAnsiTheme="majorHAnsi"/>
                <w:b/>
                <w:bCs/>
              </w:rPr>
              <w:t>Value Chain</w:t>
            </w:r>
          </w:p>
        </w:tc>
        <w:tc>
          <w:tcPr>
            <w:tcW w:w="7560" w:type="dxa"/>
          </w:tcPr>
          <w:p w14:paraId="432FDD2E" w14:textId="77777777" w:rsidR="00FD67F1" w:rsidRPr="000C7537" w:rsidRDefault="00FD67F1">
            <w:pPr>
              <w:rPr>
                <w:rFonts w:asciiTheme="majorHAnsi" w:hAnsiTheme="majorHAnsi"/>
                <w:b/>
                <w:bCs/>
              </w:rPr>
            </w:pPr>
          </w:p>
          <w:p w14:paraId="0F591E31" w14:textId="1E2CABF6" w:rsidR="00FD67F1" w:rsidRPr="000C7537" w:rsidRDefault="00FD67F1">
            <w:pPr>
              <w:rPr>
                <w:rFonts w:asciiTheme="majorHAnsi" w:hAnsiTheme="majorHAnsi"/>
                <w:b/>
                <w:bCs/>
              </w:rPr>
            </w:pPr>
            <w:r w:rsidRPr="000C7537">
              <w:rPr>
                <w:rFonts w:asciiTheme="majorHAnsi" w:hAnsiTheme="majorHAnsi"/>
                <w:b/>
                <w:bCs/>
              </w:rPr>
              <w:t>Priority areas</w:t>
            </w:r>
          </w:p>
        </w:tc>
      </w:tr>
      <w:tr w:rsidR="00FD67F1" w:rsidRPr="000C7537" w14:paraId="5B83883C" w14:textId="68E7FEC3" w:rsidTr="00FD67F1">
        <w:trPr>
          <w:trHeight w:val="305"/>
        </w:trPr>
        <w:tc>
          <w:tcPr>
            <w:tcW w:w="525" w:type="dxa"/>
          </w:tcPr>
          <w:p w14:paraId="11AC8E16" w14:textId="046BA1C1" w:rsidR="00FD67F1" w:rsidRPr="000C7537" w:rsidRDefault="00FD67F1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1</w:t>
            </w:r>
          </w:p>
        </w:tc>
        <w:tc>
          <w:tcPr>
            <w:tcW w:w="1450" w:type="dxa"/>
          </w:tcPr>
          <w:p w14:paraId="23D396BE" w14:textId="657463B9" w:rsidR="00FD67F1" w:rsidRPr="000C7537" w:rsidRDefault="00FD67F1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Honey</w:t>
            </w:r>
          </w:p>
        </w:tc>
        <w:tc>
          <w:tcPr>
            <w:tcW w:w="7560" w:type="dxa"/>
          </w:tcPr>
          <w:p w14:paraId="11B470CC" w14:textId="77777777" w:rsidR="00FD67F1" w:rsidRDefault="00FD67F1" w:rsidP="00E932F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Langstroth's Hive Production</w:t>
            </w:r>
          </w:p>
          <w:p w14:paraId="5258035F" w14:textId="77777777" w:rsidR="00FD67F1" w:rsidRDefault="00FD67F1" w:rsidP="00E932F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Queen Rearing and Colony Multiplication Units</w:t>
            </w:r>
          </w:p>
          <w:p w14:paraId="1586355F" w14:textId="20519B70" w:rsidR="00FD67F1" w:rsidRDefault="00FD67F1" w:rsidP="00E932F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Investment in capital assets that promotes diversification of consumer products, e.g. Mead, pharmaceuticals/cosmetics and other products</w:t>
            </w:r>
          </w:p>
          <w:p w14:paraId="58BA3987" w14:textId="77777777" w:rsidR="00FD67F1" w:rsidRDefault="00FD67F1" w:rsidP="00E932F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Machines for packaging, sealing and branding honey</w:t>
            </w:r>
          </w:p>
          <w:p w14:paraId="7B3DDCD6" w14:textId="77777777" w:rsidR="00FD67F1" w:rsidRDefault="00FD67F1" w:rsidP="00E932F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Investment in honey processing and aggregation centers</w:t>
            </w:r>
          </w:p>
          <w:p w14:paraId="27256B30" w14:textId="0DC5033B" w:rsidR="00FD67F1" w:rsidRPr="00E932FD" w:rsidRDefault="00FD67F1" w:rsidP="00E932F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Mobile/online platforms to link producers with off-takers</w:t>
            </w:r>
          </w:p>
        </w:tc>
      </w:tr>
      <w:tr w:rsidR="00FD67F1" w:rsidRPr="000C7537" w14:paraId="08A6E398" w14:textId="618DDCF0" w:rsidTr="00FD67F1">
        <w:trPr>
          <w:trHeight w:val="629"/>
        </w:trPr>
        <w:tc>
          <w:tcPr>
            <w:tcW w:w="525" w:type="dxa"/>
          </w:tcPr>
          <w:p w14:paraId="600E3A64" w14:textId="1960F5C7" w:rsidR="00FD67F1" w:rsidRPr="000C7537" w:rsidRDefault="00FD67F1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2</w:t>
            </w:r>
          </w:p>
        </w:tc>
        <w:tc>
          <w:tcPr>
            <w:tcW w:w="1450" w:type="dxa"/>
          </w:tcPr>
          <w:p w14:paraId="54133979" w14:textId="3C62DBF6" w:rsidR="00FD67F1" w:rsidRPr="006E7156" w:rsidRDefault="00FD67F1" w:rsidP="006E7156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Sunflower</w:t>
            </w:r>
          </w:p>
          <w:p w14:paraId="1CE2EAF1" w14:textId="77777777" w:rsidR="00FD67F1" w:rsidRPr="000C7537" w:rsidRDefault="00FD67F1">
            <w:pPr>
              <w:rPr>
                <w:rFonts w:asciiTheme="majorHAnsi" w:hAnsiTheme="majorHAnsi"/>
              </w:rPr>
            </w:pPr>
          </w:p>
        </w:tc>
        <w:tc>
          <w:tcPr>
            <w:tcW w:w="7560" w:type="dxa"/>
          </w:tcPr>
          <w:p w14:paraId="72437F7C" w14:textId="77777777" w:rsidR="00FD67F1" w:rsidRPr="00E932FD" w:rsidRDefault="00FD67F1" w:rsidP="00E932FD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  <w:r w:rsidRPr="00E932FD">
              <w:rPr>
                <w:rFonts w:asciiTheme="majorHAnsi" w:hAnsiTheme="majorHAnsi"/>
                <w:sz w:val="24"/>
                <w:szCs w:val="24"/>
              </w:rPr>
              <w:t>Investments in processing facilities to create higher value-added products to potentially generate more profits.</w:t>
            </w:r>
          </w:p>
          <w:p w14:paraId="227EA6F1" w14:textId="4DE009B6" w:rsidR="00FD67F1" w:rsidRPr="00E932FD" w:rsidRDefault="00FD67F1" w:rsidP="00E932FD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  <w:r w:rsidRPr="00E932FD">
              <w:rPr>
                <w:rFonts w:asciiTheme="majorHAnsi" w:hAnsiTheme="majorHAnsi"/>
                <w:bCs/>
                <w:sz w:val="24"/>
                <w:szCs w:val="24"/>
              </w:rPr>
              <w:t xml:space="preserve">Investing in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capital </w:t>
            </w:r>
            <w:r w:rsidRPr="00E932FD">
              <w:rPr>
                <w:rFonts w:asciiTheme="majorHAnsi" w:hAnsiTheme="majorHAnsi"/>
                <w:bCs/>
                <w:sz w:val="24"/>
                <w:szCs w:val="24"/>
              </w:rPr>
              <w:t>assets used in multiplication and distribution of sunflower seed to targeted farmers</w:t>
            </w:r>
            <w:r w:rsidRPr="00E932F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1A61CE7D" w14:textId="380E50C4" w:rsidR="00FD67F1" w:rsidRPr="00E932FD" w:rsidRDefault="00FD67F1" w:rsidP="00E932FD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Constantia" w:hAnsi="Constantia"/>
                <w:sz w:val="28"/>
              </w:rPr>
            </w:pPr>
            <w:r w:rsidRPr="00E932FD">
              <w:rPr>
                <w:rFonts w:asciiTheme="majorHAnsi" w:hAnsiTheme="majorHAnsi"/>
                <w:bCs/>
                <w:sz w:val="24"/>
                <w:szCs w:val="24"/>
              </w:rPr>
              <w:t>Investing in capital assets to improve availability of quality inputs that are accessible to all farme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r</w:t>
            </w:r>
          </w:p>
        </w:tc>
      </w:tr>
      <w:tr w:rsidR="00FD67F1" w:rsidRPr="000C7537" w14:paraId="5E9739C5" w14:textId="77777777" w:rsidTr="00FD67F1">
        <w:tc>
          <w:tcPr>
            <w:tcW w:w="525" w:type="dxa"/>
          </w:tcPr>
          <w:p w14:paraId="35428396" w14:textId="4DC873CB" w:rsidR="00FD67F1" w:rsidRPr="000C7537" w:rsidRDefault="00FD67F1" w:rsidP="001D4C07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4</w:t>
            </w:r>
          </w:p>
        </w:tc>
        <w:tc>
          <w:tcPr>
            <w:tcW w:w="1450" w:type="dxa"/>
          </w:tcPr>
          <w:p w14:paraId="53BED8AC" w14:textId="21D805CF" w:rsidR="00FD67F1" w:rsidRPr="000C7537" w:rsidRDefault="00FD67F1" w:rsidP="001D4C07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Soybean</w:t>
            </w:r>
          </w:p>
        </w:tc>
        <w:tc>
          <w:tcPr>
            <w:tcW w:w="7560" w:type="dxa"/>
          </w:tcPr>
          <w:p w14:paraId="7644E8CA" w14:textId="77777777" w:rsidR="00FD67F1" w:rsidRPr="00E932FD" w:rsidRDefault="00FD67F1" w:rsidP="00E932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ajorHAnsi" w:hAnsiTheme="majorHAnsi" w:cs="Calibri"/>
              </w:rPr>
            </w:pPr>
            <w:r w:rsidRPr="00E932FD">
              <w:rPr>
                <w:rFonts w:asciiTheme="majorHAnsi" w:hAnsiTheme="majorHAnsi" w:cs="Calibri"/>
              </w:rPr>
              <w:t>Investments in capital assets that enhance quality inputs and accessible to farm</w:t>
            </w:r>
          </w:p>
          <w:p w14:paraId="4CA37588" w14:textId="77777777" w:rsidR="00FD67F1" w:rsidRPr="00E932FD" w:rsidRDefault="00FD67F1" w:rsidP="00E932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ajorHAnsi" w:hAnsiTheme="majorHAnsi" w:cs="Calibri"/>
              </w:rPr>
            </w:pPr>
            <w:r w:rsidRPr="00E932FD">
              <w:rPr>
                <w:rFonts w:asciiTheme="majorHAnsi" w:hAnsiTheme="majorHAnsi" w:cs="Calibri"/>
              </w:rPr>
              <w:t>Investments in capital assets that promote quality grains for accessing lucrative markets</w:t>
            </w:r>
          </w:p>
          <w:p w14:paraId="35E0CED4" w14:textId="77777777" w:rsidR="00FD67F1" w:rsidRPr="00E932FD" w:rsidRDefault="00FD67F1" w:rsidP="00E932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ajorHAnsi" w:hAnsiTheme="majorHAnsi" w:cs="Calibri"/>
              </w:rPr>
            </w:pPr>
            <w:r w:rsidRPr="00E932FD">
              <w:rPr>
                <w:rFonts w:asciiTheme="majorHAnsi" w:hAnsiTheme="majorHAnsi" w:cs="Calibri"/>
              </w:rPr>
              <w:t xml:space="preserve">Investments in capital assets that enhance high volumes of good quality grains </w:t>
            </w:r>
            <w:proofErr w:type="spellStart"/>
            <w:r w:rsidRPr="00E932FD">
              <w:rPr>
                <w:rFonts w:asciiTheme="majorHAnsi" w:hAnsiTheme="majorHAnsi" w:cs="Calibri"/>
              </w:rPr>
              <w:t>e.g</w:t>
            </w:r>
            <w:proofErr w:type="spellEnd"/>
            <w:r w:rsidRPr="00E932FD">
              <w:rPr>
                <w:rFonts w:asciiTheme="majorHAnsi" w:hAnsiTheme="majorHAnsi" w:cs="Calibri"/>
              </w:rPr>
              <w:t xml:space="preserve"> storage facilities, cleaning, transportation.</w:t>
            </w:r>
          </w:p>
          <w:p w14:paraId="0C6B6E7D" w14:textId="77777777" w:rsidR="00FD67F1" w:rsidRPr="00E932FD" w:rsidRDefault="00FD67F1" w:rsidP="00E932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ajorHAnsi" w:hAnsiTheme="majorHAnsi" w:cs="Calibri"/>
              </w:rPr>
            </w:pPr>
            <w:r w:rsidRPr="00E932FD">
              <w:rPr>
                <w:rFonts w:asciiTheme="majorHAnsi" w:hAnsiTheme="majorHAnsi" w:cs="Calibri"/>
              </w:rPr>
              <w:t>Investments that enhance digital platforms to connect farmers to markets directly</w:t>
            </w:r>
          </w:p>
          <w:p w14:paraId="107A723A" w14:textId="2D8CA90A" w:rsidR="00FD67F1" w:rsidRPr="00E932FD" w:rsidRDefault="00FD67F1" w:rsidP="00E932F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ajorHAnsi" w:hAnsiTheme="majorHAnsi" w:cs="Calibri"/>
              </w:rPr>
            </w:pPr>
            <w:r w:rsidRPr="00E932FD">
              <w:rPr>
                <w:rFonts w:asciiTheme="majorHAnsi" w:hAnsiTheme="majorHAnsi" w:cs="Calibri"/>
              </w:rPr>
              <w:t>Investments in capital assets that promote FBOs to do primary value addition for subsequent off-taking by the proposed business</w:t>
            </w:r>
            <w:r>
              <w:rPr>
                <w:rFonts w:asciiTheme="majorHAnsi" w:hAnsiTheme="majorHAnsi" w:cs="Calibri"/>
              </w:rPr>
              <w:t xml:space="preserve"> e.g. </w:t>
            </w:r>
          </w:p>
          <w:p w14:paraId="056714D7" w14:textId="0719ADE8" w:rsidR="00FD67F1" w:rsidRPr="009C595A" w:rsidRDefault="00FD67F1" w:rsidP="009C595A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ajorHAnsi" w:hAnsiTheme="majorHAnsi" w:cs="Calibri"/>
              </w:rPr>
            </w:pPr>
            <w:r w:rsidRPr="00E932FD">
              <w:rPr>
                <w:rFonts w:asciiTheme="majorHAnsi" w:hAnsiTheme="majorHAnsi"/>
                <w:b/>
                <w:bCs/>
              </w:rPr>
              <w:t xml:space="preserve">Diversifying products: </w:t>
            </w:r>
            <w:r w:rsidRPr="00E932FD">
              <w:rPr>
                <w:rFonts w:asciiTheme="majorHAnsi" w:hAnsiTheme="majorHAnsi"/>
              </w:rPr>
              <w:t xml:space="preserve">Invest in capital assets that diversify consumer product range of </w:t>
            </w:r>
            <w:r>
              <w:rPr>
                <w:rFonts w:asciiTheme="majorHAnsi" w:hAnsiTheme="majorHAnsi"/>
              </w:rPr>
              <w:t>soybean</w:t>
            </w:r>
            <w:r w:rsidRPr="00E932FD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>e.g. Cooking Oil</w:t>
            </w:r>
            <w:r w:rsidRPr="00E932FD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Soy Milk</w:t>
            </w:r>
            <w:r w:rsidRPr="00E932FD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Tofu</w:t>
            </w:r>
            <w:r w:rsidRPr="00E932FD">
              <w:rPr>
                <w:rFonts w:asciiTheme="majorHAnsi" w:hAnsiTheme="majorHAnsi"/>
              </w:rPr>
              <w:t xml:space="preserve"> and </w:t>
            </w:r>
            <w:r>
              <w:rPr>
                <w:rFonts w:asciiTheme="majorHAnsi" w:hAnsiTheme="majorHAnsi"/>
              </w:rPr>
              <w:t>animal feed etc.</w:t>
            </w:r>
            <w:r w:rsidRPr="00E932FD">
              <w:rPr>
                <w:rFonts w:asciiTheme="majorHAnsi" w:hAnsiTheme="majorHAnsi"/>
              </w:rPr>
              <w:t>).</w:t>
            </w:r>
          </w:p>
        </w:tc>
      </w:tr>
      <w:tr w:rsidR="00FD67F1" w:rsidRPr="000C7537" w14:paraId="45174500" w14:textId="77777777" w:rsidTr="00FD67F1">
        <w:tc>
          <w:tcPr>
            <w:tcW w:w="525" w:type="dxa"/>
          </w:tcPr>
          <w:p w14:paraId="1DBC1016" w14:textId="4644E442" w:rsidR="00FD67F1" w:rsidRPr="000C7537" w:rsidRDefault="00FD67F1" w:rsidP="001D4C07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5</w:t>
            </w:r>
          </w:p>
        </w:tc>
        <w:tc>
          <w:tcPr>
            <w:tcW w:w="1450" w:type="dxa"/>
          </w:tcPr>
          <w:p w14:paraId="52C1D9CF" w14:textId="615153B8" w:rsidR="00FD67F1" w:rsidRPr="000C7537" w:rsidRDefault="00FD67F1" w:rsidP="001D4C07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Potato</w:t>
            </w:r>
          </w:p>
        </w:tc>
        <w:tc>
          <w:tcPr>
            <w:tcW w:w="7560" w:type="dxa"/>
          </w:tcPr>
          <w:p w14:paraId="67D01817" w14:textId="0930A6CD" w:rsidR="00FD67F1" w:rsidRDefault="00FD67F1" w:rsidP="00333957">
            <w:pPr>
              <w:pStyle w:val="ListParagraph"/>
              <w:numPr>
                <w:ilvl w:val="0"/>
                <w:numId w:val="25"/>
              </w:numPr>
            </w:pPr>
            <w:r>
              <w:t>Investments in capital assets that enhance access to quality inputs (e.g. potato seed multiplication and distribution, agrochemicals etc.)</w:t>
            </w:r>
          </w:p>
          <w:p w14:paraId="3A3736E6" w14:textId="4B572FB6" w:rsidR="00FD67F1" w:rsidRDefault="00FD67F1" w:rsidP="00333957">
            <w:pPr>
              <w:pStyle w:val="ListParagraph"/>
              <w:numPr>
                <w:ilvl w:val="0"/>
                <w:numId w:val="25"/>
              </w:numPr>
            </w:pPr>
            <w:r>
              <w:t>Investments in manufacturing of affordable equipment/machinery e.g. portable irrigation equipment, planters etc.</w:t>
            </w:r>
          </w:p>
          <w:p w14:paraId="5A44F7BC" w14:textId="3868F738" w:rsidR="00FD67F1" w:rsidRDefault="00FD67F1" w:rsidP="00333957">
            <w:pPr>
              <w:pStyle w:val="ListParagraph"/>
              <w:numPr>
                <w:ilvl w:val="0"/>
                <w:numId w:val="25"/>
              </w:numPr>
            </w:pPr>
            <w:r>
              <w:t>Investments in input blending for production e.g. fertilizers</w:t>
            </w:r>
          </w:p>
          <w:p w14:paraId="0C8C86EA" w14:textId="77777777" w:rsidR="00FD67F1" w:rsidRPr="00E932FD" w:rsidRDefault="00FD67F1" w:rsidP="00333957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Theme="majorHAnsi" w:hAnsiTheme="majorHAnsi" w:cs="Calibri"/>
              </w:rPr>
            </w:pPr>
            <w:r w:rsidRPr="00E932FD">
              <w:rPr>
                <w:rFonts w:asciiTheme="majorHAnsi" w:hAnsiTheme="majorHAnsi" w:cs="Calibri"/>
              </w:rPr>
              <w:t>Investments that enhance digital platforms to connect farmers to markets directly</w:t>
            </w:r>
          </w:p>
          <w:p w14:paraId="656A06FD" w14:textId="52292B66" w:rsidR="00FD67F1" w:rsidRPr="000A504F" w:rsidRDefault="00FD67F1" w:rsidP="00333957">
            <w:pPr>
              <w:pStyle w:val="ListParagraph"/>
              <w:numPr>
                <w:ilvl w:val="0"/>
                <w:numId w:val="25"/>
              </w:numPr>
            </w:pPr>
            <w:r>
              <w:t>Investments in:</w:t>
            </w:r>
          </w:p>
          <w:p w14:paraId="2F9AFEF0" w14:textId="77777777" w:rsidR="00FD67F1" w:rsidRPr="008B406D" w:rsidRDefault="00FD67F1" w:rsidP="00333957">
            <w:pPr>
              <w:pStyle w:val="ListParagraph"/>
              <w:numPr>
                <w:ilvl w:val="0"/>
                <w:numId w:val="26"/>
              </w:numPr>
            </w:pPr>
            <w:r w:rsidRPr="00333957">
              <w:rPr>
                <w:b/>
                <w:bCs/>
              </w:rPr>
              <w:t>Deep Processing</w:t>
            </w:r>
            <w:r w:rsidRPr="008B406D">
              <w:t>: Production of potato flour, chips, crisps, starch, or frozen products</w:t>
            </w:r>
            <w:r>
              <w:t xml:space="preserve"> etc</w:t>
            </w:r>
            <w:r w:rsidRPr="008B406D">
              <w:t>.</w:t>
            </w:r>
          </w:p>
          <w:p w14:paraId="3983B391" w14:textId="68330DA9" w:rsidR="00FD67F1" w:rsidRDefault="00FD67F1" w:rsidP="00FA3BB9">
            <w:pPr>
              <w:pStyle w:val="ListParagraph"/>
              <w:numPr>
                <w:ilvl w:val="0"/>
                <w:numId w:val="26"/>
              </w:numPr>
            </w:pPr>
            <w:r w:rsidRPr="008B406D">
              <w:rPr>
                <w:b/>
                <w:bCs/>
              </w:rPr>
              <w:t>By-Product Utilization</w:t>
            </w:r>
            <w:r w:rsidRPr="008B406D">
              <w:t>: Potato peels for animal feed or starch for pharmaceuticals/industries</w:t>
            </w:r>
          </w:p>
          <w:p w14:paraId="7AA91F00" w14:textId="112F83ED" w:rsidR="00FD67F1" w:rsidRPr="000C7537" w:rsidRDefault="00FD67F1" w:rsidP="00DE387D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</w:rPr>
            </w:pPr>
            <w:r>
              <w:t xml:space="preserve">Investments in cold chain aggregation and cooling facilities </w:t>
            </w:r>
            <w:r w:rsidR="007C7C9E">
              <w:t>in</w:t>
            </w:r>
            <w:r>
              <w:t xml:space="preserve"> the marketing</w:t>
            </w:r>
          </w:p>
        </w:tc>
      </w:tr>
      <w:tr w:rsidR="00FD67F1" w:rsidRPr="000C7537" w14:paraId="67E2D8C3" w14:textId="77777777" w:rsidTr="00FD67F1">
        <w:tc>
          <w:tcPr>
            <w:tcW w:w="525" w:type="dxa"/>
            <w:vMerge w:val="restart"/>
          </w:tcPr>
          <w:p w14:paraId="5D5D741C" w14:textId="04A2AAC1" w:rsidR="00FD67F1" w:rsidRPr="000C7537" w:rsidRDefault="00FD67F1" w:rsidP="00ED148B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lastRenderedPageBreak/>
              <w:t>6</w:t>
            </w:r>
          </w:p>
        </w:tc>
        <w:tc>
          <w:tcPr>
            <w:tcW w:w="1450" w:type="dxa"/>
            <w:vMerge w:val="restart"/>
          </w:tcPr>
          <w:p w14:paraId="653C3DB9" w14:textId="55129299" w:rsidR="00FD67F1" w:rsidRPr="000C7537" w:rsidRDefault="00FD67F1" w:rsidP="00ED148B">
            <w:pPr>
              <w:rPr>
                <w:rFonts w:asciiTheme="majorHAnsi" w:hAnsiTheme="majorHAnsi"/>
              </w:rPr>
            </w:pPr>
            <w:r w:rsidRPr="000C7537">
              <w:rPr>
                <w:rFonts w:asciiTheme="majorHAnsi" w:hAnsiTheme="majorHAnsi"/>
              </w:rPr>
              <w:t>Dairy and Beef</w:t>
            </w:r>
          </w:p>
        </w:tc>
        <w:tc>
          <w:tcPr>
            <w:tcW w:w="7560" w:type="dxa"/>
          </w:tcPr>
          <w:p w14:paraId="771B2838" w14:textId="1870F1F4" w:rsidR="00FD67F1" w:rsidRPr="000C7537" w:rsidRDefault="00FD67F1" w:rsidP="00ED148B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Theme="majorHAnsi" w:hAnsiTheme="majorHAnsi"/>
              </w:rPr>
            </w:pPr>
            <w:r w:rsidRPr="003E6B3E">
              <w:rPr>
                <w:rFonts w:asciiTheme="majorHAnsi" w:hAnsiTheme="majorHAnsi"/>
                <w:lang w:val="en-AU"/>
              </w:rPr>
              <w:t>Investments that will lead to procurement and installation of processing equipment for introduction of new dairy/ beef value added products and expanding the existing dairy/ beef products. End products may include pasteurised milk, yoghurts, cheese, powdered milk, sausages, graded beef products, etc</w:t>
            </w:r>
            <w:r>
              <w:rPr>
                <w:rFonts w:asciiTheme="majorHAnsi" w:hAnsiTheme="majorHAnsi"/>
                <w:lang w:val="en-AU"/>
              </w:rPr>
              <w:t>.</w:t>
            </w:r>
          </w:p>
        </w:tc>
      </w:tr>
      <w:tr w:rsidR="00FD67F1" w:rsidRPr="000C7537" w14:paraId="1ABD93E6" w14:textId="77777777" w:rsidTr="00FD67F1">
        <w:tc>
          <w:tcPr>
            <w:tcW w:w="525" w:type="dxa"/>
            <w:vMerge/>
          </w:tcPr>
          <w:p w14:paraId="523B2C65" w14:textId="77777777" w:rsidR="00FD67F1" w:rsidRPr="000C7537" w:rsidRDefault="00FD67F1" w:rsidP="00ED148B">
            <w:pPr>
              <w:rPr>
                <w:rFonts w:asciiTheme="majorHAnsi" w:hAnsiTheme="majorHAnsi"/>
              </w:rPr>
            </w:pPr>
          </w:p>
        </w:tc>
        <w:tc>
          <w:tcPr>
            <w:tcW w:w="1450" w:type="dxa"/>
            <w:vMerge/>
          </w:tcPr>
          <w:p w14:paraId="43230F4F" w14:textId="77777777" w:rsidR="00FD67F1" w:rsidRPr="000C7537" w:rsidRDefault="00FD67F1" w:rsidP="00ED148B">
            <w:pPr>
              <w:rPr>
                <w:rFonts w:asciiTheme="majorHAnsi" w:hAnsiTheme="majorHAnsi"/>
              </w:rPr>
            </w:pPr>
          </w:p>
        </w:tc>
        <w:tc>
          <w:tcPr>
            <w:tcW w:w="7560" w:type="dxa"/>
          </w:tcPr>
          <w:p w14:paraId="66DBD66A" w14:textId="31125601" w:rsidR="00FD67F1" w:rsidRPr="000C7537" w:rsidRDefault="00FD67F1" w:rsidP="00ED148B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Investments in infrastructure and equipment which will p</w:t>
            </w:r>
            <w:r w:rsidRPr="00C16FF1">
              <w:rPr>
                <w:rFonts w:asciiTheme="majorHAnsi" w:hAnsiTheme="majorHAnsi"/>
              </w:rPr>
              <w:t xml:space="preserve">romote easy access to improved </w:t>
            </w:r>
            <w:r>
              <w:rPr>
                <w:rFonts w:asciiTheme="majorHAnsi" w:hAnsiTheme="majorHAnsi"/>
              </w:rPr>
              <w:t xml:space="preserve">beef and dairy </w:t>
            </w:r>
            <w:r w:rsidRPr="00C16FF1">
              <w:rPr>
                <w:rFonts w:asciiTheme="majorHAnsi" w:hAnsiTheme="majorHAnsi"/>
              </w:rPr>
              <w:t xml:space="preserve">breeds </w:t>
            </w:r>
            <w:r>
              <w:rPr>
                <w:rFonts w:asciiTheme="majorHAnsi" w:hAnsiTheme="majorHAnsi"/>
              </w:rPr>
              <w:t>for stallholder cattle farmers such as the establishment</w:t>
            </w:r>
            <w:r w:rsidRPr="003318DD">
              <w:rPr>
                <w:rFonts w:asciiTheme="majorHAnsi" w:hAnsiTheme="majorHAnsi"/>
                <w:lang w:val="en-ZW"/>
              </w:rPr>
              <w:t xml:space="preserve"> of the dairy</w:t>
            </w:r>
            <w:r>
              <w:rPr>
                <w:rFonts w:asciiTheme="majorHAnsi" w:hAnsiTheme="majorHAnsi"/>
                <w:lang w:val="en-ZW"/>
              </w:rPr>
              <w:t xml:space="preserve">/ beef </w:t>
            </w:r>
            <w:r w:rsidRPr="003318DD">
              <w:rPr>
                <w:rFonts w:asciiTheme="majorHAnsi" w:hAnsiTheme="majorHAnsi"/>
                <w:lang w:val="en-ZW"/>
              </w:rPr>
              <w:t>animal breeding centre</w:t>
            </w:r>
            <w:r>
              <w:rPr>
                <w:rFonts w:asciiTheme="majorHAnsi" w:hAnsiTheme="majorHAnsi"/>
                <w:lang w:val="en-ZW"/>
              </w:rPr>
              <w:t>,</w:t>
            </w:r>
            <w:r w:rsidRPr="003318DD">
              <w:rPr>
                <w:rFonts w:asciiTheme="majorHAnsi" w:hAnsiTheme="majorHAnsi"/>
                <w:lang w:val="en-ZW"/>
              </w:rPr>
              <w:t xml:space="preserve"> liquid nitrogen plant and nuclear herd </w:t>
            </w:r>
            <w:r>
              <w:rPr>
                <w:rFonts w:asciiTheme="majorHAnsi" w:hAnsiTheme="majorHAnsi"/>
                <w:lang w:val="en-ZW"/>
              </w:rPr>
              <w:t>for dairy/beef.</w:t>
            </w:r>
          </w:p>
        </w:tc>
      </w:tr>
      <w:tr w:rsidR="00FD67F1" w:rsidRPr="000C7537" w14:paraId="0AED24E4" w14:textId="77777777" w:rsidTr="00FD67F1">
        <w:trPr>
          <w:trHeight w:val="755"/>
        </w:trPr>
        <w:tc>
          <w:tcPr>
            <w:tcW w:w="525" w:type="dxa"/>
            <w:vMerge/>
          </w:tcPr>
          <w:p w14:paraId="46105490" w14:textId="77777777" w:rsidR="00FD67F1" w:rsidRPr="000C7537" w:rsidRDefault="00FD67F1" w:rsidP="00ED148B">
            <w:pPr>
              <w:rPr>
                <w:rFonts w:asciiTheme="majorHAnsi" w:hAnsiTheme="majorHAnsi"/>
              </w:rPr>
            </w:pPr>
          </w:p>
        </w:tc>
        <w:tc>
          <w:tcPr>
            <w:tcW w:w="1450" w:type="dxa"/>
            <w:vMerge/>
          </w:tcPr>
          <w:p w14:paraId="7B88E8C8" w14:textId="77777777" w:rsidR="00FD67F1" w:rsidRPr="000C7537" w:rsidRDefault="00FD67F1" w:rsidP="00ED148B">
            <w:pPr>
              <w:rPr>
                <w:rFonts w:asciiTheme="majorHAnsi" w:hAnsiTheme="majorHAnsi"/>
              </w:rPr>
            </w:pPr>
          </w:p>
        </w:tc>
        <w:tc>
          <w:tcPr>
            <w:tcW w:w="7560" w:type="dxa"/>
          </w:tcPr>
          <w:p w14:paraId="04D8C43E" w14:textId="060D4FF7" w:rsidR="00FD67F1" w:rsidRPr="000C7537" w:rsidRDefault="00FD67F1" w:rsidP="00ED148B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Investments that will p</w:t>
            </w:r>
            <w:r w:rsidRPr="00C16FF1">
              <w:rPr>
                <w:rFonts w:asciiTheme="majorHAnsi" w:hAnsiTheme="majorHAnsi"/>
              </w:rPr>
              <w:t xml:space="preserve">romote sustainable AI </w:t>
            </w:r>
            <w:r>
              <w:rPr>
                <w:rFonts w:asciiTheme="majorHAnsi" w:hAnsiTheme="majorHAnsi"/>
              </w:rPr>
              <w:t>a</w:t>
            </w:r>
            <w:r w:rsidRPr="00C16FF1">
              <w:rPr>
                <w:rFonts w:asciiTheme="majorHAnsi" w:hAnsiTheme="majorHAnsi"/>
              </w:rPr>
              <w:t xml:space="preserve">nd veterinary services among smallholder dairy </w:t>
            </w:r>
            <w:r>
              <w:rPr>
                <w:rFonts w:asciiTheme="majorHAnsi" w:hAnsiTheme="majorHAnsi"/>
              </w:rPr>
              <w:t xml:space="preserve">and beef </w:t>
            </w:r>
            <w:r w:rsidRPr="00C16FF1">
              <w:rPr>
                <w:rFonts w:asciiTheme="majorHAnsi" w:hAnsiTheme="majorHAnsi"/>
              </w:rPr>
              <w:t xml:space="preserve">farmers </w:t>
            </w:r>
          </w:p>
        </w:tc>
      </w:tr>
      <w:tr w:rsidR="00FD67F1" w:rsidRPr="000C7537" w14:paraId="1DD8CECE" w14:textId="77777777" w:rsidTr="00FD67F1">
        <w:tc>
          <w:tcPr>
            <w:tcW w:w="525" w:type="dxa"/>
            <w:vMerge/>
          </w:tcPr>
          <w:p w14:paraId="4AE29429" w14:textId="77777777" w:rsidR="00FD67F1" w:rsidRPr="000C7537" w:rsidRDefault="00FD67F1" w:rsidP="00ED148B">
            <w:pPr>
              <w:rPr>
                <w:rFonts w:asciiTheme="majorHAnsi" w:hAnsiTheme="majorHAnsi"/>
              </w:rPr>
            </w:pPr>
          </w:p>
        </w:tc>
        <w:tc>
          <w:tcPr>
            <w:tcW w:w="1450" w:type="dxa"/>
            <w:vMerge/>
          </w:tcPr>
          <w:p w14:paraId="715ABEE9" w14:textId="77777777" w:rsidR="00FD67F1" w:rsidRPr="000C7537" w:rsidRDefault="00FD67F1" w:rsidP="00ED148B">
            <w:pPr>
              <w:rPr>
                <w:rFonts w:asciiTheme="majorHAnsi" w:hAnsiTheme="majorHAnsi"/>
              </w:rPr>
            </w:pPr>
          </w:p>
        </w:tc>
        <w:tc>
          <w:tcPr>
            <w:tcW w:w="7560" w:type="dxa"/>
          </w:tcPr>
          <w:p w14:paraId="56192622" w14:textId="4ECCDC70" w:rsidR="00FD67F1" w:rsidRDefault="00FD67F1" w:rsidP="00ED148B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AU"/>
              </w:rPr>
              <w:t>Investments equipment that may p</w:t>
            </w:r>
            <w:r w:rsidRPr="00C16FF1">
              <w:rPr>
                <w:rFonts w:asciiTheme="majorHAnsi" w:hAnsiTheme="majorHAnsi"/>
                <w:lang w:val="en-AU"/>
              </w:rPr>
              <w:t xml:space="preserve">romote innovative dairy feed production and processing including, where possible, folder establishment, production and selling of cassava silage, selling of molasses and brewery beer waste, </w:t>
            </w:r>
            <w:r>
              <w:rPr>
                <w:rFonts w:asciiTheme="majorHAnsi" w:hAnsiTheme="majorHAnsi"/>
                <w:lang w:val="en-AU"/>
              </w:rPr>
              <w:t xml:space="preserve">hydroponic fodder </w:t>
            </w:r>
            <w:r w:rsidRPr="00C16FF1">
              <w:rPr>
                <w:rFonts w:asciiTheme="majorHAnsi" w:hAnsiTheme="majorHAnsi"/>
                <w:lang w:val="en-AU"/>
              </w:rPr>
              <w:t xml:space="preserve">etc, </w:t>
            </w:r>
            <w:r>
              <w:rPr>
                <w:rFonts w:asciiTheme="majorHAnsi" w:hAnsiTheme="majorHAnsi"/>
                <w:lang w:val="en-AU"/>
              </w:rPr>
              <w:t xml:space="preserve">to enhance easy animal </w:t>
            </w:r>
            <w:r w:rsidRPr="00C16FF1">
              <w:rPr>
                <w:rFonts w:asciiTheme="majorHAnsi" w:hAnsiTheme="majorHAnsi"/>
                <w:lang w:val="en-AU"/>
              </w:rPr>
              <w:t>feed access by SH farmers increased</w:t>
            </w:r>
          </w:p>
        </w:tc>
      </w:tr>
    </w:tbl>
    <w:p w14:paraId="2BABE7F5" w14:textId="77777777" w:rsidR="00533306" w:rsidRDefault="00533306"/>
    <w:p w14:paraId="6A371EB7" w14:textId="77777777" w:rsidR="001F588F" w:rsidRDefault="001F588F" w:rsidP="00DD6BDD"/>
    <w:sectPr w:rsidR="001F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638"/>
    <w:multiLevelType w:val="hybridMultilevel"/>
    <w:tmpl w:val="F57A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319F"/>
    <w:multiLevelType w:val="hybridMultilevel"/>
    <w:tmpl w:val="9532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579D"/>
    <w:multiLevelType w:val="hybridMultilevel"/>
    <w:tmpl w:val="84D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106F"/>
    <w:multiLevelType w:val="hybridMultilevel"/>
    <w:tmpl w:val="35DC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964C4"/>
    <w:multiLevelType w:val="multilevel"/>
    <w:tmpl w:val="0408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B3F67"/>
    <w:multiLevelType w:val="multilevel"/>
    <w:tmpl w:val="386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A7672"/>
    <w:multiLevelType w:val="hybridMultilevel"/>
    <w:tmpl w:val="744C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D6A36"/>
    <w:multiLevelType w:val="multilevel"/>
    <w:tmpl w:val="E09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A0B8F"/>
    <w:multiLevelType w:val="hybridMultilevel"/>
    <w:tmpl w:val="4D16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71504"/>
    <w:multiLevelType w:val="hybridMultilevel"/>
    <w:tmpl w:val="18B6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37263"/>
    <w:multiLevelType w:val="multilevel"/>
    <w:tmpl w:val="3CAA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F584C"/>
    <w:multiLevelType w:val="multilevel"/>
    <w:tmpl w:val="54BA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F6376"/>
    <w:multiLevelType w:val="hybridMultilevel"/>
    <w:tmpl w:val="C5CCC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A31AA"/>
    <w:multiLevelType w:val="hybridMultilevel"/>
    <w:tmpl w:val="28BC0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6244C5"/>
    <w:multiLevelType w:val="multilevel"/>
    <w:tmpl w:val="0E70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506F2"/>
    <w:multiLevelType w:val="hybridMultilevel"/>
    <w:tmpl w:val="2FEA7CB6"/>
    <w:lvl w:ilvl="0" w:tplc="781A013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24B98"/>
    <w:multiLevelType w:val="hybridMultilevel"/>
    <w:tmpl w:val="8FF29C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94F38"/>
    <w:multiLevelType w:val="hybridMultilevel"/>
    <w:tmpl w:val="F636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45A63"/>
    <w:multiLevelType w:val="multilevel"/>
    <w:tmpl w:val="C82E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E26B8"/>
    <w:multiLevelType w:val="hybridMultilevel"/>
    <w:tmpl w:val="3798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7358F"/>
    <w:multiLevelType w:val="hybridMultilevel"/>
    <w:tmpl w:val="F442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7C9B"/>
    <w:multiLevelType w:val="hybridMultilevel"/>
    <w:tmpl w:val="57A8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6E76"/>
    <w:multiLevelType w:val="multilevel"/>
    <w:tmpl w:val="F94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573D0"/>
    <w:multiLevelType w:val="hybridMultilevel"/>
    <w:tmpl w:val="82F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01F5C"/>
    <w:multiLevelType w:val="multilevel"/>
    <w:tmpl w:val="9626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164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971904">
    <w:abstractNumId w:val="20"/>
  </w:num>
  <w:num w:numId="3" w16cid:durableId="1280334798">
    <w:abstractNumId w:val="23"/>
  </w:num>
  <w:num w:numId="4" w16cid:durableId="1354841156">
    <w:abstractNumId w:val="19"/>
  </w:num>
  <w:num w:numId="5" w16cid:durableId="1750927846">
    <w:abstractNumId w:val="0"/>
  </w:num>
  <w:num w:numId="6" w16cid:durableId="1399278420">
    <w:abstractNumId w:val="0"/>
  </w:num>
  <w:num w:numId="7" w16cid:durableId="299304443">
    <w:abstractNumId w:val="8"/>
  </w:num>
  <w:num w:numId="8" w16cid:durableId="1370761217">
    <w:abstractNumId w:val="17"/>
  </w:num>
  <w:num w:numId="9" w16cid:durableId="1456869953">
    <w:abstractNumId w:val="2"/>
  </w:num>
  <w:num w:numId="10" w16cid:durableId="1785028779">
    <w:abstractNumId w:val="6"/>
  </w:num>
  <w:num w:numId="11" w16cid:durableId="174077895">
    <w:abstractNumId w:val="3"/>
  </w:num>
  <w:num w:numId="12" w16cid:durableId="842548015">
    <w:abstractNumId w:val="24"/>
  </w:num>
  <w:num w:numId="13" w16cid:durableId="777412601">
    <w:abstractNumId w:val="4"/>
  </w:num>
  <w:num w:numId="14" w16cid:durableId="1559513445">
    <w:abstractNumId w:val="5"/>
  </w:num>
  <w:num w:numId="15" w16cid:durableId="904725175">
    <w:abstractNumId w:val="18"/>
  </w:num>
  <w:num w:numId="16" w16cid:durableId="1948998176">
    <w:abstractNumId w:val="7"/>
  </w:num>
  <w:num w:numId="17" w16cid:durableId="194150104">
    <w:abstractNumId w:val="14"/>
  </w:num>
  <w:num w:numId="18" w16cid:durableId="245455008">
    <w:abstractNumId w:val="22"/>
  </w:num>
  <w:num w:numId="19" w16cid:durableId="1277984548">
    <w:abstractNumId w:val="10"/>
  </w:num>
  <w:num w:numId="20" w16cid:durableId="814493487">
    <w:abstractNumId w:val="11"/>
  </w:num>
  <w:num w:numId="21" w16cid:durableId="755713058">
    <w:abstractNumId w:val="13"/>
  </w:num>
  <w:num w:numId="22" w16cid:durableId="493959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1471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6165794">
    <w:abstractNumId w:val="9"/>
  </w:num>
  <w:num w:numId="25" w16cid:durableId="150872089">
    <w:abstractNumId w:val="1"/>
  </w:num>
  <w:num w:numId="26" w16cid:durableId="1866168820">
    <w:abstractNumId w:val="16"/>
  </w:num>
  <w:num w:numId="27" w16cid:durableId="478812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DD"/>
    <w:rsid w:val="000675F7"/>
    <w:rsid w:val="00085BE9"/>
    <w:rsid w:val="00096E74"/>
    <w:rsid w:val="000A43B6"/>
    <w:rsid w:val="000A504F"/>
    <w:rsid w:val="000C7537"/>
    <w:rsid w:val="0016148A"/>
    <w:rsid w:val="001A4586"/>
    <w:rsid w:val="001D4C07"/>
    <w:rsid w:val="001F588F"/>
    <w:rsid w:val="002D5437"/>
    <w:rsid w:val="0032014E"/>
    <w:rsid w:val="00333957"/>
    <w:rsid w:val="003400D5"/>
    <w:rsid w:val="00356765"/>
    <w:rsid w:val="003E6F0D"/>
    <w:rsid w:val="003F4E37"/>
    <w:rsid w:val="0043635C"/>
    <w:rsid w:val="00451BE8"/>
    <w:rsid w:val="0048160F"/>
    <w:rsid w:val="00524066"/>
    <w:rsid w:val="00533306"/>
    <w:rsid w:val="005472C8"/>
    <w:rsid w:val="005E4514"/>
    <w:rsid w:val="00645333"/>
    <w:rsid w:val="00647484"/>
    <w:rsid w:val="0066450D"/>
    <w:rsid w:val="006C629D"/>
    <w:rsid w:val="006E7156"/>
    <w:rsid w:val="007501C2"/>
    <w:rsid w:val="007B2816"/>
    <w:rsid w:val="007C7C9E"/>
    <w:rsid w:val="00813420"/>
    <w:rsid w:val="00844B9A"/>
    <w:rsid w:val="008534BA"/>
    <w:rsid w:val="008B406D"/>
    <w:rsid w:val="00902727"/>
    <w:rsid w:val="009C595A"/>
    <w:rsid w:val="009E3A27"/>
    <w:rsid w:val="00A37DA5"/>
    <w:rsid w:val="00A7470D"/>
    <w:rsid w:val="00B94F12"/>
    <w:rsid w:val="00BE3763"/>
    <w:rsid w:val="00BF6932"/>
    <w:rsid w:val="00C0516A"/>
    <w:rsid w:val="00C16FF1"/>
    <w:rsid w:val="00C237BF"/>
    <w:rsid w:val="00CB78CF"/>
    <w:rsid w:val="00D460F5"/>
    <w:rsid w:val="00D46B36"/>
    <w:rsid w:val="00D61C60"/>
    <w:rsid w:val="00DD6BDD"/>
    <w:rsid w:val="00DE387D"/>
    <w:rsid w:val="00DF4D7A"/>
    <w:rsid w:val="00E932FD"/>
    <w:rsid w:val="00EB2486"/>
    <w:rsid w:val="00ED148B"/>
    <w:rsid w:val="00EE4448"/>
    <w:rsid w:val="00F01396"/>
    <w:rsid w:val="00F63C09"/>
    <w:rsid w:val="00FA3BB9"/>
    <w:rsid w:val="00FB5D95"/>
    <w:rsid w:val="00FD67F1"/>
    <w:rsid w:val="00F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D27E0"/>
  <w15:chartTrackingRefBased/>
  <w15:docId w15:val="{90319216-5067-407C-B12C-686C2BE2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B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B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B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B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B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BD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BD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B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B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B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BD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D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sekani</dc:creator>
  <cp:keywords/>
  <dc:description/>
  <cp:lastModifiedBy>Oscar Roy Ulili</cp:lastModifiedBy>
  <cp:revision>2</cp:revision>
  <dcterms:created xsi:type="dcterms:W3CDTF">2025-05-15T04:50:00Z</dcterms:created>
  <dcterms:modified xsi:type="dcterms:W3CDTF">2025-05-15T04:50:00Z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f8199f2b-48bb-4961-939f-62c2593e5d42</vt:lpwstr>
  </property>
</Properties>
</file>