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D043" w14:textId="0CC387E6" w:rsidR="00D24ABA" w:rsidRPr="004E221A" w:rsidRDefault="004E221A" w:rsidP="004E221A">
      <w:pPr>
        <w:jc w:val="center"/>
        <w:rPr>
          <w:b/>
          <w:color w:val="00B050"/>
          <w:sz w:val="28"/>
          <w:szCs w:val="28"/>
        </w:rPr>
      </w:pPr>
      <w:r>
        <w:rPr>
          <w:b/>
          <w:color w:val="00B050"/>
          <w:sz w:val="28"/>
          <w:szCs w:val="28"/>
        </w:rPr>
        <w:t>Doc 2</w:t>
      </w:r>
      <w:r w:rsidR="009E582E">
        <w:rPr>
          <w:b/>
          <w:color w:val="00B050"/>
          <w:sz w:val="28"/>
          <w:szCs w:val="28"/>
        </w:rPr>
        <w:t>4</w:t>
      </w:r>
      <w:r>
        <w:rPr>
          <w:b/>
          <w:color w:val="00B050"/>
          <w:sz w:val="28"/>
          <w:szCs w:val="28"/>
        </w:rPr>
        <w:t xml:space="preserve">: </w:t>
      </w:r>
      <w:r w:rsidR="006047FB" w:rsidRPr="004E221A">
        <w:rPr>
          <w:b/>
          <w:color w:val="00B050"/>
          <w:sz w:val="28"/>
          <w:szCs w:val="28"/>
        </w:rPr>
        <w:t>Staff Wellbeing and Mental Health Policy</w:t>
      </w:r>
      <w:r w:rsidR="00BC68FB">
        <w:rPr>
          <w:b/>
          <w:color w:val="00B050"/>
          <w:sz w:val="28"/>
          <w:szCs w:val="28"/>
        </w:rPr>
        <w:t>: Redacted Sample</w:t>
      </w:r>
      <w:bookmarkStart w:id="0" w:name="_GoBack"/>
      <w:bookmarkEnd w:id="0"/>
    </w:p>
    <w:p w14:paraId="795F864F" w14:textId="77777777" w:rsidR="006047FB" w:rsidRDefault="006047FB" w:rsidP="006047FB">
      <w:pPr>
        <w:jc w:val="center"/>
        <w:rPr>
          <w:b/>
          <w:color w:val="FF0000"/>
          <w:sz w:val="28"/>
          <w:szCs w:val="28"/>
        </w:rPr>
      </w:pPr>
      <w:r w:rsidRPr="006047FB">
        <w:rPr>
          <w:b/>
          <w:color w:val="FF0000"/>
          <w:sz w:val="28"/>
          <w:szCs w:val="28"/>
        </w:rPr>
        <w:t xml:space="preserve">Name of </w:t>
      </w:r>
      <w:r w:rsidR="00C1222F">
        <w:rPr>
          <w:b/>
          <w:color w:val="FF0000"/>
          <w:sz w:val="28"/>
          <w:szCs w:val="28"/>
        </w:rPr>
        <w:t xml:space="preserve">Your </w:t>
      </w:r>
      <w:r w:rsidRPr="006047FB">
        <w:rPr>
          <w:b/>
          <w:color w:val="FF0000"/>
          <w:sz w:val="28"/>
          <w:szCs w:val="28"/>
        </w:rPr>
        <w:t>School</w:t>
      </w:r>
    </w:p>
    <w:p w14:paraId="60B07B29" w14:textId="77777777" w:rsidR="008623BF" w:rsidRDefault="008623BF" w:rsidP="006047FB">
      <w:pPr>
        <w:jc w:val="center"/>
        <w:rPr>
          <w:b/>
          <w:color w:val="FF0000"/>
          <w:sz w:val="28"/>
          <w:szCs w:val="28"/>
        </w:rPr>
      </w:pPr>
    </w:p>
    <w:p w14:paraId="6D71B47A" w14:textId="77777777" w:rsidR="008623BF" w:rsidRPr="00DB11F9" w:rsidRDefault="008623BF" w:rsidP="008623BF">
      <w:pPr>
        <w:rPr>
          <w:b/>
          <w:color w:val="000000" w:themeColor="text1"/>
          <w:sz w:val="28"/>
          <w:szCs w:val="28"/>
        </w:rPr>
      </w:pPr>
      <w:r w:rsidRPr="00DB11F9">
        <w:rPr>
          <w:b/>
          <w:color w:val="000000" w:themeColor="text1"/>
          <w:sz w:val="28"/>
          <w:szCs w:val="28"/>
        </w:rPr>
        <w:t>Context</w:t>
      </w:r>
    </w:p>
    <w:p w14:paraId="3E258B54" w14:textId="77777777" w:rsidR="008623BF" w:rsidRDefault="008623BF" w:rsidP="008623BF">
      <w:pPr>
        <w:rPr>
          <w:color w:val="000000" w:themeColor="text1"/>
        </w:rPr>
      </w:pPr>
    </w:p>
    <w:p w14:paraId="415EFBA5" w14:textId="77777777" w:rsidR="008623BF" w:rsidRPr="008623BF" w:rsidRDefault="008623BF" w:rsidP="008623BF">
      <w:pPr>
        <w:rPr>
          <w:color w:val="000000" w:themeColor="text1"/>
        </w:rPr>
      </w:pPr>
      <w:r>
        <w:rPr>
          <w:color w:val="000000" w:themeColor="text1"/>
        </w:rPr>
        <w:t>This policy should be read in conjunction with the ‘Staff Wellbeing and Mental Health</w:t>
      </w:r>
      <w:r w:rsidR="001D68D1">
        <w:rPr>
          <w:color w:val="000000" w:themeColor="text1"/>
        </w:rPr>
        <w:t xml:space="preserve"> Action </w:t>
      </w:r>
      <w:r>
        <w:rPr>
          <w:color w:val="000000" w:themeColor="text1"/>
        </w:rPr>
        <w:t xml:space="preserve">Plan’ for </w:t>
      </w:r>
      <w:r>
        <w:rPr>
          <w:color w:val="FF0000"/>
        </w:rPr>
        <w:t xml:space="preserve">enter year. </w:t>
      </w:r>
      <w:r w:rsidRPr="008623BF">
        <w:rPr>
          <w:color w:val="000000" w:themeColor="text1"/>
        </w:rPr>
        <w:t xml:space="preserve">It has </w:t>
      </w:r>
      <w:r>
        <w:rPr>
          <w:color w:val="000000" w:themeColor="text1"/>
        </w:rPr>
        <w:t>also been informed by the NAS/UWT</w:t>
      </w:r>
      <w:r w:rsidR="00DB11F9">
        <w:rPr>
          <w:color w:val="000000" w:themeColor="text1"/>
        </w:rPr>
        <w:t xml:space="preserve">’s sample policy on </w:t>
      </w:r>
      <w:r>
        <w:rPr>
          <w:color w:val="000000" w:themeColor="text1"/>
        </w:rPr>
        <w:t>‘Health and Wellbeing’.</w:t>
      </w:r>
    </w:p>
    <w:p w14:paraId="73E8B285" w14:textId="77777777" w:rsidR="006047FB" w:rsidRDefault="006047FB" w:rsidP="006047FB">
      <w:pPr>
        <w:jc w:val="center"/>
        <w:rPr>
          <w:b/>
          <w:sz w:val="28"/>
          <w:szCs w:val="28"/>
        </w:rPr>
      </w:pPr>
    </w:p>
    <w:p w14:paraId="41158064" w14:textId="77777777" w:rsidR="00DF0527" w:rsidRPr="00DB11F9" w:rsidRDefault="00DF0527" w:rsidP="006047FB">
      <w:pPr>
        <w:rPr>
          <w:b/>
          <w:sz w:val="28"/>
          <w:szCs w:val="28"/>
        </w:rPr>
      </w:pPr>
      <w:r w:rsidRPr="00DB11F9">
        <w:rPr>
          <w:b/>
          <w:sz w:val="28"/>
          <w:szCs w:val="28"/>
        </w:rPr>
        <w:t>A talking, supportive culture</w:t>
      </w:r>
    </w:p>
    <w:p w14:paraId="70EB61B4" w14:textId="77777777" w:rsidR="00C85D91" w:rsidRDefault="00C85D91" w:rsidP="006047FB">
      <w:pPr>
        <w:rPr>
          <w:sz w:val="28"/>
          <w:szCs w:val="28"/>
          <w:u w:val="single"/>
        </w:rPr>
      </w:pPr>
    </w:p>
    <w:p w14:paraId="11102D61" w14:textId="77777777" w:rsidR="00C85D91" w:rsidRPr="00C85D91" w:rsidRDefault="00C85D91" w:rsidP="006047FB">
      <w:r>
        <w:t xml:space="preserve">Staff wellbeing and mental health is led by/overseen by </w:t>
      </w:r>
      <w:r w:rsidRPr="00C85D91">
        <w:rPr>
          <w:color w:val="FF0000"/>
        </w:rPr>
        <w:t>Name of member of staff</w:t>
      </w:r>
      <w:r>
        <w:rPr>
          <w:color w:val="FF0000"/>
        </w:rPr>
        <w:t>, role of member of staff.</w:t>
      </w:r>
    </w:p>
    <w:p w14:paraId="34A9A6CC" w14:textId="77777777" w:rsidR="00DF0527" w:rsidRDefault="00DF0527" w:rsidP="006047FB">
      <w:pPr>
        <w:rPr>
          <w:sz w:val="28"/>
          <w:szCs w:val="28"/>
        </w:rPr>
      </w:pPr>
    </w:p>
    <w:p w14:paraId="6B70C1AA" w14:textId="77777777" w:rsidR="006047FB" w:rsidRPr="00975BF8" w:rsidRDefault="006047FB" w:rsidP="006047FB">
      <w:r w:rsidRPr="00975BF8">
        <w:t xml:space="preserve">We recognise the importance of taking care of </w:t>
      </w:r>
      <w:r w:rsidR="00DB11F9">
        <w:t xml:space="preserve">our </w:t>
      </w:r>
      <w:r w:rsidRPr="00975BF8">
        <w:t xml:space="preserve">teachers, support staff, site staff and adult members of our teaching community. We believe that if we look after </w:t>
      </w:r>
      <w:r w:rsidR="00DF0527" w:rsidRPr="00975BF8">
        <w:t xml:space="preserve">the needs of </w:t>
      </w:r>
      <w:r w:rsidRPr="00975BF8">
        <w:t xml:space="preserve">our staff, they will be </w:t>
      </w:r>
      <w:r w:rsidR="00DB11F9">
        <w:t xml:space="preserve">better </w:t>
      </w:r>
      <w:r w:rsidRPr="00975BF8">
        <w:t xml:space="preserve">able to look after </w:t>
      </w:r>
      <w:r w:rsidR="00DB11F9">
        <w:t xml:space="preserve">the needs of </w:t>
      </w:r>
      <w:r w:rsidRPr="00975BF8">
        <w:t xml:space="preserve">our young people. </w:t>
      </w:r>
      <w:r w:rsidR="00DB11F9">
        <w:t>T</w:t>
      </w:r>
      <w:r w:rsidRPr="00975BF8">
        <w:t xml:space="preserve">eachers will </w:t>
      </w:r>
      <w:r w:rsidR="001D68D1">
        <w:t xml:space="preserve">also </w:t>
      </w:r>
      <w:r w:rsidR="00DB11F9">
        <w:t xml:space="preserve">be able to </w:t>
      </w:r>
      <w:r w:rsidRPr="00975BF8">
        <w:t xml:space="preserve">teach more </w:t>
      </w:r>
      <w:proofErr w:type="gramStart"/>
      <w:r w:rsidRPr="00975BF8">
        <w:t>effectively</w:t>
      </w:r>
      <w:proofErr w:type="gramEnd"/>
      <w:r w:rsidRPr="00975BF8">
        <w:t xml:space="preserve"> and pupils will be more engaged. </w:t>
      </w:r>
      <w:r w:rsidR="00DB11F9">
        <w:t>Pupils</w:t>
      </w:r>
      <w:r w:rsidRPr="00975BF8">
        <w:t xml:space="preserve"> will therefore learn better and be more motivated to achieve their academic and social and emotional </w:t>
      </w:r>
      <w:r w:rsidR="00DB11F9">
        <w:t>goals</w:t>
      </w:r>
      <w:r w:rsidRPr="00975BF8">
        <w:t>.</w:t>
      </w:r>
    </w:p>
    <w:p w14:paraId="5FC283A1" w14:textId="77777777" w:rsidR="006047FB" w:rsidRPr="00975BF8" w:rsidRDefault="006047FB" w:rsidP="006047FB"/>
    <w:p w14:paraId="44408E7B" w14:textId="77777777" w:rsidR="006047FB" w:rsidRPr="00975BF8" w:rsidRDefault="006047FB" w:rsidP="006047FB">
      <w:pPr>
        <w:rPr>
          <w:color w:val="000000" w:themeColor="text1"/>
        </w:rPr>
      </w:pPr>
      <w:r w:rsidRPr="00BC68FB">
        <w:rPr>
          <w:color w:val="FF0000"/>
          <w:highlight w:val="black"/>
        </w:rPr>
        <w:t>Name of school</w:t>
      </w:r>
      <w:r w:rsidRPr="00BC68FB">
        <w:rPr>
          <w:highlight w:val="black"/>
        </w:rPr>
        <w:t xml:space="preserve"> </w:t>
      </w:r>
      <w:r w:rsidRPr="00BC68FB">
        <w:rPr>
          <w:color w:val="000000" w:themeColor="text1"/>
          <w:highlight w:val="black"/>
        </w:rPr>
        <w:t xml:space="preserve">aspires to be a talking community, where staff are encouraged to </w:t>
      </w:r>
      <w:r w:rsidR="00DB11F9" w:rsidRPr="00BC68FB">
        <w:rPr>
          <w:color w:val="000000" w:themeColor="text1"/>
          <w:highlight w:val="black"/>
        </w:rPr>
        <w:t xml:space="preserve">discuss </w:t>
      </w:r>
      <w:r w:rsidRPr="00BC68FB">
        <w:rPr>
          <w:color w:val="000000" w:themeColor="text1"/>
          <w:highlight w:val="black"/>
        </w:rPr>
        <w:t xml:space="preserve">their </w:t>
      </w:r>
      <w:r w:rsidR="00DB11F9" w:rsidRPr="00BC68FB">
        <w:rPr>
          <w:color w:val="000000" w:themeColor="text1"/>
          <w:highlight w:val="black"/>
        </w:rPr>
        <w:t xml:space="preserve">physical and </w:t>
      </w:r>
      <w:r w:rsidRPr="00BC68FB">
        <w:rPr>
          <w:color w:val="000000" w:themeColor="text1"/>
          <w:highlight w:val="black"/>
        </w:rPr>
        <w:t xml:space="preserve">mental health openly and to ask for help and support when needed. This includes the Headteacher and Senior Leadership Team. We do not regard it as a weakness nor a </w:t>
      </w:r>
      <w:r w:rsidR="00DF0527" w:rsidRPr="00BC68FB">
        <w:rPr>
          <w:color w:val="000000" w:themeColor="text1"/>
          <w:highlight w:val="black"/>
        </w:rPr>
        <w:t>sign of failure</w:t>
      </w:r>
      <w:r w:rsidRPr="00BC68FB">
        <w:rPr>
          <w:color w:val="000000" w:themeColor="text1"/>
          <w:highlight w:val="black"/>
        </w:rPr>
        <w:t xml:space="preserve"> when staff acknowledge their stress or </w:t>
      </w:r>
      <w:r w:rsidR="00DB11F9" w:rsidRPr="00BC68FB">
        <w:rPr>
          <w:color w:val="000000" w:themeColor="text1"/>
          <w:highlight w:val="black"/>
        </w:rPr>
        <w:t xml:space="preserve">physical or </w:t>
      </w:r>
      <w:r w:rsidRPr="00BC68FB">
        <w:rPr>
          <w:color w:val="000000" w:themeColor="text1"/>
          <w:highlight w:val="black"/>
        </w:rPr>
        <w:t>mental ill-health.</w:t>
      </w:r>
      <w:r w:rsidR="00DF0527" w:rsidRPr="00BC68FB">
        <w:rPr>
          <w:color w:val="000000" w:themeColor="text1"/>
          <w:highlight w:val="black"/>
        </w:rPr>
        <w:t xml:space="preserve"> Rather, we consider it an important first step in </w:t>
      </w:r>
      <w:r w:rsidR="00DB11F9" w:rsidRPr="00BC68FB">
        <w:rPr>
          <w:color w:val="000000" w:themeColor="text1"/>
          <w:highlight w:val="black"/>
        </w:rPr>
        <w:t xml:space="preserve">staff </w:t>
      </w:r>
      <w:r w:rsidR="00DF0527" w:rsidRPr="00BC68FB">
        <w:rPr>
          <w:color w:val="000000" w:themeColor="text1"/>
          <w:highlight w:val="black"/>
        </w:rPr>
        <w:t>getting the support they need which includes talking it through with a line manager, if appropriate.</w:t>
      </w:r>
    </w:p>
    <w:p w14:paraId="7BA6DA19" w14:textId="77777777" w:rsidR="00DF0527" w:rsidRDefault="00DF0527" w:rsidP="006047FB">
      <w:pPr>
        <w:rPr>
          <w:color w:val="000000" w:themeColor="text1"/>
          <w:sz w:val="28"/>
          <w:szCs w:val="28"/>
        </w:rPr>
      </w:pPr>
    </w:p>
    <w:p w14:paraId="4B09F3FB" w14:textId="77777777" w:rsidR="00DF0527" w:rsidRPr="00DB11F9" w:rsidRDefault="00DF0527" w:rsidP="006047FB">
      <w:pPr>
        <w:rPr>
          <w:b/>
          <w:color w:val="000000" w:themeColor="text1"/>
          <w:sz w:val="28"/>
          <w:szCs w:val="28"/>
        </w:rPr>
      </w:pPr>
      <w:r w:rsidRPr="00DB11F9">
        <w:rPr>
          <w:b/>
          <w:color w:val="000000" w:themeColor="text1"/>
          <w:sz w:val="28"/>
          <w:szCs w:val="28"/>
        </w:rPr>
        <w:t>Our responsibility</w:t>
      </w:r>
    </w:p>
    <w:p w14:paraId="57E1CA9C" w14:textId="77777777" w:rsidR="00DF0527" w:rsidRDefault="00DF0527" w:rsidP="006047FB">
      <w:pPr>
        <w:rPr>
          <w:color w:val="000000" w:themeColor="text1"/>
          <w:sz w:val="28"/>
          <w:szCs w:val="28"/>
          <w:u w:val="single"/>
        </w:rPr>
      </w:pPr>
    </w:p>
    <w:p w14:paraId="0C26A821" w14:textId="77777777" w:rsidR="00DF0527" w:rsidRDefault="00DF0527" w:rsidP="006047FB">
      <w:pPr>
        <w:rPr>
          <w:color w:val="000000" w:themeColor="text1"/>
        </w:rPr>
      </w:pPr>
      <w:r w:rsidRPr="00975BF8">
        <w:rPr>
          <w:color w:val="000000" w:themeColor="text1"/>
        </w:rPr>
        <w:t xml:space="preserve">It is our responsibility as a caring community to promote positive </w:t>
      </w:r>
      <w:r w:rsidR="001D68D1">
        <w:rPr>
          <w:color w:val="000000" w:themeColor="text1"/>
        </w:rPr>
        <w:t xml:space="preserve">staff </w:t>
      </w:r>
      <w:r w:rsidRPr="00975BF8">
        <w:rPr>
          <w:color w:val="000000" w:themeColor="text1"/>
        </w:rPr>
        <w:t xml:space="preserve">emotional wellbeing. Our duty of care under the Health and Safety Act (2013) requires us to look after the physical and mental health of our staff and we </w:t>
      </w:r>
      <w:r w:rsidR="00DB11F9">
        <w:rPr>
          <w:color w:val="000000" w:themeColor="text1"/>
        </w:rPr>
        <w:t xml:space="preserve">are determined to </w:t>
      </w:r>
      <w:r w:rsidRPr="00975BF8">
        <w:rPr>
          <w:color w:val="000000" w:themeColor="text1"/>
        </w:rPr>
        <w:t xml:space="preserve">discharge this duty to the best of our ability. This includes identifying sources of physical and mental </w:t>
      </w:r>
      <w:r w:rsidR="00975BF8" w:rsidRPr="00975BF8">
        <w:rPr>
          <w:color w:val="000000" w:themeColor="text1"/>
        </w:rPr>
        <w:t>ill-health in the school and reducing or removing them</w:t>
      </w:r>
      <w:r w:rsidR="00C85D91">
        <w:rPr>
          <w:color w:val="000000" w:themeColor="text1"/>
        </w:rPr>
        <w:t xml:space="preserve"> entirely</w:t>
      </w:r>
      <w:r w:rsidR="00975BF8" w:rsidRPr="00975BF8">
        <w:rPr>
          <w:color w:val="000000" w:themeColor="text1"/>
        </w:rPr>
        <w:t>.</w:t>
      </w:r>
      <w:r w:rsidR="00C85D91">
        <w:rPr>
          <w:color w:val="000000" w:themeColor="text1"/>
        </w:rPr>
        <w:t xml:space="preserve"> </w:t>
      </w:r>
    </w:p>
    <w:p w14:paraId="420CAB37" w14:textId="77777777" w:rsidR="00975BF8" w:rsidRDefault="00975BF8" w:rsidP="006047FB">
      <w:pPr>
        <w:rPr>
          <w:color w:val="000000" w:themeColor="text1"/>
        </w:rPr>
      </w:pPr>
    </w:p>
    <w:p w14:paraId="7B1143C7" w14:textId="77777777" w:rsidR="00975BF8" w:rsidRPr="00DB11F9" w:rsidRDefault="00975BF8" w:rsidP="006047FB">
      <w:pPr>
        <w:rPr>
          <w:b/>
          <w:color w:val="000000" w:themeColor="text1"/>
          <w:sz w:val="28"/>
          <w:szCs w:val="28"/>
        </w:rPr>
      </w:pPr>
      <w:r w:rsidRPr="00DB11F9">
        <w:rPr>
          <w:b/>
          <w:color w:val="000000" w:themeColor="text1"/>
          <w:sz w:val="28"/>
          <w:szCs w:val="28"/>
        </w:rPr>
        <w:t>The business case</w:t>
      </w:r>
    </w:p>
    <w:p w14:paraId="60623196" w14:textId="77777777" w:rsidR="00975BF8" w:rsidRDefault="00975BF8" w:rsidP="006047FB">
      <w:pPr>
        <w:rPr>
          <w:color w:val="000000" w:themeColor="text1"/>
          <w:sz w:val="28"/>
          <w:szCs w:val="28"/>
          <w:u w:val="single"/>
        </w:rPr>
      </w:pPr>
    </w:p>
    <w:p w14:paraId="321530EB" w14:textId="77777777" w:rsidR="00975BF8" w:rsidRDefault="00975BF8" w:rsidP="006047FB">
      <w:pPr>
        <w:rPr>
          <w:color w:val="000000" w:themeColor="text1"/>
        </w:rPr>
      </w:pPr>
      <w:r>
        <w:rPr>
          <w:color w:val="000000" w:themeColor="text1"/>
        </w:rPr>
        <w:t xml:space="preserve">In addition to improving teachers’ capacity for supporting the mental and emotional health of our young people and improving academic attainment, there are </w:t>
      </w:r>
      <w:r w:rsidR="00DB11F9">
        <w:rPr>
          <w:color w:val="000000" w:themeColor="text1"/>
        </w:rPr>
        <w:t xml:space="preserve">also </w:t>
      </w:r>
      <w:r>
        <w:rPr>
          <w:color w:val="000000" w:themeColor="text1"/>
        </w:rPr>
        <w:t>business-related benefits of taking care of our staff:</w:t>
      </w:r>
    </w:p>
    <w:p w14:paraId="720270A6" w14:textId="77777777" w:rsidR="00975BF8" w:rsidRDefault="00975BF8" w:rsidP="006047FB">
      <w:pPr>
        <w:rPr>
          <w:color w:val="000000" w:themeColor="text1"/>
        </w:rPr>
      </w:pPr>
    </w:p>
    <w:p w14:paraId="62A882DE" w14:textId="77777777" w:rsidR="00975BF8" w:rsidRDefault="00975BF8" w:rsidP="00975BF8">
      <w:pPr>
        <w:pStyle w:val="ListParagraph"/>
        <w:numPr>
          <w:ilvl w:val="0"/>
          <w:numId w:val="1"/>
        </w:numPr>
        <w:rPr>
          <w:color w:val="000000" w:themeColor="text1"/>
        </w:rPr>
      </w:pPr>
      <w:r>
        <w:rPr>
          <w:color w:val="000000" w:themeColor="text1"/>
        </w:rPr>
        <w:t xml:space="preserve">Reduction in staff absence, particularly </w:t>
      </w:r>
      <w:r w:rsidR="001D68D1">
        <w:rPr>
          <w:color w:val="000000" w:themeColor="text1"/>
        </w:rPr>
        <w:t>as a result of</w:t>
      </w:r>
      <w:r>
        <w:rPr>
          <w:color w:val="000000" w:themeColor="text1"/>
        </w:rPr>
        <w:t xml:space="preserve"> stress, anxiety and depression</w:t>
      </w:r>
    </w:p>
    <w:p w14:paraId="75B17482" w14:textId="77777777" w:rsidR="00975BF8" w:rsidRPr="00BC68FB" w:rsidRDefault="00975BF8" w:rsidP="00975BF8">
      <w:pPr>
        <w:pStyle w:val="ListParagraph"/>
        <w:numPr>
          <w:ilvl w:val="0"/>
          <w:numId w:val="1"/>
        </w:numPr>
        <w:rPr>
          <w:color w:val="000000" w:themeColor="text1"/>
          <w:highlight w:val="black"/>
        </w:rPr>
      </w:pPr>
      <w:r w:rsidRPr="00BC68FB">
        <w:rPr>
          <w:color w:val="000000" w:themeColor="text1"/>
          <w:highlight w:val="black"/>
        </w:rPr>
        <w:t>Reduction in spending on supply cover</w:t>
      </w:r>
    </w:p>
    <w:p w14:paraId="33CF94B7" w14:textId="77777777" w:rsidR="00975BF8" w:rsidRPr="00BC68FB" w:rsidRDefault="00975BF8" w:rsidP="00975BF8">
      <w:pPr>
        <w:pStyle w:val="ListParagraph"/>
        <w:numPr>
          <w:ilvl w:val="0"/>
          <w:numId w:val="1"/>
        </w:numPr>
        <w:rPr>
          <w:color w:val="000000" w:themeColor="text1"/>
          <w:highlight w:val="black"/>
        </w:rPr>
      </w:pPr>
      <w:r w:rsidRPr="00BC68FB">
        <w:rPr>
          <w:color w:val="000000" w:themeColor="text1"/>
          <w:highlight w:val="black"/>
        </w:rPr>
        <w:t>Higher retention</w:t>
      </w:r>
    </w:p>
    <w:p w14:paraId="3D890320" w14:textId="77777777" w:rsidR="00975BF8" w:rsidRPr="00BC68FB" w:rsidRDefault="00975BF8" w:rsidP="00975BF8">
      <w:pPr>
        <w:pStyle w:val="ListParagraph"/>
        <w:numPr>
          <w:ilvl w:val="0"/>
          <w:numId w:val="1"/>
        </w:numPr>
        <w:rPr>
          <w:color w:val="000000" w:themeColor="text1"/>
          <w:highlight w:val="black"/>
        </w:rPr>
      </w:pPr>
      <w:r w:rsidRPr="00BC68FB">
        <w:rPr>
          <w:color w:val="000000" w:themeColor="text1"/>
          <w:highlight w:val="black"/>
        </w:rPr>
        <w:t>Greater pool of applicants to fill vacancies, including from trainees</w:t>
      </w:r>
    </w:p>
    <w:p w14:paraId="4C49C9E0" w14:textId="77777777" w:rsidR="00DB11F9" w:rsidRPr="00BC68FB" w:rsidRDefault="00DB11F9" w:rsidP="00975BF8">
      <w:pPr>
        <w:pStyle w:val="ListParagraph"/>
        <w:numPr>
          <w:ilvl w:val="0"/>
          <w:numId w:val="1"/>
        </w:numPr>
        <w:rPr>
          <w:color w:val="000000" w:themeColor="text1"/>
          <w:highlight w:val="black"/>
        </w:rPr>
      </w:pPr>
      <w:r w:rsidRPr="00BC68FB">
        <w:rPr>
          <w:color w:val="000000" w:themeColor="text1"/>
          <w:highlight w:val="black"/>
        </w:rPr>
        <w:t xml:space="preserve">Staff stay longer and speak highly of </w:t>
      </w:r>
      <w:r w:rsidRPr="00BC68FB">
        <w:rPr>
          <w:color w:val="FF0000"/>
          <w:highlight w:val="black"/>
        </w:rPr>
        <w:t xml:space="preserve">Name of </w:t>
      </w:r>
      <w:r w:rsidR="001D68D1" w:rsidRPr="00BC68FB">
        <w:rPr>
          <w:color w:val="FF0000"/>
          <w:highlight w:val="black"/>
        </w:rPr>
        <w:t>Your S</w:t>
      </w:r>
      <w:r w:rsidRPr="00BC68FB">
        <w:rPr>
          <w:color w:val="FF0000"/>
          <w:highlight w:val="black"/>
        </w:rPr>
        <w:t>chool</w:t>
      </w:r>
      <w:r w:rsidRPr="00BC68FB">
        <w:rPr>
          <w:color w:val="000000" w:themeColor="text1"/>
          <w:highlight w:val="black"/>
        </w:rPr>
        <w:t>, including when they leave.</w:t>
      </w:r>
    </w:p>
    <w:p w14:paraId="45D27BC1" w14:textId="77777777" w:rsidR="00DF0527" w:rsidRPr="00975BF8" w:rsidRDefault="00DF0527" w:rsidP="006047FB">
      <w:pPr>
        <w:rPr>
          <w:color w:val="000000" w:themeColor="text1"/>
        </w:rPr>
      </w:pPr>
    </w:p>
    <w:p w14:paraId="36E26BBD" w14:textId="77777777" w:rsidR="00DF0527" w:rsidRPr="00DB11F9" w:rsidRDefault="00975BF8" w:rsidP="006047FB">
      <w:pPr>
        <w:rPr>
          <w:b/>
          <w:color w:val="000000" w:themeColor="text1"/>
          <w:sz w:val="28"/>
          <w:szCs w:val="28"/>
        </w:rPr>
      </w:pPr>
      <w:r w:rsidRPr="00DB11F9">
        <w:rPr>
          <w:b/>
          <w:color w:val="000000" w:themeColor="text1"/>
          <w:sz w:val="28"/>
          <w:szCs w:val="28"/>
        </w:rPr>
        <w:t>The Teach Well Toolkit</w:t>
      </w:r>
    </w:p>
    <w:p w14:paraId="274BF639" w14:textId="77777777" w:rsidR="00975BF8" w:rsidRDefault="00975BF8" w:rsidP="006047FB">
      <w:pPr>
        <w:rPr>
          <w:color w:val="000000" w:themeColor="text1"/>
          <w:sz w:val="28"/>
          <w:szCs w:val="28"/>
          <w:u w:val="single"/>
        </w:rPr>
      </w:pPr>
    </w:p>
    <w:p w14:paraId="2831A3E7" w14:textId="77777777" w:rsidR="00975BF8" w:rsidRDefault="00975BF8" w:rsidP="006047FB">
      <w:pPr>
        <w:rPr>
          <w:color w:val="000000" w:themeColor="text1"/>
        </w:rPr>
      </w:pPr>
      <w:r>
        <w:rPr>
          <w:color w:val="000000" w:themeColor="text1"/>
        </w:rPr>
        <w:t xml:space="preserve">During the last year, </w:t>
      </w:r>
      <w:r w:rsidR="001D68D1">
        <w:rPr>
          <w:color w:val="000000" w:themeColor="text1"/>
        </w:rPr>
        <w:t>our</w:t>
      </w:r>
      <w:r>
        <w:rPr>
          <w:color w:val="000000" w:themeColor="text1"/>
        </w:rPr>
        <w:t xml:space="preserve"> school has been following the Teach Well Toolkit programme from the Teach Well Alliance to implement a culture of staff wellbeing and mental health. The programme follows </w:t>
      </w:r>
      <w:r w:rsidR="00C85D91">
        <w:rPr>
          <w:color w:val="000000" w:themeColor="text1"/>
        </w:rPr>
        <w:t>a well-</w:t>
      </w:r>
      <w:r>
        <w:rPr>
          <w:color w:val="000000" w:themeColor="text1"/>
        </w:rPr>
        <w:t xml:space="preserve">established </w:t>
      </w:r>
      <w:r w:rsidR="00C85D91">
        <w:rPr>
          <w:color w:val="000000" w:themeColor="text1"/>
        </w:rPr>
        <w:t>strategy for whole-school change:</w:t>
      </w:r>
    </w:p>
    <w:p w14:paraId="13699B6E" w14:textId="77777777" w:rsidR="00C85D91" w:rsidRDefault="00C85D91" w:rsidP="006047FB">
      <w:pPr>
        <w:rPr>
          <w:color w:val="000000" w:themeColor="text1"/>
        </w:rPr>
      </w:pPr>
    </w:p>
    <w:p w14:paraId="557C7B83"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Identification of issues</w:t>
      </w:r>
    </w:p>
    <w:p w14:paraId="239B4568"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Action planning to tackle the issues identified</w:t>
      </w:r>
    </w:p>
    <w:p w14:paraId="16C26114"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Staff feedback on action plan</w:t>
      </w:r>
    </w:p>
    <w:p w14:paraId="3A12FBE1"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Implementation of action plan</w:t>
      </w:r>
    </w:p>
    <w:p w14:paraId="0555C8C0"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Monitoring of progress of action plan</w:t>
      </w:r>
    </w:p>
    <w:p w14:paraId="47031157"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Final feedback at end of programme</w:t>
      </w:r>
    </w:p>
    <w:p w14:paraId="5BBD1B28"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Planning for Year 2 and broad planning for Year 3</w:t>
      </w:r>
    </w:p>
    <w:p w14:paraId="00C7C499" w14:textId="77777777" w:rsidR="00C85D91" w:rsidRPr="00BC68FB" w:rsidRDefault="00C85D91" w:rsidP="00C85D91">
      <w:pPr>
        <w:pStyle w:val="ListParagraph"/>
        <w:numPr>
          <w:ilvl w:val="0"/>
          <w:numId w:val="2"/>
        </w:numPr>
        <w:rPr>
          <w:color w:val="000000" w:themeColor="text1"/>
          <w:highlight w:val="black"/>
          <w:u w:val="single"/>
        </w:rPr>
      </w:pPr>
      <w:r w:rsidRPr="00BC68FB">
        <w:rPr>
          <w:color w:val="000000" w:themeColor="text1"/>
          <w:highlight w:val="black"/>
        </w:rPr>
        <w:t>Written report to governors</w:t>
      </w:r>
    </w:p>
    <w:p w14:paraId="0ACDC6C0" w14:textId="77777777" w:rsidR="00C85D91" w:rsidRDefault="00C85D91" w:rsidP="00C85D91">
      <w:pPr>
        <w:rPr>
          <w:color w:val="000000" w:themeColor="text1"/>
          <w:u w:val="single"/>
        </w:rPr>
      </w:pPr>
    </w:p>
    <w:p w14:paraId="134E6AD4" w14:textId="77777777" w:rsidR="00C85D91" w:rsidRDefault="00C85D91" w:rsidP="00C85D91">
      <w:pPr>
        <w:rPr>
          <w:color w:val="000000" w:themeColor="text1"/>
        </w:rPr>
      </w:pPr>
      <w:r>
        <w:rPr>
          <w:color w:val="000000" w:themeColor="text1"/>
        </w:rPr>
        <w:t xml:space="preserve">The Teach Well Toolkit includes the School Wellbeing iAbacus, developed </w:t>
      </w:r>
      <w:r w:rsidR="00271C8B">
        <w:rPr>
          <w:color w:val="000000" w:themeColor="text1"/>
        </w:rPr>
        <w:t xml:space="preserve">by the Teach Well Alliance, </w:t>
      </w:r>
      <w:r>
        <w:rPr>
          <w:color w:val="000000" w:themeColor="text1"/>
        </w:rPr>
        <w:t xml:space="preserve">which enables the school to </w:t>
      </w:r>
      <w:r w:rsidR="00271C8B">
        <w:rPr>
          <w:color w:val="000000" w:themeColor="text1"/>
        </w:rPr>
        <w:t xml:space="preserve">identify </w:t>
      </w:r>
      <w:r w:rsidR="002D24FC">
        <w:rPr>
          <w:color w:val="000000" w:themeColor="text1"/>
        </w:rPr>
        <w:t xml:space="preserve">wellbeing and mental health </w:t>
      </w:r>
      <w:r w:rsidR="00271C8B">
        <w:rPr>
          <w:color w:val="000000" w:themeColor="text1"/>
        </w:rPr>
        <w:t>issues, plan to address them and evaluate progress.</w:t>
      </w:r>
      <w:r w:rsidR="00C1222F">
        <w:rPr>
          <w:color w:val="000000" w:themeColor="text1"/>
        </w:rPr>
        <w:t xml:space="preserve"> </w:t>
      </w:r>
    </w:p>
    <w:p w14:paraId="4264F309" w14:textId="77777777" w:rsidR="00271C8B" w:rsidRDefault="00271C8B" w:rsidP="00C85D91">
      <w:pPr>
        <w:rPr>
          <w:color w:val="000000" w:themeColor="text1"/>
        </w:rPr>
      </w:pPr>
    </w:p>
    <w:p w14:paraId="35CC8250" w14:textId="77777777" w:rsidR="00271C8B" w:rsidRPr="002D24FC" w:rsidRDefault="00271C8B" w:rsidP="00C85D91">
      <w:pPr>
        <w:rPr>
          <w:b/>
          <w:color w:val="000000" w:themeColor="text1"/>
          <w:sz w:val="28"/>
          <w:szCs w:val="28"/>
        </w:rPr>
      </w:pPr>
      <w:r w:rsidRPr="002D24FC">
        <w:rPr>
          <w:b/>
          <w:color w:val="000000" w:themeColor="text1"/>
          <w:sz w:val="28"/>
          <w:szCs w:val="28"/>
        </w:rPr>
        <w:t xml:space="preserve">Maslach’s 6 Factors </w:t>
      </w:r>
      <w:r w:rsidR="008623BF" w:rsidRPr="002D24FC">
        <w:rPr>
          <w:b/>
          <w:color w:val="000000" w:themeColor="text1"/>
          <w:sz w:val="28"/>
          <w:szCs w:val="28"/>
        </w:rPr>
        <w:t>leading to</w:t>
      </w:r>
      <w:r w:rsidRPr="002D24FC">
        <w:rPr>
          <w:b/>
          <w:color w:val="000000" w:themeColor="text1"/>
          <w:sz w:val="28"/>
          <w:szCs w:val="28"/>
        </w:rPr>
        <w:t xml:space="preserve"> Burnout</w:t>
      </w:r>
    </w:p>
    <w:p w14:paraId="01B017B9" w14:textId="77777777" w:rsidR="00271C8B" w:rsidRDefault="00271C8B" w:rsidP="00C85D91">
      <w:pPr>
        <w:rPr>
          <w:color w:val="000000" w:themeColor="text1"/>
          <w:sz w:val="28"/>
          <w:szCs w:val="28"/>
          <w:u w:val="single"/>
        </w:rPr>
      </w:pPr>
    </w:p>
    <w:p w14:paraId="5B8AD3D2" w14:textId="77777777" w:rsidR="00C1222F" w:rsidRPr="00C1222F" w:rsidRDefault="00C1222F" w:rsidP="00C1222F">
      <w:pPr>
        <w:pStyle w:val="ListParagraph"/>
        <w:numPr>
          <w:ilvl w:val="0"/>
          <w:numId w:val="3"/>
        </w:numPr>
        <w:rPr>
          <w:color w:val="000000" w:themeColor="text1"/>
        </w:rPr>
      </w:pPr>
      <w:r w:rsidRPr="00C1222F">
        <w:rPr>
          <w:color w:val="000000" w:themeColor="text1"/>
        </w:rPr>
        <w:t>There is no agreed definition of Burnout and it is not listed in DSM 5 (Diagnostic and Statistical Manual of Mental Disorders: 5</w:t>
      </w:r>
      <w:r w:rsidRPr="00C1222F">
        <w:rPr>
          <w:color w:val="000000" w:themeColor="text1"/>
          <w:vertAlign w:val="superscript"/>
        </w:rPr>
        <w:t>th</w:t>
      </w:r>
      <w:r w:rsidRPr="00C1222F">
        <w:rPr>
          <w:color w:val="000000" w:themeColor="text1"/>
        </w:rPr>
        <w:t xml:space="preserve"> edition) which is the reference book used by mental health professionals to identify mental illnesses.</w:t>
      </w:r>
    </w:p>
    <w:p w14:paraId="77ED014B" w14:textId="77777777" w:rsidR="00C1222F" w:rsidRDefault="00C1222F" w:rsidP="00C1222F">
      <w:pPr>
        <w:rPr>
          <w:color w:val="000000" w:themeColor="text1"/>
        </w:rPr>
      </w:pPr>
    </w:p>
    <w:p w14:paraId="5A57A191" w14:textId="77777777" w:rsidR="00C1222F" w:rsidRPr="00C1222F" w:rsidRDefault="00C1222F" w:rsidP="00C1222F">
      <w:pPr>
        <w:pStyle w:val="ListParagraph"/>
        <w:numPr>
          <w:ilvl w:val="0"/>
          <w:numId w:val="3"/>
        </w:numPr>
        <w:rPr>
          <w:color w:val="000000" w:themeColor="text1"/>
        </w:rPr>
      </w:pPr>
      <w:r w:rsidRPr="00C1222F">
        <w:rPr>
          <w:color w:val="000000" w:themeColor="text1"/>
        </w:rPr>
        <w:t>We use the following definition in this policy:</w:t>
      </w:r>
    </w:p>
    <w:p w14:paraId="6EDE1350" w14:textId="77777777" w:rsidR="00C1222F" w:rsidRDefault="00C1222F" w:rsidP="00C1222F">
      <w:pPr>
        <w:rPr>
          <w:color w:val="000000" w:themeColor="text1"/>
        </w:rPr>
      </w:pPr>
    </w:p>
    <w:p w14:paraId="5897C385" w14:textId="77777777" w:rsidR="00C1222F" w:rsidRPr="00BC68FB" w:rsidRDefault="00C1222F" w:rsidP="00C1222F">
      <w:pPr>
        <w:rPr>
          <w:color w:val="000000" w:themeColor="text1"/>
          <w:highlight w:val="black"/>
        </w:rPr>
      </w:pPr>
      <w:r>
        <w:rPr>
          <w:color w:val="000000" w:themeColor="text1"/>
        </w:rPr>
        <w:t xml:space="preserve">              </w:t>
      </w:r>
      <w:r w:rsidRPr="00BC68FB">
        <w:rPr>
          <w:color w:val="000000" w:themeColor="text1"/>
          <w:highlight w:val="black"/>
        </w:rPr>
        <w:t>‘…burnout occurs when the balance of deadlines, demands, working hours and</w:t>
      </w:r>
    </w:p>
    <w:p w14:paraId="5134AF0A" w14:textId="77777777" w:rsidR="00C1222F" w:rsidRPr="00BC68FB" w:rsidRDefault="00C1222F" w:rsidP="00C1222F">
      <w:pPr>
        <w:rPr>
          <w:color w:val="000000" w:themeColor="text1"/>
          <w:highlight w:val="black"/>
        </w:rPr>
      </w:pPr>
      <w:r w:rsidRPr="00BC68FB">
        <w:rPr>
          <w:color w:val="000000" w:themeColor="text1"/>
          <w:highlight w:val="black"/>
        </w:rPr>
        <w:t xml:space="preserve">              other stressors outstrips rewards, recognition and relaxation.’</w:t>
      </w:r>
    </w:p>
    <w:p w14:paraId="6D2BF7C9" w14:textId="77777777" w:rsidR="00C1222F" w:rsidRPr="002D24FC" w:rsidRDefault="00C1222F" w:rsidP="00C1222F">
      <w:pPr>
        <w:rPr>
          <w:color w:val="000000" w:themeColor="text1"/>
          <w:sz w:val="20"/>
          <w:szCs w:val="20"/>
        </w:rPr>
      </w:pPr>
      <w:r w:rsidRPr="00BC68FB">
        <w:rPr>
          <w:color w:val="000000" w:themeColor="text1"/>
          <w:sz w:val="20"/>
          <w:szCs w:val="20"/>
          <w:highlight w:val="black"/>
        </w:rPr>
        <w:t xml:space="preserve">             </w:t>
      </w:r>
      <w:r w:rsidR="002D24FC" w:rsidRPr="00BC68FB">
        <w:rPr>
          <w:color w:val="000000" w:themeColor="text1"/>
          <w:sz w:val="20"/>
          <w:szCs w:val="20"/>
          <w:highlight w:val="black"/>
        </w:rPr>
        <w:t xml:space="preserve">   </w:t>
      </w:r>
      <w:r w:rsidRPr="00BC68FB">
        <w:rPr>
          <w:color w:val="000000" w:themeColor="text1"/>
          <w:sz w:val="20"/>
          <w:szCs w:val="20"/>
          <w:highlight w:val="black"/>
        </w:rPr>
        <w:t xml:space="preserve"> </w:t>
      </w:r>
      <w:r w:rsidR="002D24FC" w:rsidRPr="00BC68FB">
        <w:rPr>
          <w:color w:val="000000" w:themeColor="text1"/>
          <w:sz w:val="20"/>
          <w:szCs w:val="20"/>
          <w:highlight w:val="black"/>
        </w:rPr>
        <w:t>(</w:t>
      </w:r>
      <w:r w:rsidRPr="00BC68FB">
        <w:rPr>
          <w:color w:val="000000" w:themeColor="text1"/>
          <w:sz w:val="20"/>
          <w:szCs w:val="20"/>
          <w:highlight w:val="black"/>
        </w:rPr>
        <w:t>Alexander Michel: Association for Psychological Science</w:t>
      </w:r>
      <w:r w:rsidR="002D24FC" w:rsidRPr="00BC68FB">
        <w:rPr>
          <w:color w:val="000000" w:themeColor="text1"/>
          <w:sz w:val="20"/>
          <w:szCs w:val="20"/>
          <w:highlight w:val="black"/>
        </w:rPr>
        <w:t>)</w:t>
      </w:r>
      <w:r w:rsidRPr="00BC68FB">
        <w:rPr>
          <w:color w:val="000000" w:themeColor="text1"/>
          <w:sz w:val="20"/>
          <w:szCs w:val="20"/>
          <w:highlight w:val="black"/>
        </w:rPr>
        <w:t>.</w:t>
      </w:r>
    </w:p>
    <w:p w14:paraId="4ACDBC1A" w14:textId="77777777" w:rsidR="00C1222F" w:rsidRPr="00BC68FB" w:rsidRDefault="00C1222F" w:rsidP="00C1222F">
      <w:pPr>
        <w:rPr>
          <w:rFonts w:eastAsia="Times New Roman" w:cstheme="minorHAnsi"/>
          <w:color w:val="000000" w:themeColor="text1"/>
          <w:highlight w:val="black"/>
          <w:shd w:val="clear" w:color="auto" w:fill="FFFFFF"/>
        </w:rPr>
      </w:pPr>
      <w:r w:rsidRPr="00BC68FB">
        <w:rPr>
          <w:rFonts w:eastAsia="Times New Roman" w:cstheme="minorHAnsi"/>
          <w:color w:val="000000" w:themeColor="text1"/>
          <w:highlight w:val="black"/>
        </w:rPr>
        <w:fldChar w:fldCharType="begin"/>
      </w:r>
      <w:r w:rsidRPr="00BC68FB">
        <w:rPr>
          <w:rFonts w:eastAsia="Times New Roman" w:cstheme="minorHAnsi"/>
          <w:color w:val="000000" w:themeColor="text1"/>
          <w:highlight w:val="black"/>
        </w:rPr>
        <w:instrText xml:space="preserve"> HYPERLINK "https://www.googleadservices.com/pagead/aclk?sa=L&amp;ai=DChcSEwiKxoGg-5fiAhUOse0KHXb6CwcYABAAGgJkZw&amp;ohost=www.google.com&amp;cid=CAESQOD2PSi4H-9CxDqeCuMGYPNo6oeovI4ic7eN_t98xwROLBbTpQ6jH3ZP5ZsdgK5ZYwbyWi_IjyU5MkoGCB9Dpao&amp;sig=AOD64_0KdYowkNpinLDlV3_sAX827CsNRg&amp;q=&amp;ved=2ahUKEwiP0fmf-5fiAhVPRhUIHabaAb8Q0Qx6BAgLEAE&amp;adurl=" </w:instrText>
      </w:r>
      <w:r w:rsidRPr="00BC68FB">
        <w:rPr>
          <w:rFonts w:eastAsia="Times New Roman" w:cstheme="minorHAnsi"/>
          <w:color w:val="000000" w:themeColor="text1"/>
          <w:highlight w:val="black"/>
        </w:rPr>
        <w:fldChar w:fldCharType="separate"/>
      </w:r>
    </w:p>
    <w:p w14:paraId="51B60271" w14:textId="77777777" w:rsidR="00271C8B" w:rsidRPr="00BC68FB" w:rsidRDefault="00C1222F" w:rsidP="00C1222F">
      <w:pPr>
        <w:pStyle w:val="ListParagraph"/>
        <w:numPr>
          <w:ilvl w:val="0"/>
          <w:numId w:val="4"/>
        </w:numPr>
        <w:rPr>
          <w:highlight w:val="black"/>
        </w:rPr>
      </w:pPr>
      <w:r w:rsidRPr="00BC68FB">
        <w:rPr>
          <w:rFonts w:eastAsia="Times New Roman" w:cstheme="minorHAnsi"/>
          <w:highlight w:val="black"/>
        </w:rPr>
        <w:fldChar w:fldCharType="end"/>
      </w:r>
      <w:r w:rsidR="00271C8B" w:rsidRPr="00BC68FB">
        <w:rPr>
          <w:highlight w:val="black"/>
        </w:rPr>
        <w:t>The Teach Well Toolkit is partly based on Christina Maslach’s work on Occupational Burnout over the last four decades. Maslach works at the University of Berkeley, California and is a recognised world expert on Burnout. She has identified 6 factors that cause Burnout</w:t>
      </w:r>
      <w:r w:rsidR="00921D4A" w:rsidRPr="00BC68FB">
        <w:rPr>
          <w:highlight w:val="black"/>
        </w:rPr>
        <w:t>.</w:t>
      </w:r>
    </w:p>
    <w:p w14:paraId="4E889074" w14:textId="77777777" w:rsidR="00921D4A" w:rsidRPr="00921D4A" w:rsidRDefault="00921D4A" w:rsidP="00921D4A">
      <w:pPr>
        <w:rPr>
          <w:rFonts w:ascii="Times New Roman" w:eastAsia="Times New Roman" w:hAnsi="Times New Roman" w:cs="Times New Roman"/>
        </w:rPr>
      </w:pPr>
    </w:p>
    <w:p w14:paraId="681A7F17" w14:textId="77777777" w:rsidR="00271C8B" w:rsidRDefault="00271C8B" w:rsidP="00C1222F">
      <w:pPr>
        <w:pStyle w:val="ListParagraph"/>
        <w:numPr>
          <w:ilvl w:val="0"/>
          <w:numId w:val="4"/>
        </w:numPr>
        <w:rPr>
          <w:color w:val="000000" w:themeColor="text1"/>
        </w:rPr>
      </w:pPr>
      <w:r w:rsidRPr="00C1222F">
        <w:rPr>
          <w:color w:val="000000" w:themeColor="text1"/>
        </w:rPr>
        <w:t xml:space="preserve">Maslach agrees that work overload is a major factor in Burnout. Teachers frequently raise workload as a cause of tiredness and exhaustion in surveys, </w:t>
      </w:r>
      <w:r w:rsidR="001D68D1">
        <w:rPr>
          <w:color w:val="000000" w:themeColor="text1"/>
        </w:rPr>
        <w:t xml:space="preserve">In blogs, </w:t>
      </w:r>
      <w:r w:rsidRPr="00C1222F">
        <w:rPr>
          <w:color w:val="000000" w:themeColor="text1"/>
        </w:rPr>
        <w:t xml:space="preserve">on Twitter and in the Press. Maslach believes, however, that </w:t>
      </w:r>
      <w:r w:rsidR="00921D4A" w:rsidRPr="00C1222F">
        <w:rPr>
          <w:color w:val="000000" w:themeColor="text1"/>
        </w:rPr>
        <w:t>addressing workload alone will not solve Burnout. She identifies 5 other factors which must be tackled in order to prevent, reduce or eliminate Burnout</w:t>
      </w:r>
      <w:r w:rsidR="00C1222F">
        <w:rPr>
          <w:color w:val="000000" w:themeColor="text1"/>
        </w:rPr>
        <w:t xml:space="preserve">. </w:t>
      </w:r>
    </w:p>
    <w:p w14:paraId="5B8A8419" w14:textId="77777777" w:rsidR="00C1222F" w:rsidRPr="00C1222F" w:rsidRDefault="00C1222F" w:rsidP="00C1222F">
      <w:pPr>
        <w:pStyle w:val="ListParagraph"/>
        <w:rPr>
          <w:color w:val="000000" w:themeColor="text1"/>
        </w:rPr>
      </w:pPr>
    </w:p>
    <w:p w14:paraId="6BFA9EC0" w14:textId="77777777" w:rsidR="00C1222F" w:rsidRDefault="00C1222F" w:rsidP="00215E04">
      <w:pPr>
        <w:pStyle w:val="ListParagraph"/>
        <w:numPr>
          <w:ilvl w:val="0"/>
          <w:numId w:val="4"/>
        </w:numPr>
        <w:rPr>
          <w:color w:val="000000" w:themeColor="text1"/>
        </w:rPr>
      </w:pPr>
      <w:r w:rsidRPr="00C1222F">
        <w:rPr>
          <w:color w:val="000000" w:themeColor="text1"/>
        </w:rPr>
        <w:t>The 6 factors, including workload, are</w:t>
      </w:r>
      <w:r>
        <w:rPr>
          <w:color w:val="000000" w:themeColor="text1"/>
        </w:rPr>
        <w:t>:</w:t>
      </w:r>
    </w:p>
    <w:p w14:paraId="08A92CA1" w14:textId="77777777" w:rsidR="00C1222F" w:rsidRPr="00C1222F" w:rsidRDefault="00C1222F" w:rsidP="00C1222F">
      <w:pPr>
        <w:pStyle w:val="ListParagraph"/>
        <w:rPr>
          <w:color w:val="000000" w:themeColor="text1"/>
        </w:rPr>
      </w:pPr>
    </w:p>
    <w:p w14:paraId="5D21E026" w14:textId="77777777" w:rsidR="00C1222F" w:rsidRPr="00BC68FB" w:rsidRDefault="00C1222F" w:rsidP="002D24FC">
      <w:pPr>
        <w:pStyle w:val="ListParagraph"/>
        <w:numPr>
          <w:ilvl w:val="0"/>
          <w:numId w:val="5"/>
        </w:numPr>
        <w:ind w:left="284" w:hanging="284"/>
        <w:rPr>
          <w:color w:val="000000" w:themeColor="text1"/>
          <w:highlight w:val="black"/>
        </w:rPr>
      </w:pPr>
      <w:r w:rsidRPr="00BC68FB">
        <w:rPr>
          <w:i/>
          <w:color w:val="000000" w:themeColor="text1"/>
          <w:highlight w:val="black"/>
        </w:rPr>
        <w:t>Workload</w:t>
      </w:r>
      <w:r w:rsidRPr="00BC68FB">
        <w:rPr>
          <w:color w:val="000000" w:themeColor="text1"/>
          <w:highlight w:val="black"/>
        </w:rPr>
        <w:t>: ‘…when the quantity of work exceeds the time available, or when the job is simply too difficult given your current resources…’ (Maslach)</w:t>
      </w:r>
      <w:r w:rsidR="00D76992" w:rsidRPr="00BC68FB">
        <w:rPr>
          <w:color w:val="000000" w:themeColor="text1"/>
          <w:highlight w:val="black"/>
        </w:rPr>
        <w:t>.</w:t>
      </w:r>
    </w:p>
    <w:p w14:paraId="77A0EC77" w14:textId="77777777" w:rsidR="00C1222F" w:rsidRPr="00BC68FB" w:rsidRDefault="00C1222F" w:rsidP="002D24FC">
      <w:pPr>
        <w:pStyle w:val="ListParagraph"/>
        <w:numPr>
          <w:ilvl w:val="0"/>
          <w:numId w:val="5"/>
        </w:numPr>
        <w:ind w:left="284" w:hanging="284"/>
        <w:rPr>
          <w:color w:val="000000" w:themeColor="text1"/>
          <w:highlight w:val="black"/>
        </w:rPr>
      </w:pPr>
      <w:r w:rsidRPr="00BC68FB">
        <w:rPr>
          <w:i/>
          <w:color w:val="000000" w:themeColor="text1"/>
          <w:highlight w:val="black"/>
        </w:rPr>
        <w:t>Lack of control</w:t>
      </w:r>
      <w:r w:rsidRPr="00BC68FB">
        <w:rPr>
          <w:color w:val="000000" w:themeColor="text1"/>
          <w:highlight w:val="black"/>
        </w:rPr>
        <w:t xml:space="preserve"> e.g. over decisions</w:t>
      </w:r>
      <w:r w:rsidR="00D76992" w:rsidRPr="00BC68FB">
        <w:rPr>
          <w:color w:val="000000" w:themeColor="text1"/>
          <w:highlight w:val="black"/>
        </w:rPr>
        <w:t>, resources, curriculum, testing, data, working day.</w:t>
      </w:r>
    </w:p>
    <w:p w14:paraId="739C8930" w14:textId="77777777" w:rsidR="00D76992" w:rsidRPr="00BC68FB" w:rsidRDefault="00D76992" w:rsidP="002D24FC">
      <w:pPr>
        <w:pStyle w:val="ListParagraph"/>
        <w:numPr>
          <w:ilvl w:val="0"/>
          <w:numId w:val="5"/>
        </w:numPr>
        <w:ind w:left="284" w:hanging="284"/>
        <w:rPr>
          <w:color w:val="000000" w:themeColor="text1"/>
          <w:highlight w:val="black"/>
        </w:rPr>
      </w:pPr>
      <w:r w:rsidRPr="00BC68FB">
        <w:rPr>
          <w:i/>
          <w:color w:val="000000" w:themeColor="text1"/>
          <w:highlight w:val="black"/>
        </w:rPr>
        <w:t>Lack of reward</w:t>
      </w:r>
      <w:r w:rsidRPr="00BC68FB">
        <w:rPr>
          <w:color w:val="000000" w:themeColor="text1"/>
          <w:highlight w:val="black"/>
        </w:rPr>
        <w:t>: Pay is not necessarily the main factor – social recognition, acknowledgment and praise are often more important.</w:t>
      </w:r>
    </w:p>
    <w:p w14:paraId="5747EF4C" w14:textId="77777777" w:rsidR="00D76992" w:rsidRPr="00BC68FB" w:rsidRDefault="00D76992" w:rsidP="002D24FC">
      <w:pPr>
        <w:pStyle w:val="ListParagraph"/>
        <w:numPr>
          <w:ilvl w:val="0"/>
          <w:numId w:val="5"/>
        </w:numPr>
        <w:ind w:left="284" w:hanging="284"/>
        <w:rPr>
          <w:color w:val="000000" w:themeColor="text1"/>
          <w:highlight w:val="black"/>
        </w:rPr>
      </w:pPr>
      <w:r w:rsidRPr="00BC68FB">
        <w:rPr>
          <w:i/>
          <w:color w:val="000000" w:themeColor="text1"/>
          <w:highlight w:val="black"/>
        </w:rPr>
        <w:t>Lack of community</w:t>
      </w:r>
      <w:r w:rsidRPr="00BC68FB">
        <w:rPr>
          <w:color w:val="000000" w:themeColor="text1"/>
          <w:highlight w:val="black"/>
        </w:rPr>
        <w:t>: ‘People thrive in community and function best when they share praise, comfort, happiness and humour with people they like and respect. In addition to emotional exchange and instrumental assistance, this kind of social support reaffirms a person’s membership in a group with shared values’ (Maslach).</w:t>
      </w:r>
    </w:p>
    <w:p w14:paraId="7DB40FFF" w14:textId="77777777" w:rsidR="00D76992" w:rsidRPr="00BC68FB" w:rsidRDefault="00D76992" w:rsidP="002D24FC">
      <w:pPr>
        <w:pStyle w:val="ListParagraph"/>
        <w:numPr>
          <w:ilvl w:val="0"/>
          <w:numId w:val="5"/>
        </w:numPr>
        <w:ind w:left="284" w:hanging="284"/>
        <w:rPr>
          <w:color w:val="000000" w:themeColor="text1"/>
          <w:highlight w:val="black"/>
        </w:rPr>
      </w:pPr>
      <w:r w:rsidRPr="00BC68FB">
        <w:rPr>
          <w:i/>
          <w:color w:val="000000" w:themeColor="text1"/>
          <w:highlight w:val="black"/>
        </w:rPr>
        <w:t>Lack of fairness</w:t>
      </w:r>
      <w:r w:rsidRPr="00BC68FB">
        <w:rPr>
          <w:color w:val="000000" w:themeColor="text1"/>
          <w:highlight w:val="black"/>
        </w:rPr>
        <w:t>: e.g. promotions are perceived to be biased; favouritism evident; others more appreciated.</w:t>
      </w:r>
    </w:p>
    <w:p w14:paraId="6780E2D2" w14:textId="0ED07B24" w:rsidR="00D76992" w:rsidRPr="00BC68FB" w:rsidRDefault="00D76992" w:rsidP="00D76992">
      <w:pPr>
        <w:pStyle w:val="ListParagraph"/>
        <w:numPr>
          <w:ilvl w:val="0"/>
          <w:numId w:val="5"/>
        </w:numPr>
        <w:ind w:left="284" w:hanging="284"/>
        <w:rPr>
          <w:color w:val="000000" w:themeColor="text1"/>
          <w:highlight w:val="black"/>
        </w:rPr>
      </w:pPr>
      <w:r w:rsidRPr="00BC68FB">
        <w:rPr>
          <w:i/>
          <w:color w:val="000000" w:themeColor="text1"/>
          <w:highlight w:val="black"/>
        </w:rPr>
        <w:t>Conflict of values</w:t>
      </w:r>
      <w:r w:rsidRPr="00BC68FB">
        <w:rPr>
          <w:color w:val="000000" w:themeColor="text1"/>
          <w:highlight w:val="black"/>
        </w:rPr>
        <w:t>: The values you hold as a teacher – the reason</w:t>
      </w:r>
      <w:r w:rsidR="001D68D1" w:rsidRPr="00BC68FB">
        <w:rPr>
          <w:color w:val="000000" w:themeColor="text1"/>
          <w:highlight w:val="black"/>
        </w:rPr>
        <w:t>s</w:t>
      </w:r>
      <w:r w:rsidRPr="00BC68FB">
        <w:rPr>
          <w:color w:val="000000" w:themeColor="text1"/>
          <w:highlight w:val="black"/>
        </w:rPr>
        <w:t xml:space="preserve"> you went into teaching in the first place - do not coincide with those of the DfE/Govt. Does the school support you or endorse/reinforce</w:t>
      </w:r>
      <w:r w:rsidR="008623BF" w:rsidRPr="00BC68FB">
        <w:rPr>
          <w:color w:val="000000" w:themeColor="text1"/>
          <w:highlight w:val="black"/>
        </w:rPr>
        <w:t>/enforce</w:t>
      </w:r>
      <w:r w:rsidRPr="00BC68FB">
        <w:rPr>
          <w:color w:val="000000" w:themeColor="text1"/>
          <w:highlight w:val="black"/>
        </w:rPr>
        <w:t xml:space="preserve"> those values</w:t>
      </w:r>
      <w:r w:rsidR="008623BF" w:rsidRPr="00BC68FB">
        <w:rPr>
          <w:color w:val="000000" w:themeColor="text1"/>
          <w:highlight w:val="black"/>
        </w:rPr>
        <w:t>?</w:t>
      </w:r>
    </w:p>
    <w:sectPr w:rsidR="00D76992" w:rsidRPr="00BC68FB" w:rsidSect="00E85969">
      <w:footerReference w:type="even" r:id="rId7"/>
      <w:footerReference w:type="default" r:id="rId8"/>
      <w:pgSz w:w="11900" w:h="16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CA02" w14:textId="77777777" w:rsidR="00FF1BA7" w:rsidRDefault="00FF1BA7" w:rsidP="00C85D91">
      <w:r>
        <w:separator/>
      </w:r>
    </w:p>
  </w:endnote>
  <w:endnote w:type="continuationSeparator" w:id="0">
    <w:p w14:paraId="4EF79E4E" w14:textId="77777777" w:rsidR="00FF1BA7" w:rsidRDefault="00FF1BA7" w:rsidP="00C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5490950"/>
      <w:docPartObj>
        <w:docPartGallery w:val="Page Numbers (Bottom of Page)"/>
        <w:docPartUnique/>
      </w:docPartObj>
    </w:sdtPr>
    <w:sdtEndPr>
      <w:rPr>
        <w:rStyle w:val="PageNumber"/>
      </w:rPr>
    </w:sdtEndPr>
    <w:sdtContent>
      <w:p w14:paraId="5AAC69FB" w14:textId="77777777" w:rsidR="00C85D91" w:rsidRDefault="00C85D91" w:rsidP="00823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6AACF6" w14:textId="77777777" w:rsidR="00C85D91" w:rsidRDefault="00C85D91" w:rsidP="00C85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103304"/>
      <w:docPartObj>
        <w:docPartGallery w:val="Page Numbers (Bottom of Page)"/>
        <w:docPartUnique/>
      </w:docPartObj>
    </w:sdtPr>
    <w:sdtEndPr>
      <w:rPr>
        <w:rStyle w:val="PageNumber"/>
      </w:rPr>
    </w:sdtEndPr>
    <w:sdtContent>
      <w:p w14:paraId="3DCF6F2C" w14:textId="77777777" w:rsidR="00C85D91" w:rsidRDefault="00C85D91" w:rsidP="00823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E8C1FA" w14:textId="77777777" w:rsidR="00C85D91" w:rsidRDefault="00C85D91" w:rsidP="00C85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4C40" w14:textId="77777777" w:rsidR="00FF1BA7" w:rsidRDefault="00FF1BA7" w:rsidP="00C85D91">
      <w:r>
        <w:separator/>
      </w:r>
    </w:p>
  </w:footnote>
  <w:footnote w:type="continuationSeparator" w:id="0">
    <w:p w14:paraId="6AE45718" w14:textId="77777777" w:rsidR="00FF1BA7" w:rsidRDefault="00FF1BA7" w:rsidP="00C8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9E8"/>
    <w:multiLevelType w:val="hybridMultilevel"/>
    <w:tmpl w:val="2BB0483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D54B3"/>
    <w:multiLevelType w:val="hybridMultilevel"/>
    <w:tmpl w:val="BE88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B7F16"/>
    <w:multiLevelType w:val="multilevel"/>
    <w:tmpl w:val="A1E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8465C"/>
    <w:multiLevelType w:val="hybridMultilevel"/>
    <w:tmpl w:val="1B12F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346164"/>
    <w:multiLevelType w:val="multilevel"/>
    <w:tmpl w:val="FD48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92131"/>
    <w:multiLevelType w:val="hybridMultilevel"/>
    <w:tmpl w:val="D15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85F89"/>
    <w:multiLevelType w:val="hybridMultilevel"/>
    <w:tmpl w:val="91BC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E750D"/>
    <w:multiLevelType w:val="multilevel"/>
    <w:tmpl w:val="99E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FB"/>
    <w:rsid w:val="00091764"/>
    <w:rsid w:val="001D68D1"/>
    <w:rsid w:val="00271C8B"/>
    <w:rsid w:val="00296CE1"/>
    <w:rsid w:val="002D24FC"/>
    <w:rsid w:val="004E221A"/>
    <w:rsid w:val="006047FB"/>
    <w:rsid w:val="00750713"/>
    <w:rsid w:val="007B07A5"/>
    <w:rsid w:val="007B5749"/>
    <w:rsid w:val="007D7DD8"/>
    <w:rsid w:val="008623BF"/>
    <w:rsid w:val="00870580"/>
    <w:rsid w:val="00921D4A"/>
    <w:rsid w:val="00975BF8"/>
    <w:rsid w:val="00983069"/>
    <w:rsid w:val="009E582E"/>
    <w:rsid w:val="00BC68FB"/>
    <w:rsid w:val="00C109C7"/>
    <w:rsid w:val="00C1222F"/>
    <w:rsid w:val="00C36D97"/>
    <w:rsid w:val="00C85D91"/>
    <w:rsid w:val="00D33D9A"/>
    <w:rsid w:val="00D76992"/>
    <w:rsid w:val="00DB11F9"/>
    <w:rsid w:val="00DF0527"/>
    <w:rsid w:val="00E82A2C"/>
    <w:rsid w:val="00E85969"/>
    <w:rsid w:val="00EB1F22"/>
    <w:rsid w:val="00EF2E15"/>
    <w:rsid w:val="00F2075E"/>
    <w:rsid w:val="00F766EB"/>
    <w:rsid w:val="00FF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8DEBEF"/>
  <w14:defaultImageDpi w14:val="32767"/>
  <w15:chartTrackingRefBased/>
  <w15:docId w15:val="{B7510B41-FEF3-A043-A9E3-A8A63E4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6D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1D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BF8"/>
    <w:pPr>
      <w:ind w:left="720"/>
      <w:contextualSpacing/>
    </w:pPr>
  </w:style>
  <w:style w:type="paragraph" w:styleId="Footer">
    <w:name w:val="footer"/>
    <w:basedOn w:val="Normal"/>
    <w:link w:val="FooterChar"/>
    <w:uiPriority w:val="99"/>
    <w:unhideWhenUsed/>
    <w:rsid w:val="00C85D91"/>
    <w:pPr>
      <w:tabs>
        <w:tab w:val="center" w:pos="4513"/>
        <w:tab w:val="right" w:pos="9026"/>
      </w:tabs>
    </w:pPr>
  </w:style>
  <w:style w:type="character" w:customStyle="1" w:styleId="FooterChar">
    <w:name w:val="Footer Char"/>
    <w:basedOn w:val="DefaultParagraphFont"/>
    <w:link w:val="Footer"/>
    <w:uiPriority w:val="99"/>
    <w:rsid w:val="00C85D91"/>
  </w:style>
  <w:style w:type="character" w:styleId="PageNumber">
    <w:name w:val="page number"/>
    <w:basedOn w:val="DefaultParagraphFont"/>
    <w:uiPriority w:val="99"/>
    <w:semiHidden/>
    <w:unhideWhenUsed/>
    <w:rsid w:val="00C85D91"/>
  </w:style>
  <w:style w:type="character" w:customStyle="1" w:styleId="Heading3Char">
    <w:name w:val="Heading 3 Char"/>
    <w:basedOn w:val="DefaultParagraphFont"/>
    <w:link w:val="Heading3"/>
    <w:uiPriority w:val="9"/>
    <w:rsid w:val="00921D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1D4A"/>
    <w:rPr>
      <w:color w:val="0000FF"/>
      <w:u w:val="single"/>
    </w:rPr>
  </w:style>
  <w:style w:type="character" w:customStyle="1" w:styleId="Heading2Char">
    <w:name w:val="Heading 2 Char"/>
    <w:basedOn w:val="DefaultParagraphFont"/>
    <w:link w:val="Heading2"/>
    <w:uiPriority w:val="9"/>
    <w:semiHidden/>
    <w:rsid w:val="00C36D97"/>
    <w:rPr>
      <w:rFonts w:asciiTheme="majorHAnsi" w:eastAsiaTheme="majorEastAsia" w:hAnsiTheme="majorHAnsi" w:cstheme="majorBidi"/>
      <w:color w:val="2F5496" w:themeColor="accent1" w:themeShade="BF"/>
      <w:sz w:val="26"/>
      <w:szCs w:val="26"/>
    </w:rPr>
  </w:style>
  <w:style w:type="paragraph" w:customStyle="1" w:styleId="nodesummary">
    <w:name w:val="nodesummary"/>
    <w:basedOn w:val="Normal"/>
    <w:rsid w:val="00C36D9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36D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6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359">
      <w:bodyDiv w:val="1"/>
      <w:marLeft w:val="0"/>
      <w:marRight w:val="0"/>
      <w:marTop w:val="0"/>
      <w:marBottom w:val="0"/>
      <w:divBdr>
        <w:top w:val="none" w:sz="0" w:space="0" w:color="auto"/>
        <w:left w:val="none" w:sz="0" w:space="0" w:color="auto"/>
        <w:bottom w:val="none" w:sz="0" w:space="0" w:color="auto"/>
        <w:right w:val="none" w:sz="0" w:space="0" w:color="auto"/>
      </w:divBdr>
    </w:div>
    <w:div w:id="641279113">
      <w:bodyDiv w:val="1"/>
      <w:marLeft w:val="0"/>
      <w:marRight w:val="0"/>
      <w:marTop w:val="0"/>
      <w:marBottom w:val="0"/>
      <w:divBdr>
        <w:top w:val="none" w:sz="0" w:space="0" w:color="auto"/>
        <w:left w:val="none" w:sz="0" w:space="0" w:color="auto"/>
        <w:bottom w:val="none" w:sz="0" w:space="0" w:color="auto"/>
        <w:right w:val="none" w:sz="0" w:space="0" w:color="auto"/>
      </w:divBdr>
      <w:divsChild>
        <w:div w:id="1010914726">
          <w:marLeft w:val="0"/>
          <w:marRight w:val="0"/>
          <w:marTop w:val="0"/>
          <w:marBottom w:val="0"/>
          <w:divBdr>
            <w:top w:val="none" w:sz="0" w:space="0" w:color="auto"/>
            <w:left w:val="none" w:sz="0" w:space="0" w:color="auto"/>
            <w:bottom w:val="none" w:sz="0" w:space="0" w:color="auto"/>
            <w:right w:val="none" w:sz="0" w:space="0" w:color="auto"/>
          </w:divBdr>
          <w:divsChild>
            <w:div w:id="431171715">
              <w:marLeft w:val="0"/>
              <w:marRight w:val="0"/>
              <w:marTop w:val="0"/>
              <w:marBottom w:val="0"/>
              <w:divBdr>
                <w:top w:val="none" w:sz="0" w:space="0" w:color="auto"/>
                <w:left w:val="none" w:sz="0" w:space="0" w:color="auto"/>
                <w:bottom w:val="none" w:sz="0" w:space="0" w:color="auto"/>
                <w:right w:val="none" w:sz="0" w:space="0" w:color="auto"/>
              </w:divBdr>
              <w:divsChild>
                <w:div w:id="1051539893">
                  <w:marLeft w:val="0"/>
                  <w:marRight w:val="-9400"/>
                  <w:marTop w:val="0"/>
                  <w:marBottom w:val="0"/>
                  <w:divBdr>
                    <w:top w:val="none" w:sz="0" w:space="0" w:color="auto"/>
                    <w:left w:val="none" w:sz="0" w:space="0" w:color="auto"/>
                    <w:bottom w:val="none" w:sz="0" w:space="0" w:color="auto"/>
                    <w:right w:val="none" w:sz="0" w:space="0" w:color="auto"/>
                  </w:divBdr>
                  <w:divsChild>
                    <w:div w:id="632099025">
                      <w:marLeft w:val="0"/>
                      <w:marRight w:val="0"/>
                      <w:marTop w:val="0"/>
                      <w:marBottom w:val="0"/>
                      <w:divBdr>
                        <w:top w:val="none" w:sz="0" w:space="0" w:color="auto"/>
                        <w:left w:val="none" w:sz="0" w:space="0" w:color="auto"/>
                        <w:bottom w:val="none" w:sz="0" w:space="0" w:color="auto"/>
                        <w:right w:val="none" w:sz="0" w:space="0" w:color="auto"/>
                      </w:divBdr>
                      <w:divsChild>
                        <w:div w:id="1244531176">
                          <w:marLeft w:val="0"/>
                          <w:marRight w:val="0"/>
                          <w:marTop w:val="0"/>
                          <w:marBottom w:val="0"/>
                          <w:divBdr>
                            <w:top w:val="none" w:sz="0" w:space="0" w:color="auto"/>
                            <w:left w:val="none" w:sz="0" w:space="0" w:color="auto"/>
                            <w:bottom w:val="none" w:sz="0" w:space="0" w:color="auto"/>
                            <w:right w:val="none" w:sz="0" w:space="0" w:color="auto"/>
                          </w:divBdr>
                          <w:divsChild>
                            <w:div w:id="19822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260">
                  <w:marLeft w:val="9400"/>
                  <w:marRight w:val="-14100"/>
                  <w:marTop w:val="0"/>
                  <w:marBottom w:val="0"/>
                  <w:divBdr>
                    <w:top w:val="none" w:sz="0" w:space="0" w:color="auto"/>
                    <w:left w:val="none" w:sz="0" w:space="0" w:color="auto"/>
                    <w:bottom w:val="none" w:sz="0" w:space="0" w:color="auto"/>
                    <w:right w:val="none" w:sz="0" w:space="0" w:color="auto"/>
                  </w:divBdr>
                </w:div>
              </w:divsChild>
            </w:div>
          </w:divsChild>
        </w:div>
        <w:div w:id="1707680505">
          <w:marLeft w:val="0"/>
          <w:marRight w:val="0"/>
          <w:marTop w:val="0"/>
          <w:marBottom w:val="0"/>
          <w:divBdr>
            <w:top w:val="none" w:sz="0" w:space="0" w:color="auto"/>
            <w:left w:val="none" w:sz="0" w:space="0" w:color="auto"/>
            <w:bottom w:val="none" w:sz="0" w:space="0" w:color="auto"/>
            <w:right w:val="none" w:sz="0" w:space="0" w:color="auto"/>
          </w:divBdr>
        </w:div>
        <w:div w:id="474177320">
          <w:marLeft w:val="0"/>
          <w:marRight w:val="0"/>
          <w:marTop w:val="405"/>
          <w:marBottom w:val="0"/>
          <w:divBdr>
            <w:top w:val="none" w:sz="0" w:space="0" w:color="auto"/>
            <w:left w:val="none" w:sz="0" w:space="0" w:color="auto"/>
            <w:bottom w:val="none" w:sz="0" w:space="0" w:color="auto"/>
            <w:right w:val="none" w:sz="0" w:space="0" w:color="auto"/>
          </w:divBdr>
          <w:divsChild>
            <w:div w:id="7929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8244">
      <w:bodyDiv w:val="1"/>
      <w:marLeft w:val="0"/>
      <w:marRight w:val="0"/>
      <w:marTop w:val="0"/>
      <w:marBottom w:val="0"/>
      <w:divBdr>
        <w:top w:val="none" w:sz="0" w:space="0" w:color="auto"/>
        <w:left w:val="none" w:sz="0" w:space="0" w:color="auto"/>
        <w:bottom w:val="none" w:sz="0" w:space="0" w:color="auto"/>
        <w:right w:val="none" w:sz="0" w:space="0" w:color="auto"/>
      </w:divBdr>
    </w:div>
    <w:div w:id="19473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Waters</dc:creator>
  <cp:keywords/>
  <dc:description/>
  <cp:lastModifiedBy>Steve Waters</cp:lastModifiedBy>
  <cp:revision>11</cp:revision>
  <dcterms:created xsi:type="dcterms:W3CDTF">2019-05-13T06:21:00Z</dcterms:created>
  <dcterms:modified xsi:type="dcterms:W3CDTF">2019-09-10T18:42:00Z</dcterms:modified>
</cp:coreProperties>
</file>