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9F" w:rsidRDefault="00D10AAC" w:rsidP="009A5A69">
      <w:pPr>
        <w:rPr>
          <w:rFonts w:ascii="Constantia" w:hAnsi="Constantia"/>
        </w:rPr>
      </w:pPr>
      <w:r>
        <w:rPr>
          <w:rFonts w:ascii="Constantia" w:hAnsi="Constantia"/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04060" cy="18294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20115-WA0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  <w:r w:rsidR="000F3BC6" w:rsidRPr="003A2305">
        <w:rPr>
          <w:rFonts w:ascii="Constantia" w:hAnsi="Constantia"/>
        </w:rPr>
        <w:tab/>
      </w:r>
    </w:p>
    <w:p w:rsidR="0015659F" w:rsidRDefault="0015659F" w:rsidP="009A5A69">
      <w:pPr>
        <w:rPr>
          <w:rFonts w:ascii="Constantia" w:hAnsi="Constantia"/>
        </w:rPr>
      </w:pPr>
    </w:p>
    <w:p w:rsidR="0015659F" w:rsidRDefault="0015659F" w:rsidP="009A5A69">
      <w:pPr>
        <w:rPr>
          <w:rFonts w:ascii="Constantia" w:hAnsi="Constantia"/>
        </w:rPr>
      </w:pPr>
    </w:p>
    <w:p w:rsidR="0015659F" w:rsidRDefault="0015659F" w:rsidP="009A5A69">
      <w:pPr>
        <w:rPr>
          <w:rFonts w:ascii="Constantia" w:hAnsi="Constantia"/>
        </w:rPr>
      </w:pPr>
    </w:p>
    <w:p w:rsidR="00D10AAC" w:rsidRDefault="00D10AAC" w:rsidP="009A5A69">
      <w:pPr>
        <w:rPr>
          <w:rFonts w:ascii="Constantia" w:hAnsi="Constantia"/>
        </w:rPr>
      </w:pPr>
    </w:p>
    <w:p w:rsidR="00D10AAC" w:rsidRDefault="00D10AAC" w:rsidP="009A5A69">
      <w:pPr>
        <w:rPr>
          <w:rFonts w:ascii="Constantia" w:hAnsi="Constantia"/>
        </w:rPr>
      </w:pPr>
    </w:p>
    <w:p w:rsidR="00D10AAC" w:rsidRDefault="00D10AAC" w:rsidP="009A5A69">
      <w:pPr>
        <w:rPr>
          <w:rFonts w:ascii="Constantia" w:hAnsi="Constantia"/>
        </w:rPr>
      </w:pPr>
    </w:p>
    <w:p w:rsidR="00D10AAC" w:rsidRDefault="00D10AAC" w:rsidP="009A5A69">
      <w:pPr>
        <w:rPr>
          <w:rFonts w:ascii="Constantia" w:hAnsi="Constantia"/>
        </w:rPr>
      </w:pPr>
    </w:p>
    <w:p w:rsidR="00D10AAC" w:rsidRPr="00E00889" w:rsidRDefault="00D10AAC" w:rsidP="00D10AA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</w:t>
      </w:r>
      <w:bookmarkStart w:id="0" w:name="_GoBack"/>
      <w:bookmarkEnd w:id="0"/>
      <w:r w:rsidRPr="00E00889">
        <w:rPr>
          <w:rFonts w:ascii="Constantia" w:hAnsi="Constantia"/>
          <w:sz w:val="24"/>
          <w:szCs w:val="24"/>
        </w:rPr>
        <w:t>RESPONSES TO QUESTIONS BY SERVICE PROVIDER APPLICANTS</w:t>
      </w:r>
    </w:p>
    <w:p w:rsidR="00D10AAC" w:rsidRPr="00E00889" w:rsidRDefault="00D10AAC" w:rsidP="00D10AAC">
      <w:pPr>
        <w:rPr>
          <w:rFonts w:ascii="Constantia" w:hAnsi="Constant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QUESTION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RESPONSE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>Do applicants have to cover all 3 components of the TRADE approach, or can focus on Component 1 and 3 only?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 xml:space="preserve">All applicants will work within the specified scope of work for a particular value chain. The scope may cover all components but component one has the bigger scope. 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 xml:space="preserve">Do you have a breakdown of the anticipated minimum targets for each value chain per district or by </w:t>
            </w: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>lot?</w:t>
            </w: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 xml:space="preserve"> For example, for Legumes the minimum target is 22,410 farmers, and there are three lots (</w:t>
            </w: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>Kasungu</w:t>
            </w:r>
            <w:r>
              <w:rPr>
                <w:rFonts w:ascii="Constantia" w:hAnsi="Constantia"/>
                <w:sz w:val="24"/>
                <w:szCs w:val="24"/>
                <w:lang w:val="en-IE"/>
              </w:rPr>
              <w:t>+</w:t>
            </w: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 xml:space="preserve"> Ntchisi</w:t>
            </w: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 xml:space="preserve">; Lilongwe+Dedza; Mchinji) - do you have minimum targets for each lot/district. 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The numbers provided cover the entire area covered by a particular value chain. The information being requested will be made available at proposal stage.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 xml:space="preserve">Do applicants for Legumes and Oilseeds need to cover both Legumes and Sunflower value chains, or can apply for one only. 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The legumes (Soybean and Groundnuts) are going together with sunflower in the areas where the programme is promoting sunflower.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Style w:val="ui-provider"/>
                <w:rFonts w:ascii="Constantia" w:hAnsi="Constantia"/>
                <w:sz w:val="24"/>
                <w:szCs w:val="24"/>
              </w:rPr>
            </w:pP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>Are applicants expected to cover all EPA and Districts noted in each lot, or can apply for a more focused geographic coverage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Applicants will be required to work in all EPAs under TRADE programme in the districts under a particular lot</w:t>
            </w:r>
            <w:r>
              <w:rPr>
                <w:rFonts w:ascii="Constantia" w:hAnsi="Constantia"/>
                <w:sz w:val="24"/>
                <w:szCs w:val="24"/>
              </w:rPr>
              <w:t>.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 xml:space="preserve">Which evaluation criteria are used - there are different criteria listed in the Terms of Reference compared to the EOI template. 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Both are important at different stages. For the EOI stage, the one in EOI form will take lead whilst the one in TORs will take lead at proposal stage.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lastRenderedPageBreak/>
              <w:t xml:space="preserve">Do we submit electronically or hard copies, or both – the </w:t>
            </w: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>newspaper</w:t>
            </w: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 xml:space="preserve"> add indicated hard copy, while the PDF request for EOI indicates electronic. 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Applicants are encouraged to submit through hard copies. However Soft copy submissions will still be accepted.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>Lead organisations may only be awarded one lot - but can sub-grantees participate in more than one successful lot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 xml:space="preserve">If the applicant would like to go the consortium way, the lead and co-applicant </w:t>
            </w:r>
            <w:r>
              <w:rPr>
                <w:rFonts w:ascii="Constantia" w:hAnsi="Constantia"/>
                <w:sz w:val="24"/>
                <w:szCs w:val="24"/>
              </w:rPr>
              <w:t>can only be awarded one lot. a</w:t>
            </w:r>
            <w:r w:rsidRPr="00E00889">
              <w:rPr>
                <w:rFonts w:ascii="Constantia" w:hAnsi="Constantia"/>
                <w:sz w:val="24"/>
                <w:szCs w:val="24"/>
              </w:rPr>
              <w:t xml:space="preserve"> co</w:t>
            </w:r>
            <w:r>
              <w:rPr>
                <w:rFonts w:ascii="Constantia" w:hAnsi="Constantia"/>
                <w:sz w:val="24"/>
                <w:szCs w:val="24"/>
              </w:rPr>
              <w:t>-applicant can only participate in</w:t>
            </w:r>
            <w:r w:rsidRPr="00E00889">
              <w:rPr>
                <w:rFonts w:ascii="Constantia" w:hAnsi="Constantia"/>
                <w:sz w:val="24"/>
                <w:szCs w:val="24"/>
              </w:rPr>
              <w:t xml:space="preserve"> one consortium.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>May Lead organisations apply for more than one lot, or should apply just one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Applicant can apply for up to a maximum of 3 lots but can only be awarded one lot upon being successful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Style w:val="ui-provider"/>
                <w:rFonts w:ascii="Constantia" w:hAnsi="Constantia"/>
                <w:sz w:val="24"/>
                <w:szCs w:val="24"/>
                <w:lang w:val="en-IE"/>
              </w:rPr>
              <w:t>Will TRADE make only one award per lot?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TRADE will award only one applicant per lot</w:t>
            </w:r>
          </w:p>
        </w:tc>
      </w:tr>
      <w:tr w:rsidR="00D10AAC" w:rsidRPr="00E00889" w:rsidTr="003C2663"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  <w:lang w:val="en-IE"/>
              </w:rPr>
            </w:pPr>
            <w:r w:rsidRPr="00E00889">
              <w:rPr>
                <w:rFonts w:ascii="Constantia" w:hAnsi="Constantia"/>
                <w:sz w:val="24"/>
                <w:szCs w:val="24"/>
                <w:lang w:val="en-IE"/>
              </w:rPr>
              <w:t>Page 5, of the EOI application form states that “Key staff CVs are not required at shortlisting stage”. However, on page 7, CVs for 5 key staff are listed as one of the required attachments and , later in the document, 30 points are allocated to qualifications and experience of key experts. Please clarify if CVs of proposed team members are required at this stage</w:t>
            </w:r>
          </w:p>
        </w:tc>
        <w:tc>
          <w:tcPr>
            <w:tcW w:w="4675" w:type="dxa"/>
          </w:tcPr>
          <w:p w:rsidR="00D10AAC" w:rsidRPr="00E00889" w:rsidRDefault="00D10AAC" w:rsidP="003C2663">
            <w:pPr>
              <w:rPr>
                <w:rFonts w:ascii="Constantia" w:hAnsi="Constantia"/>
                <w:sz w:val="24"/>
                <w:szCs w:val="24"/>
              </w:rPr>
            </w:pPr>
            <w:r w:rsidRPr="00E00889">
              <w:rPr>
                <w:rFonts w:ascii="Constantia" w:hAnsi="Constantia"/>
                <w:sz w:val="24"/>
                <w:szCs w:val="24"/>
              </w:rPr>
              <w:t>Submission of CVs for key staff is non optional requirement.</w:t>
            </w:r>
          </w:p>
        </w:tc>
      </w:tr>
    </w:tbl>
    <w:p w:rsidR="00D10AAC" w:rsidRPr="00E00889" w:rsidRDefault="00D10AAC" w:rsidP="00D10AAC">
      <w:pPr>
        <w:rPr>
          <w:rFonts w:ascii="Constantia" w:hAnsi="Constantia"/>
          <w:sz w:val="24"/>
          <w:szCs w:val="24"/>
        </w:rPr>
      </w:pPr>
    </w:p>
    <w:p w:rsidR="00D10AAC" w:rsidRDefault="00D10AAC" w:rsidP="009A5A69">
      <w:pPr>
        <w:rPr>
          <w:rFonts w:ascii="Constantia" w:hAnsi="Constantia"/>
        </w:rPr>
      </w:pPr>
    </w:p>
    <w:sectPr w:rsidR="00D10AAC" w:rsidSect="000F3BC6">
      <w:footerReference w:type="default" r:id="rId8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1BF" w:rsidRDefault="005241BF" w:rsidP="000F3BC6">
      <w:pPr>
        <w:spacing w:after="0" w:line="240" w:lineRule="auto"/>
      </w:pPr>
      <w:r>
        <w:separator/>
      </w:r>
    </w:p>
  </w:endnote>
  <w:endnote w:type="continuationSeparator" w:id="0">
    <w:p w:rsidR="005241BF" w:rsidRDefault="005241BF" w:rsidP="000F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C6" w:rsidRDefault="000F3BC6">
    <w:pPr>
      <w:pStyle w:val="Footer"/>
    </w:pPr>
    <w:r>
      <w:rPr>
        <w:noProof/>
        <w:lang w:eastAsia="en-CA"/>
      </w:rPr>
      <w:drawing>
        <wp:inline distT="0" distB="0" distL="0" distR="0">
          <wp:extent cx="5943600" cy="895971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ADE Letterhead_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5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1BF" w:rsidRDefault="005241BF" w:rsidP="000F3BC6">
      <w:pPr>
        <w:spacing w:after="0" w:line="240" w:lineRule="auto"/>
      </w:pPr>
      <w:r>
        <w:separator/>
      </w:r>
    </w:p>
  </w:footnote>
  <w:footnote w:type="continuationSeparator" w:id="0">
    <w:p w:rsidR="005241BF" w:rsidRDefault="005241BF" w:rsidP="000F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3167E"/>
    <w:multiLevelType w:val="hybridMultilevel"/>
    <w:tmpl w:val="A78C3A5E"/>
    <w:lvl w:ilvl="0" w:tplc="0409000F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C6"/>
    <w:rsid w:val="00006780"/>
    <w:rsid w:val="0004741C"/>
    <w:rsid w:val="00052364"/>
    <w:rsid w:val="00071D24"/>
    <w:rsid w:val="00095CA8"/>
    <w:rsid w:val="000A22E5"/>
    <w:rsid w:val="000D08D1"/>
    <w:rsid w:val="000F3280"/>
    <w:rsid w:val="000F3BC6"/>
    <w:rsid w:val="00111547"/>
    <w:rsid w:val="00115F0A"/>
    <w:rsid w:val="0015659F"/>
    <w:rsid w:val="001E5B34"/>
    <w:rsid w:val="002415B7"/>
    <w:rsid w:val="00256780"/>
    <w:rsid w:val="002744E3"/>
    <w:rsid w:val="002A4906"/>
    <w:rsid w:val="003101B0"/>
    <w:rsid w:val="003163B1"/>
    <w:rsid w:val="003A2305"/>
    <w:rsid w:val="003B7905"/>
    <w:rsid w:val="003D6B94"/>
    <w:rsid w:val="003F2E38"/>
    <w:rsid w:val="004918D7"/>
    <w:rsid w:val="004D2F0A"/>
    <w:rsid w:val="004E0E93"/>
    <w:rsid w:val="005241BF"/>
    <w:rsid w:val="00537FEF"/>
    <w:rsid w:val="0057181E"/>
    <w:rsid w:val="005B60F0"/>
    <w:rsid w:val="005F7EF7"/>
    <w:rsid w:val="006163A4"/>
    <w:rsid w:val="00673EDC"/>
    <w:rsid w:val="007270AA"/>
    <w:rsid w:val="0075737E"/>
    <w:rsid w:val="007661AE"/>
    <w:rsid w:val="00781218"/>
    <w:rsid w:val="007840CB"/>
    <w:rsid w:val="007A3A07"/>
    <w:rsid w:val="007B195D"/>
    <w:rsid w:val="0090310B"/>
    <w:rsid w:val="00917CAD"/>
    <w:rsid w:val="009A5A69"/>
    <w:rsid w:val="009D180E"/>
    <w:rsid w:val="009E62AB"/>
    <w:rsid w:val="00A12069"/>
    <w:rsid w:val="00A546DB"/>
    <w:rsid w:val="00A64BD3"/>
    <w:rsid w:val="00A862A2"/>
    <w:rsid w:val="00B1029F"/>
    <w:rsid w:val="00B57C56"/>
    <w:rsid w:val="00B638AC"/>
    <w:rsid w:val="00B7775D"/>
    <w:rsid w:val="00BE0485"/>
    <w:rsid w:val="00C271A3"/>
    <w:rsid w:val="00C30F26"/>
    <w:rsid w:val="00C53A5D"/>
    <w:rsid w:val="00C63056"/>
    <w:rsid w:val="00C72277"/>
    <w:rsid w:val="00C9486A"/>
    <w:rsid w:val="00CA001B"/>
    <w:rsid w:val="00CA5E9C"/>
    <w:rsid w:val="00CB42D9"/>
    <w:rsid w:val="00CE11E6"/>
    <w:rsid w:val="00CE2EEF"/>
    <w:rsid w:val="00CF1CC5"/>
    <w:rsid w:val="00D04EB0"/>
    <w:rsid w:val="00D10AAC"/>
    <w:rsid w:val="00D20E07"/>
    <w:rsid w:val="00D460A1"/>
    <w:rsid w:val="00D467FD"/>
    <w:rsid w:val="00D70BD1"/>
    <w:rsid w:val="00E17052"/>
    <w:rsid w:val="00E204C5"/>
    <w:rsid w:val="00E77622"/>
    <w:rsid w:val="00E83595"/>
    <w:rsid w:val="00F97BE8"/>
    <w:rsid w:val="00FD0EC0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E2399"/>
  <w15:chartTrackingRefBased/>
  <w15:docId w15:val="{92721127-41FF-4C62-AED2-E89B682C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C6"/>
  </w:style>
  <w:style w:type="paragraph" w:styleId="Footer">
    <w:name w:val="footer"/>
    <w:basedOn w:val="Normal"/>
    <w:link w:val="FooterChar"/>
    <w:uiPriority w:val="99"/>
    <w:unhideWhenUsed/>
    <w:rsid w:val="000F3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C6"/>
  </w:style>
  <w:style w:type="table" w:styleId="TableGrid">
    <w:name w:val="Table Grid"/>
    <w:basedOn w:val="TableNormal"/>
    <w:uiPriority w:val="39"/>
    <w:rsid w:val="00A862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D1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Nahuwo</dc:creator>
  <cp:keywords/>
  <dc:description/>
  <cp:lastModifiedBy>USER</cp:lastModifiedBy>
  <cp:revision>2</cp:revision>
  <dcterms:created xsi:type="dcterms:W3CDTF">2023-11-07T13:34:00Z</dcterms:created>
  <dcterms:modified xsi:type="dcterms:W3CDTF">2023-11-07T13:34:00Z</dcterms:modified>
</cp:coreProperties>
</file>