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4E" w:rsidRDefault="004936EB">
      <w:pPr>
        <w:pStyle w:val="Standard"/>
        <w:spacing w:after="0" w:line="331" w:lineRule="auto"/>
        <w:ind w:left="915" w:right="0" w:firstLine="87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724680</wp:posOffset>
            </wp:positionH>
            <wp:positionV relativeFrom="page">
              <wp:posOffset>0</wp:posOffset>
            </wp:positionV>
            <wp:extent cx="927359" cy="1047239"/>
            <wp:effectExtent l="0" t="0" r="6091" b="511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359" cy="10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4928400</wp:posOffset>
            </wp:positionH>
            <wp:positionV relativeFrom="page">
              <wp:posOffset>481320</wp:posOffset>
            </wp:positionV>
            <wp:extent cx="1394280" cy="449280"/>
            <wp:effectExtent l="0" t="0" r="0" b="7920"/>
            <wp:wrapSquare wrapText="bothSides"/>
            <wp:docPr id="2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280" cy="4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80640</wp:posOffset>
            </wp:positionH>
            <wp:positionV relativeFrom="page">
              <wp:posOffset>390600</wp:posOffset>
            </wp:positionV>
            <wp:extent cx="467640" cy="520199"/>
            <wp:effectExtent l="0" t="0" r="8610" b="0"/>
            <wp:wrapSquare wrapText="bothSides"/>
            <wp:docPr id="3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40" cy="5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-95021</wp:posOffset>
            </wp:positionH>
            <wp:positionV relativeFrom="page">
              <wp:posOffset>221613</wp:posOffset>
            </wp:positionV>
            <wp:extent cx="894240" cy="383040"/>
            <wp:effectExtent l="38100" t="114300" r="39210" b="112260"/>
            <wp:wrapSquare wrapText="bothSides"/>
            <wp:docPr id="4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860400">
                      <a:off x="0" y="0"/>
                      <a:ext cx="894240" cy="3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26999" cy="1047239"/>
            <wp:effectExtent l="0" t="0" r="6451" b="511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999" cy="1047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3919" cy="448919"/>
            <wp:effectExtent l="0" t="0" r="0" b="8281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919" cy="448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280" cy="520199"/>
            <wp:effectExtent l="0" t="0" r="897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80" cy="520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80"/>
          <w:sz w:val="40"/>
        </w:rPr>
        <w:t xml:space="preserve">Krajowa Sekcja  </w:t>
      </w:r>
      <w:r>
        <w:rPr>
          <w:rFonts w:ascii="Arial" w:eastAsia="Arial" w:hAnsi="Arial" w:cs="Arial"/>
          <w:b/>
          <w:color w:val="000080"/>
          <w:sz w:val="28"/>
        </w:rPr>
        <w:t xml:space="preserve">NSZZ </w:t>
      </w:r>
      <w:r>
        <w:rPr>
          <w:rFonts w:ascii="Arial" w:eastAsia="Arial" w:hAnsi="Arial" w:cs="Arial"/>
          <w:b/>
          <w:color w:val="000080"/>
          <w:sz w:val="48"/>
        </w:rPr>
        <w:t xml:space="preserve"> </w:t>
      </w:r>
      <w:r>
        <w:rPr>
          <w:rFonts w:ascii="Arial" w:eastAsia="Arial" w:hAnsi="Arial" w:cs="Arial"/>
          <w:b/>
          <w:color w:val="000080"/>
          <w:sz w:val="40"/>
        </w:rPr>
        <w:t>Oświaty i Wychowania</w:t>
      </w:r>
      <w:r>
        <w:rPr>
          <w:rFonts w:ascii="Arial" w:eastAsia="Arial" w:hAnsi="Arial" w:cs="Arial"/>
          <w:b/>
          <w:sz w:val="48"/>
        </w:rPr>
        <w:t xml:space="preserve"> </w:t>
      </w:r>
      <w:r>
        <w:t xml:space="preserve"> </w:t>
      </w:r>
    </w:p>
    <w:p w:rsidR="00EC054E" w:rsidRDefault="004936EB">
      <w:pPr>
        <w:pStyle w:val="Standard"/>
        <w:spacing w:after="0" w:line="259" w:lineRule="auto"/>
        <w:ind w:left="-101" w:right="0" w:firstLine="0"/>
        <w:jc w:val="left"/>
      </w:pPr>
      <w:r>
        <w:rPr>
          <w:rFonts w:ascii="Arial" w:eastAsia="Arial" w:hAnsi="Arial" w:cs="Arial"/>
          <w:color w:val="0000FF"/>
          <w:sz w:val="18"/>
        </w:rPr>
        <w:t xml:space="preserve"> </w:t>
      </w:r>
      <w:r>
        <w:rPr>
          <w:rFonts w:ascii="Arial" w:eastAsia="Arial" w:hAnsi="Arial" w:cs="Arial"/>
          <w:b/>
          <w:color w:val="0000FF"/>
          <w:sz w:val="18"/>
        </w:rPr>
        <w:t xml:space="preserve"> </w:t>
      </w:r>
      <w:r>
        <w:rPr>
          <w:rFonts w:ascii="Arial" w:eastAsia="Arial" w:hAnsi="Arial" w:cs="Arial"/>
          <w:b/>
          <w:color w:val="0033CC"/>
          <w:sz w:val="18"/>
        </w:rPr>
        <w:t>Afiliant</w:t>
      </w:r>
      <w:r>
        <w:rPr>
          <w:color w:val="000080"/>
        </w:rPr>
        <w:t xml:space="preserve">         </w:t>
      </w:r>
      <w:r>
        <w:rPr>
          <w:rFonts w:ascii="Arial" w:eastAsia="Arial" w:hAnsi="Arial" w:cs="Arial"/>
          <w:color w:val="000080"/>
          <w:sz w:val="18"/>
        </w:rPr>
        <w:t>80-855 Gdańsk, ul. Wały Piastowskie 24, tel.(58)308 44 59, 308 42 78, 308 42 86, fax (58)  308 42 77</w:t>
      </w:r>
    </w:p>
    <w:p w:rsidR="00EC054E" w:rsidRDefault="004936EB">
      <w:pPr>
        <w:pStyle w:val="Standard"/>
        <w:tabs>
          <w:tab w:val="center" w:pos="3838"/>
          <w:tab w:val="center" w:pos="4546"/>
          <w:tab w:val="center" w:pos="5254"/>
          <w:tab w:val="center" w:pos="5963"/>
          <w:tab w:val="center" w:pos="7926"/>
        </w:tabs>
        <w:spacing w:after="108" w:line="259" w:lineRule="auto"/>
        <w:ind w:left="-101" w:right="0" w:firstLine="0"/>
        <w:jc w:val="left"/>
      </w:pPr>
      <w:r>
        <w:rPr>
          <w:rFonts w:ascii="Arial" w:eastAsia="Arial" w:hAnsi="Arial" w:cs="Arial"/>
          <w:color w:val="000080"/>
          <w:sz w:val="18"/>
        </w:rPr>
        <w:t xml:space="preserve">                        </w:t>
      </w:r>
      <w:r>
        <w:rPr>
          <w:rFonts w:ascii="Arial" w:eastAsia="Arial" w:hAnsi="Arial" w:cs="Arial"/>
          <w:color w:val="0000FF"/>
          <w:sz w:val="18"/>
          <w:u w:val="single" w:color="000000"/>
        </w:rPr>
        <w:t>edukacja@solidarnosc.org.pl</w:t>
      </w:r>
      <w:r>
        <w:rPr>
          <w:rFonts w:ascii="Arial" w:eastAsia="Arial" w:hAnsi="Arial" w:cs="Arial"/>
          <w:color w:val="000080"/>
          <w:sz w:val="18"/>
        </w:rPr>
        <w:t xml:space="preserve">       </w:t>
      </w:r>
      <w:r>
        <w:rPr>
          <w:rFonts w:ascii="Arial" w:eastAsia="Arial" w:hAnsi="Arial" w:cs="Arial"/>
          <w:color w:val="000080"/>
          <w:sz w:val="18"/>
        </w:rPr>
        <w:tab/>
        <w:t xml:space="preserve"> </w:t>
      </w:r>
      <w:r>
        <w:rPr>
          <w:rFonts w:ascii="Arial" w:eastAsia="Arial" w:hAnsi="Arial" w:cs="Arial"/>
          <w:color w:val="000080"/>
          <w:sz w:val="18"/>
        </w:rPr>
        <w:tab/>
        <w:t xml:space="preserve"> </w:t>
      </w:r>
      <w:r>
        <w:rPr>
          <w:rFonts w:ascii="Arial" w:eastAsia="Arial" w:hAnsi="Arial" w:cs="Arial"/>
          <w:color w:val="000080"/>
          <w:sz w:val="18"/>
        </w:rPr>
        <w:tab/>
        <w:t xml:space="preserve"> </w:t>
      </w:r>
      <w:r>
        <w:rPr>
          <w:rFonts w:ascii="Arial" w:eastAsia="Arial" w:hAnsi="Arial" w:cs="Arial"/>
          <w:color w:val="000080"/>
          <w:sz w:val="18"/>
        </w:rPr>
        <w:tab/>
        <w:t xml:space="preserve"> </w:t>
      </w:r>
      <w:r>
        <w:rPr>
          <w:rFonts w:ascii="Arial" w:eastAsia="Arial" w:hAnsi="Arial" w:cs="Arial"/>
          <w:color w:val="000080"/>
          <w:sz w:val="18"/>
        </w:rPr>
        <w:tab/>
      </w:r>
      <w:hyperlink r:id="rId11" w:history="1">
        <w:r>
          <w:rPr>
            <w:rFonts w:ascii="Arial" w:eastAsia="Arial" w:hAnsi="Arial" w:cs="Arial"/>
            <w:color w:val="0000FF"/>
            <w:sz w:val="18"/>
            <w:u w:val="single" w:color="000000"/>
          </w:rPr>
          <w:t>www.solida</w:t>
        </w:r>
        <w:r>
          <w:rPr>
            <w:rFonts w:ascii="Arial" w:eastAsia="Arial" w:hAnsi="Arial" w:cs="Arial"/>
            <w:color w:val="0000FF"/>
            <w:sz w:val="18"/>
            <w:u w:val="single" w:color="000000"/>
          </w:rPr>
          <w:t>rnosc.org.pl/oswiata</w:t>
        </w:r>
      </w:hyperlink>
      <w:hyperlink r:id="rId12" w:history="1">
        <w:r>
          <w:rPr>
            <w:rFonts w:ascii="Arial" w:eastAsia="Arial" w:hAnsi="Arial" w:cs="Arial"/>
            <w:color w:val="000080"/>
            <w:sz w:val="18"/>
          </w:rPr>
          <w:t xml:space="preserve"> </w:t>
        </w:r>
      </w:hyperlink>
    </w:p>
    <w:p w:rsidR="00EC054E" w:rsidRDefault="004936EB">
      <w:pPr>
        <w:pStyle w:val="Standard"/>
        <w:spacing w:after="0" w:line="259" w:lineRule="auto"/>
        <w:ind w:left="0" w:right="6" w:firstLine="0"/>
        <w:jc w:val="right"/>
      </w:pPr>
      <w:r>
        <w:rPr>
          <w:sz w:val="26"/>
        </w:rPr>
        <w:t>Gdańsk, 23 grudnia 2015 r.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sz w:val="26"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sz w:val="26"/>
        </w:rPr>
        <w:t>L.dz. KSOiW/238/2015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18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26" w:line="259" w:lineRule="auto"/>
        <w:ind w:left="399" w:right="0" w:firstLine="0"/>
        <w:jc w:val="left"/>
      </w:pPr>
      <w:r>
        <w:rPr>
          <w:i/>
          <w:sz w:val="26"/>
        </w:rPr>
        <w:t xml:space="preserve">Pan </w:t>
      </w:r>
      <w:r>
        <w:rPr>
          <w:b/>
          <w:i/>
          <w:sz w:val="26"/>
        </w:rPr>
        <w:t>Rafał Grupiński</w:t>
      </w:r>
    </w:p>
    <w:p w:rsidR="00EC054E" w:rsidRDefault="004936EB">
      <w:pPr>
        <w:pStyle w:val="Standard"/>
        <w:spacing w:after="0" w:line="259" w:lineRule="auto"/>
        <w:ind w:left="394" w:right="0"/>
        <w:jc w:val="left"/>
      </w:pPr>
      <w:r>
        <w:rPr>
          <w:i/>
          <w:sz w:val="26"/>
        </w:rPr>
        <w:t>Przewodniczący Komisji Edukacji, Nauki i Młodzieży</w:t>
      </w:r>
    </w:p>
    <w:p w:rsidR="00EC054E" w:rsidRDefault="004936EB">
      <w:pPr>
        <w:pStyle w:val="Standard"/>
        <w:spacing w:after="0" w:line="259" w:lineRule="auto"/>
        <w:ind w:left="394" w:right="0"/>
        <w:jc w:val="left"/>
      </w:pPr>
      <w:r>
        <w:rPr>
          <w:i/>
          <w:sz w:val="26"/>
        </w:rPr>
        <w:t>Sejm RP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sz w:val="26"/>
        </w:rPr>
        <w:t xml:space="preserve"> </w:t>
      </w:r>
    </w:p>
    <w:p w:rsidR="00EC054E" w:rsidRDefault="004936EB">
      <w:pPr>
        <w:pStyle w:val="Nagwek1"/>
      </w:pPr>
      <w:r>
        <w:t>Opinia</w:t>
      </w:r>
    </w:p>
    <w:p w:rsidR="00EC054E" w:rsidRDefault="004936EB">
      <w:pPr>
        <w:pStyle w:val="Standard"/>
        <w:spacing w:after="0" w:line="261" w:lineRule="auto"/>
        <w:ind w:left="521" w:right="130" w:firstLine="0"/>
        <w:jc w:val="center"/>
      </w:pPr>
      <w:r>
        <w:rPr>
          <w:b/>
          <w:i/>
        </w:rPr>
        <w:t xml:space="preserve">Krajowej Sekcji Oświaty i </w:t>
      </w:r>
      <w:r>
        <w:rPr>
          <w:b/>
          <w:i/>
        </w:rPr>
        <w:t>Wychowania NSZZ „Solidarność” do projektu ustawy o zmianie ustawy o systemie oświaty oraz niektórych innych ustaw z dnia 9 grudnia 2015 r.  – druk nr 106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t xml:space="preserve"> </w:t>
      </w:r>
    </w:p>
    <w:p w:rsidR="00EC054E" w:rsidRDefault="004936EB">
      <w:pPr>
        <w:pStyle w:val="Standard"/>
        <w:ind w:left="384" w:right="0" w:firstLine="720"/>
      </w:pPr>
      <w:r>
        <w:t>Krajowa Sekcja Oświaty i Wychowania NSZZ „Solidarność” pozytywnie opiniuje większość zmian w projek</w:t>
      </w:r>
      <w:r>
        <w:t>towanej ustawie. Przede wszystkim na aprobatę zasługuje przywrócenie obowiązku szkolnego dziecka od 7 roku życia przy przyjęciu w art. 14 ust. 1 ustawy o systemie oświaty w brzmieniu nadanym w projekcie ustawy zmieniającej, że wychowanie przedszkolne obejm</w:t>
      </w:r>
      <w:r>
        <w:t>uje dzieci od początku roku szkolnego w roku kalendarzowym, w którym dziecko kończy 3 lata do końca roku szkolnego, w którym dziecko kończy 7 lat. Podobnie pozytywnie opiniujemy związane z tym:</w:t>
      </w:r>
    </w:p>
    <w:p w:rsidR="00EC054E" w:rsidRDefault="004936EB">
      <w:pPr>
        <w:pStyle w:val="Standard"/>
        <w:numPr>
          <w:ilvl w:val="0"/>
          <w:numId w:val="3"/>
        </w:numPr>
        <w:ind w:left="409" w:right="0" w:hanging="10"/>
      </w:pPr>
      <w:r>
        <w:t>prawo dziecka w wieku od 3 do 5 roku życia do korzystania z w</w:t>
      </w:r>
      <w:r>
        <w:t>ychowania przedszkolnego;</w:t>
      </w:r>
    </w:p>
    <w:p w:rsidR="00EC054E" w:rsidRDefault="004936EB">
      <w:pPr>
        <w:pStyle w:val="Standard"/>
        <w:numPr>
          <w:ilvl w:val="0"/>
          <w:numId w:val="1"/>
        </w:numPr>
        <w:ind w:left="409" w:right="0" w:hanging="10"/>
      </w:pPr>
      <w:r>
        <w:t>obowiązek odbycia rocznego przygotowania przedszkolnego w przedszkolu, oddziale przedszkolnym szkoły podstawowej lub innej formie wychowania przedszkolnego przez dziecko w wieku 6 lat;</w:t>
      </w:r>
    </w:p>
    <w:p w:rsidR="00EC054E" w:rsidRDefault="004936EB">
      <w:pPr>
        <w:pStyle w:val="Standard"/>
        <w:numPr>
          <w:ilvl w:val="0"/>
          <w:numId w:val="1"/>
        </w:numPr>
        <w:ind w:left="409" w:right="0" w:hanging="10"/>
      </w:pPr>
      <w:r>
        <w:t>prawo do rozpoczęcia edukacji szkolnej od 6</w:t>
      </w:r>
      <w:r>
        <w:t xml:space="preserve"> roku życia na wniosek rodziców przy spełnieniu warunków wskazanych w projektowanej ustawie.</w:t>
      </w:r>
    </w:p>
    <w:p w:rsidR="00EC054E" w:rsidRDefault="004936EB">
      <w:pPr>
        <w:pStyle w:val="Standard"/>
        <w:ind w:left="394" w:right="0"/>
      </w:pPr>
      <w:r>
        <w:t xml:space="preserve"> Za powyższymi rozwiązaniami opowiada się też większość środowiska nauczycielskiego, a także w większości opinia publiczna wyrażana w wielu sondażach, ostatnio ró</w:t>
      </w:r>
      <w:r>
        <w:t xml:space="preserve">wnież w debacie publicznej prowadzonej przy udziale przedstawicieli nauk  i środowisk pedagogicznych oraz </w:t>
      </w:r>
      <w:r>
        <w:lastRenderedPageBreak/>
        <w:t>rodziców w Telewizji Polskiej w dniu 16 grudnia 2015 r.,  w wyniku której ponad 73% uczestników i słuchaczy telewizyjnych wypowiedziało się za projekt</w:t>
      </w:r>
      <w:r>
        <w:t>owanymi w tym zakresie zmianami.</w:t>
      </w:r>
    </w:p>
    <w:p w:rsidR="00EC054E" w:rsidRDefault="004936EB">
      <w:pPr>
        <w:pStyle w:val="Standard"/>
        <w:ind w:left="394" w:right="0"/>
      </w:pPr>
      <w:r>
        <w:t xml:space="preserve"> Zdaniem KSOiW NSZZ „Solidarność” wątpliwości mogą się pojawić jedynie co do alternatywnych rozwiązań zamieszczonych w art. 7 ust. 4 i 5 w projekcie ustawy zmieniającej, dotyczących dzieci urodzonych w roku 2009, które zos</w:t>
      </w:r>
      <w:r>
        <w:t>tały już objęte obowiązkiem szkolnym  i w roku szkolnym 2015/2016 rozpoczęły naukę w klasie I szkoły podstawowej, które na wniosek rodziców będą miały kontynuować naukę w klasie I szkoły podstawowej w roku szkolnym 2016/2017, a w roku szkolnym 2015/2016 ni</w:t>
      </w:r>
      <w:r>
        <w:t>e będą klasyfikowane i promowane do klasy II, jak o tym stanowi art. 7 ust. 4 projektowanej ustawy.</w:t>
      </w:r>
    </w:p>
    <w:p w:rsidR="00EC054E" w:rsidRDefault="004936EB">
      <w:pPr>
        <w:pStyle w:val="Standard"/>
        <w:ind w:left="394" w:right="0"/>
      </w:pPr>
      <w:r>
        <w:t xml:space="preserve"> Wielu pedagogów, psychologów i specjalistów od nauczania wczesnoszkolnego zgłasza zastrzeżenia co do takiego rozwiązania, podnosząc, że będzie to stygmaty</w:t>
      </w:r>
      <w:r>
        <w:t xml:space="preserve">zowało, degradowało i zniechęcało dzieci na początku ich drogi edukacyjnej i co będzie miało negatywny wpływ na ich dalszy rozwój. W tej sytuacji wydaje się, że lepszym rozwiązaniem byłoby wprowadzenie jako jedynej propozycji – zamieszczonej w art. 7 ust. </w:t>
      </w:r>
      <w:r>
        <w:t>5 ustawy zmieniającej, przewidującej, że dziecko rodziców, którzy złożyli taki wniosek, zamiast kontynuowania nauki w I klasie szkoły podstawowej w pozostałej części roku szkolnego 2015/2016 mogłyby korzystać z różnych form wychowania przedszkolnego lub by</w:t>
      </w:r>
      <w:r>
        <w:t>ć przeniesione do oddziału przedszkolnego w szkole podstawowej, a następnie przystąpić do nauki w klasie I w roku szkolnym 2016/2017.  Jedynie w razie nieprzyjęcia dziecka do żadnej z form wychowania przedszkolnego lub do oddziału przedszkolnego w szkole p</w:t>
      </w:r>
      <w:r>
        <w:t xml:space="preserve">odstawowej z powodu braku miejsca, jako ostateczność pozostawałoby kontynuowanie nauki w I klasie szkoły podstawowej i następnie powtarzanie jej w roku szkolnym 2016/2017. Ustawa może jednak zobowiązać wójta, burmistrza lub prezydenta miasta do wyszukania </w:t>
      </w:r>
      <w:r>
        <w:t>miejsca dla ucznia klasy I, który do końca roku szkolnego 2015/2016 nie będzie kontynuować w niej nauki.</w:t>
      </w:r>
    </w:p>
    <w:p w:rsidR="00EC054E" w:rsidRDefault="004936EB">
      <w:pPr>
        <w:pStyle w:val="Standard"/>
        <w:ind w:left="394" w:right="0"/>
      </w:pPr>
      <w:r>
        <w:t xml:space="preserve"> Przy takim rozwiązaniu warunkiem jest jednak, aby nauczyciele klas pierwszych  z dziećmi, które przestaną uczęszczać do tej klasy w roku szkolnym 201</w:t>
      </w:r>
      <w:r>
        <w:t xml:space="preserve">5/2016 nie utracili pracy, co byłoby możliwe w dużych szkołach o licznych oddziałach z klasami pierwszymi przez utworzenie w nich dodatkowych oddziałów przedszkolnych. Natomiast w szkołach  o małej liczbie klas pierwszych odejście z nich uczniów 6-letnich </w:t>
      </w:r>
      <w:r>
        <w:t>nie powinno powodować utraty pracy nauczycieli klas pierwszych.</w:t>
      </w:r>
    </w:p>
    <w:p w:rsidR="00EC054E" w:rsidRDefault="004936EB">
      <w:pPr>
        <w:pStyle w:val="Standard"/>
        <w:ind w:left="394" w:right="0"/>
      </w:pPr>
      <w:r>
        <w:t xml:space="preserve"> Za pozytywną i potrzebną należy uznać zmianę art. 30 ust. 1 ustawy zmieniającej przez wprowadzenie postanowienia, że kuratora oświaty powołuje i odwołuje minister właściwy ds. oświaty i wych</w:t>
      </w:r>
      <w:r>
        <w:t>owania. Pozwoli to na przywrócenie prowadzenia polityki oświatowej przez państwo, od czego w ostatnich latach władze stopniowo odstępowały na rzecz samorządów terytorialnych i ich samowoli. Wymaga to jednak zmiany także w art. 31 ust. 1 oraz art. 32 ust. 3</w:t>
      </w:r>
      <w:r>
        <w:t xml:space="preserve"> w ustawie zmieniającej, co w przedłożonym projekcie zostało pominięte. Po zmianie art. 30 ust. 1, przewidzianej w projekcie, kurator oświaty nie będzie już wykonywał zadań w imieniu wojewody, jak o tym stanowi obecnie art. 31 ust. 1 ustawy zmienianej, lec</w:t>
      </w:r>
      <w:r>
        <w:t xml:space="preserve">z w imieniu ministra właściwego ds. oświaty i wychowania. Wojewoda nie będzie też tworzył delegatur kuratorium oświaty, co przewiduje obecnie art. 32 ust. 3, lecz będzie to zależało od samego kuratora oświaty lub nawet od ministra właściwego ds. oświaty i </w:t>
      </w:r>
      <w:r>
        <w:t>wychowania. Zmiany w tym zakresie będą wymagały także inne ustawy, m.in. Karta Nauczyciela w zakresie przepisów dotyczących postępowania dyscyplinarnego wobec nauczycieli.</w:t>
      </w:r>
    </w:p>
    <w:p w:rsidR="00EC054E" w:rsidRDefault="004936EB">
      <w:pPr>
        <w:pStyle w:val="Standard"/>
        <w:tabs>
          <w:tab w:val="center" w:pos="399"/>
          <w:tab w:val="center" w:pos="4174"/>
        </w:tabs>
        <w:spacing w:after="30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Zasługują na aprobatę także inne projektowane zmiany, a m.in.:</w:t>
      </w:r>
    </w:p>
    <w:p w:rsidR="00EC054E" w:rsidRDefault="004936EB">
      <w:pPr>
        <w:pStyle w:val="Standard"/>
        <w:numPr>
          <w:ilvl w:val="0"/>
          <w:numId w:val="4"/>
        </w:numPr>
        <w:spacing w:after="36"/>
        <w:ind w:left="409" w:right="0" w:hanging="348"/>
      </w:pPr>
      <w:r>
        <w:t>w art. 17 przewi</w:t>
      </w:r>
      <w:r>
        <w:t>dującej, że ustalenie planu sieci szkół publicznych prowadzonych przez gminę lub powiat wymaga pozytywnej opinii kuratora oświaty pod względem</w:t>
      </w:r>
    </w:p>
    <w:p w:rsidR="00EC054E" w:rsidRDefault="004936EB">
      <w:pPr>
        <w:pStyle w:val="Standard"/>
        <w:spacing w:after="252"/>
        <w:ind w:left="1129" w:right="0"/>
      </w:pPr>
      <w:r>
        <w:t>zgodności z warunkami określonymi w art. 17 ust. 1, 2 i 5;</w:t>
      </w:r>
    </w:p>
    <w:p w:rsidR="00EC054E" w:rsidRDefault="004936EB">
      <w:pPr>
        <w:pStyle w:val="Standard"/>
        <w:numPr>
          <w:ilvl w:val="0"/>
          <w:numId w:val="2"/>
        </w:numPr>
        <w:ind w:left="409" w:right="0" w:hanging="348"/>
      </w:pPr>
      <w:r>
        <w:t>w art. 31 ust. 1 ustawy zmienianej przez wprowadzeni</w:t>
      </w:r>
      <w:r>
        <w:t>e w dodanym punkcie 10a obowiązku opiniowania przez kuratora oświaty planów pracy publicznych placówek doskonalenia nauczycieli z przewidzianymi tam wyjątkami;</w:t>
      </w:r>
    </w:p>
    <w:p w:rsidR="00EC054E" w:rsidRDefault="004936EB">
      <w:pPr>
        <w:pStyle w:val="Standard"/>
        <w:spacing w:after="226"/>
        <w:ind w:left="384" w:right="0" w:firstLine="360"/>
      </w:pPr>
      <w:r>
        <w:t>Krajowa Sekcja postuluje też, aby kuratorowi oświaty przywrócić prawo opiniowania planów organi</w:t>
      </w:r>
      <w:r>
        <w:t>zacyjnych szkoły – arkuszy organizacyjnych z możliwością ich opiniowania przez związki zawodowe. W arkuszach tych są bowiem zamieszczane plany zatrudniania nauczycieli oraz przyznawania godzin ponadwymiarowych na poszczególne lata szkolne, co pozostaje w s</w:t>
      </w:r>
      <w:r>
        <w:t>ferze zadań i zainteresowania związków zawodowych.</w:t>
      </w:r>
    </w:p>
    <w:p w:rsidR="00EC054E" w:rsidRDefault="004936EB">
      <w:pPr>
        <w:pStyle w:val="Standard"/>
        <w:spacing w:after="231"/>
        <w:ind w:left="384" w:right="0" w:firstLine="360"/>
      </w:pPr>
      <w:r>
        <w:t xml:space="preserve">Bardzo ważne zmiany przewidziane są w art. 58 ust. 3 oraz w art. 59 ustawy zmienianej. Według projektowanego brzmienia art. 58 ust. 3 założenie szkoły publicznej przez osobę prawna lub fizyczną, inną niż </w:t>
      </w:r>
      <w:r>
        <w:t>jednostka samorządu terytorialnego, będzie wymagało uprzedniego wydania pozytywnej opinii kuratora oświaty. Taka regulacja będzie mogła skutecznie zapobiegać nielegalnej prywatyzacji szkół, do czego dążyły i próbowały realizować samorządy terytorialne, a c</w:t>
      </w:r>
      <w:r>
        <w:t>zemu przeciwstawiały się czynniki społeczne – organizacje pozarządowe i związki zawodowe, a także Rzecznik Praw Obywatelskich, m.in. w wystąpieniu do Ministra Edukacji Narodowej z dnia 17 lipca 2014 r.</w:t>
      </w:r>
    </w:p>
    <w:p w:rsidR="00EC054E" w:rsidRDefault="004936EB">
      <w:pPr>
        <w:pStyle w:val="Standard"/>
        <w:ind w:left="384" w:right="0" w:firstLine="708"/>
      </w:pPr>
      <w:r>
        <w:t>W tym zakresie NSZZ „Solidarność” oświaty przyczyniła</w:t>
      </w:r>
      <w:r>
        <w:t xml:space="preserve"> się do zatrzymania próby nowego modelu przekazania podmiotowi niepublicznemu przez Gminę Miasta Gdańska do prowadzenia szkoły publicznej w formie oddania w najem lokalu użytkowego z jednoczesnym przeznaczeniem go na prowadzenie publicznej szkoły podstawow</w:t>
      </w:r>
      <w:r>
        <w:t>ej z oddziałami przedszkolnymi. W wyniku naszego wystąpienia Wojewódzki Sąd Administracyjny  w Gdańsku w wyroku z dnia 21 października 2015 r. Sygn. akt II SA/Gd 416/15 potwierdził, że zarządzenie Prezydenta Miasta Gdańska o oddaniu w taki sposób do prowad</w:t>
      </w:r>
      <w:r>
        <w:t>zenia szkoły publicznej zostało wydane z rażącym naruszeniem wielu przepisów prawa i jest nieważne. Po uprawomocnieniu się tego wyroku, a jest rzeczą nieprawdopodobną, aby on się nie utrzymał  w wyniku skargi kasacyjnej organu prowadzącego, zostanie potwie</w:t>
      </w:r>
      <w:r>
        <w:t>rdzona w orzecznictwie sądowo-administracyjnym nie tylko zasada, że nie jest dopuszczalne przekazanie szkoły publicznej przez j.s.t. do prowadzenia osobie niepublicznej poza szkołą liczącą do 70 uczniów, o której mowa w art. 5 ust. 5g – 5r ustawy o systemi</w:t>
      </w:r>
      <w:r>
        <w:t>e oświaty, lecz także niedopuszczalne jest przekazanie takiej osobie samego tylko zadania własnego gminy w zakresie edukacji publicznej, o którym mowa w art. 7 ust. 1 pkt 8 i to obowiązkowego zadania własnego  w rozumieniu art. 7 ust. 2 ustawy o samorządzi</w:t>
      </w:r>
      <w:r>
        <w:t>e gminnym. Oznacza to jednocześnie, że osoby prawne lub osoby fizyczne inne niż j.s.t. nie mogą zastępować tych jednostek w wykonywaniu ich zadań własnych w zakresie edukacji publicznej i prowadzić szkół publicznych za te jednostki, lecz mogą zakładać i pr</w:t>
      </w:r>
      <w:r>
        <w:t>owadzić szkoły publiczne oprócz i obok j.s.t., jeżeli założenie takiej szkoły sprzyja poprawie warunków kształcenia lub korzystnie uzupełnia sieć szkół publicznych na danym terenie.</w:t>
      </w:r>
    </w:p>
    <w:p w:rsidR="00EC054E" w:rsidRDefault="004936EB">
      <w:pPr>
        <w:pStyle w:val="Standard"/>
        <w:spacing w:after="229"/>
        <w:ind w:left="384" w:right="0" w:firstLine="708"/>
      </w:pPr>
      <w:r>
        <w:t>W takiej sytuacji uzupełniony ustawą zmieniającą art. 58 ust. 3 ustawy zm</w:t>
      </w:r>
      <w:r>
        <w:t xml:space="preserve">ieniającej przyczyni się niewątpliwie do egzekwowania obowiązujących przepisów przy zakładaniu  i </w:t>
      </w:r>
      <w:r>
        <w:lastRenderedPageBreak/>
        <w:t>prowadzeniu szkół publicznych przez osoby niepubliczne i do zapobiegania nielegalnej prywatyzacji szkół.</w:t>
      </w:r>
    </w:p>
    <w:p w:rsidR="00EC054E" w:rsidRDefault="004936EB">
      <w:pPr>
        <w:pStyle w:val="Standard"/>
        <w:spacing w:after="223"/>
        <w:ind w:left="384" w:right="0" w:firstLine="708"/>
      </w:pPr>
      <w:r>
        <w:t>Jako korzystne opiniujemy także wprowadzenie obowiąz</w:t>
      </w:r>
      <w:r>
        <w:t>ku zasięgania pozytywnej opinii kuratora oświaty w projektowanej zmianie art. 59 ust. 2 ustawy zmienianej w razie likwidacji szkoły prowadzonej przez j.s.t.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t xml:space="preserve"> </w:t>
      </w:r>
    </w:p>
    <w:p w:rsidR="00EC054E" w:rsidRDefault="004936EB">
      <w:pPr>
        <w:pStyle w:val="Standard"/>
        <w:spacing w:after="248"/>
        <w:ind w:left="394" w:right="0"/>
      </w:pPr>
      <w:r>
        <w:t>Odrębne uwagi wnosi Krajowa Sekcja do projektowanych zmian w ustawie z dnia 13 czerwca 2013 r. o</w:t>
      </w:r>
      <w:r>
        <w:t xml:space="preserve"> zmianie ustawy o systemie oświaty oraz niektórych innych ustaw (Dz.U. z 2013 r., poz. 827 ze zm.). Chodzi przede wszystkim o projektowane zmiany w art. 5 ust. 1 pkt 1 i 2 oraz ust. 2 tej ustawy. Według jej art. 5 ust. 1 pkt. 1 z dniem 1 września 2016 r. o</w:t>
      </w:r>
      <w:r>
        <w:t xml:space="preserve">ddział przedszkolny lub oddziały przedszkolne w szkole podstawowej stają się z mocy prawa przedszkolem, a według punktu 2 w tymże terminie takie przedszkole tworzy zespół ze szkołą podstawową, w której dotychczas działały oddział przedszkolny lub oddziały </w:t>
      </w:r>
      <w:r>
        <w:t xml:space="preserve">przedszkolne.  </w:t>
      </w:r>
    </w:p>
    <w:p w:rsidR="00EC054E" w:rsidRDefault="004936EB">
      <w:pPr>
        <w:pStyle w:val="Standard"/>
        <w:spacing w:after="10"/>
        <w:ind w:left="394" w:right="0"/>
      </w:pPr>
      <w:r>
        <w:t xml:space="preserve"> Przedłożony projekt ustawy zmieniającej przesuwa termin wprowadzenia tych zmian  i przewiduje, że wejdą one w życie z dniem 1 września 2019 r. Tymczasem status prawny  i organizacyjny oddziałów przedszkolnych w szkołach podstawowych, pomim</w:t>
      </w:r>
      <w:r>
        <w:t>o tego, że funkcjonują one od wielu lat, nie został uregulowany do czasu obecnego. Powoduje to wiele perturbacji, niejasności i dowolności w codziennym działaniu i kierowaniu oddziałami przedszkolnymi oraz w zatrudnianiu w nich nauczycieli. Oddziały przeds</w:t>
      </w:r>
      <w:r>
        <w:t xml:space="preserve">zkolne w szkołach podstawowych nie znajdują swojego miejsca ani w ramach statutu przedszkola publicznego, ani w ramach systemu oświaty. Nie wiadomo w szczególności, czy oddział przedszkolny ma funkcjonować przez cały rok szkolny, tj. od dnia 1 września do </w:t>
      </w:r>
      <w:r>
        <w:t>dnia 31 sierpnia następnego roku kalendarzowego z wyznaczonymi przerwami w poszczególnych latach – jak to wynika  z ramowego statutu publicznego przedszkola – czy ma działać w systemie feryjno szkolnym.</w:t>
      </w:r>
    </w:p>
    <w:p w:rsidR="00EC054E" w:rsidRDefault="004936EB">
      <w:pPr>
        <w:pStyle w:val="Standard"/>
        <w:ind w:left="394" w:right="0"/>
      </w:pPr>
      <w:r>
        <w:t>Częste są też konflikty i spory wynikające z dowolni</w:t>
      </w:r>
      <w:r>
        <w:t>e stosowanej praktyki zatrudniania nauczycieli w oddziałach przedszkolnych, do czego posiadają kwalifikacje nauczyciele  o wykształceniu na kierunku wychowania przedszkolnego, jak i nauczyciele na kierunku nauczania początkowego. Różne są jednak ich warunk</w:t>
      </w:r>
      <w:r>
        <w:t>i pracy, a zwłaszcza obowiązkowy tygodniowy wymiar godzin zajęć. Inny jest też wymiar czasu i sposób korzystania z urlopów wypoczynkowych. Ponadto istnieją rozbieżności pomiędzy tymi rozwiązaniami, a niektórymi przepisami Karty Nauczyciela, a w szczególnoś</w:t>
      </w:r>
      <w:r>
        <w:t>ci jej art. 10 ust. 1, stanowiącym, że nauczyciel jest pracownikiem szkoły lub zespołu szkół, co oznacza, że jest nim zarówno nauczyciel zatrudniony w oddziale przedszkolnym szkoły podstawowej, jak i nauczyciel nauczania wczesnoszkolnego. Skoro tak, to maj</w:t>
      </w:r>
      <w:r>
        <w:t>ą równe prawa w zakresie czasu pracy, jak i prawa do urlopu wypoczynkowego. W świetle tego nie byłoby dopuszczalne przenoszenie nauczyciela prowadzącego nauczanie początkowe do pracy w oddziale przedszkolnym i to w czasie roku szkolnego bez wypowiedzenia m</w:t>
      </w:r>
      <w:r>
        <w:t>u warunków pracy lub bez zgody nauczyciela, co często ma miejsce, wywołuje opory, jest przyczyną konfliktów i sporów.</w:t>
      </w:r>
    </w:p>
    <w:p w:rsidR="00EC054E" w:rsidRDefault="004936EB">
      <w:pPr>
        <w:pStyle w:val="Standard"/>
        <w:ind w:left="394" w:right="0"/>
      </w:pPr>
      <w:r>
        <w:t xml:space="preserve"> W tej sprawie Rada Krajowej Sekcji Oświaty i Wychowania NSZZ „Solidarność”  w wystąpieniu z dnia 21 lutego 2013 r., skierowanym do Minis</w:t>
      </w:r>
      <w:r>
        <w:t>terstwa Edukacji Narodowej oraz Sejmowej Komisji Edukacji, Nauki i Młodzieży (kopia w załączeniu), wniosła  o uregulowanie statusu prawnego i organizacyjnego oddziału przedszkolnego w szkole podstawowej, a także o unormowanie sytuacji prawnej nauczycieli z</w:t>
      </w:r>
      <w:r>
        <w:t xml:space="preserve">atrudnionych w tych oddziałach. Stanowisko tam przedstawione KSOiW podtrzymuje i dalej popiera.  </w:t>
      </w:r>
    </w:p>
    <w:p w:rsidR="00EC054E" w:rsidRDefault="004936EB">
      <w:pPr>
        <w:pStyle w:val="Standard"/>
        <w:ind w:left="394" w:right="0"/>
      </w:pPr>
      <w:r>
        <w:lastRenderedPageBreak/>
        <w:t xml:space="preserve"> Wkrótce potem została wydana, opiniowana także obecnie, ustawa z dnia 13 czerwca 2013 r., która przewidywała przekształcenie z mocy prawa z dniem 31 sierpnia</w:t>
      </w:r>
      <w:r>
        <w:t xml:space="preserve"> 2016 r. oddziałów przedszkolnych w szkołach podstawowych w przedszkola oraz połączenie tych przedszkoli w zespoły szkół ze szkołami podstawowymi, w których dotychczas działały oddziały przedszkolne. Po wydaniu tej ustawy sprawa regulacji prawnej omawianyc</w:t>
      </w:r>
      <w:r>
        <w:t>h oddziałów jakby ucichła, lecz nie zanikła. Przewidziane tam powołanie zespołów przedszkolno-szkolnych wydawało się iść w dobrym kierunku, choć wymagało wydania dalszych aktów prawnych. Tymczasem przedłużenie wejścia w życie opiniowaną ustawą powyższych p</w:t>
      </w:r>
      <w:r>
        <w:t>ostanowień ustawy z dnia 13 czerwca 2013 r. do dnia 31 sierpnia 2019 r. sprawi, że jeszcze przez 3 lata szkolne będzie istniała niejasność i niepewność co do charakteru  i organizacji oddziałów przedszkolnych w szkołach podstawowych oraz brak unormowania s</w:t>
      </w:r>
      <w:r>
        <w:t>ytuacji prawnej nauczycieli zatrudnionych w tych oddziałach. Z powyższych względów KSOiW proponuje odstąpienie od przewidzianego w opiniowanej ustawie przedłużenia terminu przekształcania oddziałów przedszkolnych w zespoły przedszkolno-szkolne do dnia 31 s</w:t>
      </w:r>
      <w:r>
        <w:t>ierpnia 2019 r., a zamiast tego wydanie aktów prawnych potrzebnych do ich prawidłowego funkcjonowania – co jest możliwe również czasowo do ich wprowadzenia od nowego roku szkolnego 2016/2017, jak to zostało przewidziane w ustawie z dnia 13 czerwca 2013 r.</w:t>
      </w:r>
    </w:p>
    <w:p w:rsidR="00EC054E" w:rsidRDefault="004936EB">
      <w:pPr>
        <w:pStyle w:val="Standard"/>
        <w:ind w:left="394" w:right="0"/>
      </w:pPr>
      <w:r>
        <w:t xml:space="preserve"> Przy projektowanej zmianie ustawy z dnia 13 czerwca 2013 r. dalej nie będzie wiadomo aż do dnia 31 sierpnia 2019, jaki jest status prawny i organizacyjny oddziału przedszkolnego  w szkole podstawowej oraz jaka jest sytuacja prawna nauczyciela zatrudnione</w:t>
      </w:r>
      <w:r>
        <w:t>go w tym oddziale. Nie jest nawet rzeczą jasną, czy dalej będzie pozostawał w mocy art. 6 ust. 4 ustawy o systemie oświaty, który miał wejść w życie z dniem 1 września 2016 r., stanowiący, że do oddziału przedszkolnego w szkole podstawowej mają zastosowani</w:t>
      </w:r>
      <w:r>
        <w:t>e przepisy definiujące przedszkole, określone w art. 6 ust. 1 pkt 1-4 ustawy o systemie oświaty. Przejściowy przepis art. 9 ust. 1 pkt 1 lit. a opiniowanej ustawy przewiduje jedynie, że w okresie o dnia 1 września 2016 r. do dnia 31 sierpnia 2019 r. do odd</w:t>
      </w:r>
      <w:r>
        <w:t>ziałów przedszkolnych w szkołach podstawowych będą stosowane odpowiednio tylko m.in. art. 6 ust. 4 pkt 3 ustawy o systemie oświaty przy jednoczesnym obowiązywaniu bardzo licznych i trudnych do odczytania przepisów dostosowawczych.</w:t>
      </w:r>
    </w:p>
    <w:p w:rsidR="00EC054E" w:rsidRDefault="004936EB">
      <w:pPr>
        <w:pStyle w:val="Standard"/>
        <w:spacing w:after="223"/>
        <w:ind w:left="394" w:right="0"/>
      </w:pPr>
      <w:r>
        <w:t xml:space="preserve"> Wobec takiej sytuacji w</w:t>
      </w:r>
      <w:r>
        <w:t>yrażamy pogląd, że najlepszym rozwiązaniem byłby powrót do przekształcenia i połączenia przekształconych oddziałów przedszkolnych w zespoły  ze szkołami, w których funkcjonują, poprzez wydanie rozporządzenia ministra właściwego ds. oświaty i wychowania w s</w:t>
      </w:r>
      <w:r>
        <w:t>prawie ramowego statutu publicznego zespołu przedszkolnoszkolnego, uwzględniającego specyfikację organizacji i funkcjonowania takiego zespołu, do czego Ministerstwo Edukacji Narodowej posiada legitymację ustawową na podstawie art. 60 ust. 2 ustawy o system</w:t>
      </w:r>
      <w:r>
        <w:t>ie oświaty.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6"/>
        </w:rPr>
        <w:t xml:space="preserve"> </w:t>
      </w:r>
    </w:p>
    <w:p w:rsidR="00EC054E" w:rsidRDefault="004936EB">
      <w:pPr>
        <w:pStyle w:val="Standard"/>
        <w:spacing w:after="2" w:line="259" w:lineRule="auto"/>
        <w:ind w:left="3237" w:right="1493"/>
        <w:jc w:val="center"/>
      </w:pPr>
      <w:r>
        <w:rPr>
          <w:i/>
        </w:rPr>
        <w:t>Z  poważaniem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7"/>
        </w:rPr>
        <w:t xml:space="preserve"> </w:t>
      </w:r>
    </w:p>
    <w:p w:rsidR="00EC054E" w:rsidRDefault="004936EB">
      <w:pPr>
        <w:pStyle w:val="Nagwek2"/>
        <w:ind w:left="3237" w:right="1"/>
      </w:pPr>
      <w:r>
        <w:t>Przewodniczący</w:t>
      </w:r>
    </w:p>
    <w:p w:rsidR="00EC054E" w:rsidRDefault="004936EB">
      <w:pPr>
        <w:pStyle w:val="Standard"/>
        <w:spacing w:after="0" w:line="259" w:lineRule="auto"/>
        <w:ind w:left="5010" w:right="0" w:firstLine="0"/>
        <w:jc w:val="left"/>
      </w:pPr>
      <w:r>
        <w:rPr>
          <w:i/>
        </w:rPr>
        <w:t xml:space="preserve">KSOiW NSZZ „Solidarność” </w:t>
      </w:r>
      <w:r>
        <w:rPr>
          <w:noProof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3537720</wp:posOffset>
            </wp:positionH>
            <wp:positionV relativeFrom="paragraph">
              <wp:posOffset>-27360</wp:posOffset>
            </wp:positionV>
            <wp:extent cx="894240" cy="383040"/>
            <wp:effectExtent l="0" t="0" r="111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240" cy="38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054E" w:rsidRDefault="004936EB">
      <w:pPr>
        <w:pStyle w:val="Standard"/>
        <w:spacing w:after="0" w:line="259" w:lineRule="auto"/>
        <w:ind w:left="3288" w:right="0" w:firstLine="0"/>
        <w:jc w:val="center"/>
      </w:pPr>
      <w:r>
        <w:rPr>
          <w:i/>
        </w:rPr>
        <w:t xml:space="preserve"> </w:t>
      </w:r>
    </w:p>
    <w:p w:rsidR="00EC054E" w:rsidRDefault="004936EB">
      <w:pPr>
        <w:pStyle w:val="Nagwek2"/>
        <w:ind w:left="3237"/>
      </w:pPr>
      <w:r>
        <w:t>Ryszard Proksa</w:t>
      </w:r>
    </w:p>
    <w:p w:rsidR="00EC054E" w:rsidRDefault="004936EB">
      <w:pPr>
        <w:pStyle w:val="Standard"/>
        <w:spacing w:after="4" w:line="259" w:lineRule="auto"/>
        <w:ind w:left="399" w:right="0" w:firstLine="0"/>
        <w:jc w:val="left"/>
      </w:pPr>
      <w: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7"/>
        </w:rPr>
        <w:lastRenderedPageBreak/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7"/>
        </w:rPr>
        <w:t xml:space="preserve"> </w:t>
      </w:r>
    </w:p>
    <w:p w:rsidR="00EC054E" w:rsidRDefault="004936EB">
      <w:pPr>
        <w:pStyle w:val="Standard"/>
        <w:spacing w:after="0" w:line="259" w:lineRule="auto"/>
        <w:ind w:left="399" w:right="0" w:firstLine="0"/>
        <w:jc w:val="left"/>
      </w:pPr>
      <w:r>
        <w:rPr>
          <w:i/>
          <w:sz w:val="27"/>
        </w:rPr>
        <w:t xml:space="preserve"> </w:t>
      </w:r>
    </w:p>
    <w:sectPr w:rsidR="00EC054E">
      <w:pgSz w:w="11906" w:h="16838"/>
      <w:pgMar w:top="711" w:right="1413" w:bottom="431" w:left="9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EB" w:rsidRDefault="004936EB">
      <w:pPr>
        <w:spacing w:after="0" w:line="240" w:lineRule="auto"/>
      </w:pPr>
      <w:r>
        <w:separator/>
      </w:r>
    </w:p>
  </w:endnote>
  <w:endnote w:type="continuationSeparator" w:id="0">
    <w:p w:rsidR="004936EB" w:rsidRDefault="0049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EB" w:rsidRDefault="004936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36EB" w:rsidRDefault="0049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F"/>
    <w:multiLevelType w:val="multilevel"/>
    <w:tmpl w:val="17A6BF52"/>
    <w:styleLink w:val="WWNum2"/>
    <w:lvl w:ilvl="0">
      <w:numFmt w:val="bullet"/>
      <w:lvlText w:val=""/>
      <w:lvlJc w:val="left"/>
      <w:pPr>
        <w:ind w:left="1107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4E91657"/>
    <w:multiLevelType w:val="multilevel"/>
    <w:tmpl w:val="72743216"/>
    <w:styleLink w:val="WWNum1"/>
    <w:lvl w:ilvl="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3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30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74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46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9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6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734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54E"/>
    <w:rsid w:val="004936EB"/>
    <w:rsid w:val="00EC054E"/>
    <w:rsid w:val="00E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A9C0-67FD-436C-B831-8250D2F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keepLines/>
      <w:spacing w:after="22"/>
      <w:ind w:left="394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Nagwek2">
    <w:name w:val="heading 2"/>
    <w:basedOn w:val="Heading"/>
    <w:next w:val="Textbody"/>
    <w:pPr>
      <w:keepLines/>
      <w:spacing w:after="2"/>
      <w:ind w:left="1744"/>
      <w:jc w:val="center"/>
      <w:outlineLvl w:val="1"/>
    </w:pPr>
    <w:rPr>
      <w:rFonts w:ascii="Times New Roman" w:eastAsia="Times New Roman" w:hAnsi="Times New Roman" w:cs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74" w:line="283" w:lineRule="auto"/>
      <w:ind w:left="409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olidarnosc.org.pl/oswi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idarnosc.org.pl/oswiat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Wojtek</dc:creator>
  <cp:lastModifiedBy>Dagmara</cp:lastModifiedBy>
  <cp:revision>2</cp:revision>
  <dcterms:created xsi:type="dcterms:W3CDTF">2015-12-30T18:45:00Z</dcterms:created>
  <dcterms:modified xsi:type="dcterms:W3CDTF">2015-12-30T18:45:00Z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