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正文"/>
        <w:spacing w:line="480" w:lineRule="auto"/>
        <w:jc w:val="center"/>
        <w:rPr>
          <w:rFonts w:ascii="Times New Roman" w:hAnsi="Times New Roman"/>
          <w:b w:val="1"/>
          <w:bCs w:val="1"/>
          <w:sz w:val="24"/>
          <w:szCs w:val="24"/>
        </w:rPr>
      </w:pPr>
    </w:p>
    <w:p>
      <w:pPr>
        <w:pStyle w:val="正文"/>
        <w:spacing w:line="480" w:lineRule="auto"/>
        <w:jc w:val="center"/>
        <w:rPr>
          <w:rFonts w:ascii="Times New Roman" w:hAnsi="Times New Roman"/>
          <w:b w:val="1"/>
          <w:bCs w:val="1"/>
          <w:sz w:val="24"/>
          <w:szCs w:val="24"/>
        </w:rPr>
      </w:pPr>
    </w:p>
    <w:p>
      <w:pPr>
        <w:pStyle w:val="正文"/>
        <w:spacing w:line="480" w:lineRule="auto"/>
        <w:jc w:val="center"/>
        <w:rPr>
          <w:rFonts w:ascii="Times New Roman" w:hAnsi="Times New Roman"/>
          <w:b w:val="1"/>
          <w:bCs w:val="1"/>
          <w:sz w:val="24"/>
          <w:szCs w:val="24"/>
        </w:rPr>
      </w:pPr>
    </w:p>
    <w:p>
      <w:pPr>
        <w:pStyle w:val="正文"/>
        <w:spacing w:line="480" w:lineRule="auto"/>
        <w:jc w:val="center"/>
        <w:rPr>
          <w:rFonts w:ascii="Times New Roman" w:hAnsi="Times New Roman"/>
          <w:b w:val="1"/>
          <w:bCs w:val="1"/>
          <w:sz w:val="24"/>
          <w:szCs w:val="24"/>
        </w:rPr>
      </w:pPr>
    </w:p>
    <w:p>
      <w:pPr>
        <w:pStyle w:val="正文"/>
        <w:spacing w:line="480" w:lineRule="auto"/>
        <w:jc w:val="center"/>
        <w:rPr>
          <w:rFonts w:ascii="Times New Roman" w:hAnsi="Times New Roman"/>
          <w:b w:val="1"/>
          <w:bCs w:val="1"/>
          <w:sz w:val="24"/>
          <w:szCs w:val="24"/>
        </w:rPr>
      </w:pPr>
    </w:p>
    <w:p>
      <w:pPr>
        <w:pStyle w:val="正文"/>
        <w:spacing w:line="480" w:lineRule="auto"/>
        <w:jc w:val="center"/>
        <w:rPr>
          <w:rFonts w:ascii="Times New Roman" w:hAnsi="Times New Roman"/>
          <w:b w:val="1"/>
          <w:bCs w:val="1"/>
          <w:sz w:val="24"/>
          <w:szCs w:val="24"/>
        </w:rPr>
      </w:pPr>
    </w:p>
    <w:p>
      <w:pPr>
        <w:pStyle w:val="正文"/>
        <w:spacing w:line="480" w:lineRule="auto"/>
        <w:jc w:val="center"/>
        <w:rPr>
          <w:rFonts w:ascii="Times New Roman" w:hAnsi="Times New Roman"/>
          <w:b w:val="1"/>
          <w:bCs w:val="1"/>
          <w:sz w:val="24"/>
          <w:szCs w:val="24"/>
        </w:rPr>
      </w:pPr>
    </w:p>
    <w:p>
      <w:pPr>
        <w:pStyle w:val="正文"/>
        <w:spacing w:line="480" w:lineRule="auto"/>
        <w:jc w:val="center"/>
        <w:rPr>
          <w:rFonts w:ascii="Times New Roman" w:hAnsi="Times New Roman"/>
          <w:b w:val="1"/>
          <w:bCs w:val="1"/>
          <w:sz w:val="24"/>
          <w:szCs w:val="24"/>
        </w:rPr>
      </w:pPr>
    </w:p>
    <w:p>
      <w:pPr>
        <w:pStyle w:val="正文"/>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The Corrosive and the Crucible: An Analysis of How Global Crises Shape Collective Anxiety and Adaptive Resilience</w:t>
      </w:r>
    </w:p>
    <w:p>
      <w:pPr>
        <w:pStyle w:val="正文"/>
        <w:spacing w:line="480" w:lineRule="auto"/>
        <w:jc w:val="center"/>
        <w:rPr>
          <w:rFonts w:ascii="Times New Roman" w:cs="Times New Roman" w:hAnsi="Times New Roman" w:eastAsia="Times New Roman"/>
          <w:b w:val="1"/>
          <w:bCs w:val="1"/>
          <w:sz w:val="24"/>
          <w:szCs w:val="24"/>
        </w:rPr>
      </w:pPr>
    </w:p>
    <w:p>
      <w:pPr>
        <w:pStyle w:val="正文"/>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Qingxiang Liao</w:t>
      </w:r>
    </w:p>
    <w:p>
      <w:pPr>
        <w:pStyle w:val="正文"/>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Shenzhen College of International Education</w:t>
      </w:r>
    </w:p>
    <w:p>
      <w:pPr>
        <w:pStyle w:val="正文"/>
        <w:spacing w:line="480" w:lineRule="auto"/>
        <w:jc w:val="center"/>
        <w:rPr>
          <w:rFonts w:ascii="Times New Roman" w:cs="Times New Roman" w:hAnsi="Times New Roman" w:eastAsia="Times New Roman"/>
          <w:sz w:val="24"/>
          <w:szCs w:val="24"/>
        </w:rPr>
      </w:pPr>
    </w:p>
    <w:p>
      <w:pPr>
        <w:pStyle w:val="正文"/>
        <w:spacing w:line="480" w:lineRule="auto"/>
        <w:jc w:val="center"/>
      </w:pPr>
      <w:r>
        <w:rPr>
          <w:rFonts w:ascii="Arial Unicode MS" w:cs="Arial Unicode MS" w:hAnsi="Arial Unicode MS" w:eastAsia="Arial Unicode MS"/>
          <w:b w:val="0"/>
          <w:bCs w:val="0"/>
          <w:i w:val="0"/>
          <w:iCs w:val="0"/>
          <w:sz w:val="24"/>
          <w:szCs w:val="24"/>
        </w:rPr>
        <w:br w:type="page"/>
      </w:r>
    </w:p>
    <w:p>
      <w:pPr>
        <w:pStyle w:val="正文"/>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Abstract</w:t>
      </w:r>
    </w:p>
    <w:p>
      <w:pPr>
        <w:pStyle w:val="默认"/>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480" w:lineRule="auto"/>
        <w:jc w:val="left"/>
        <w:rPr>
          <w:rFonts w:ascii="Times New Roman" w:cs="Times New Roman" w:hAnsi="Times New Roman" w:eastAsia="Times New Roman"/>
          <w:outline w:val="0"/>
          <w:color w:val="000000"/>
          <w14:textFill>
            <w14:solidFill>
              <w14:srgbClr w14:val="000000"/>
            </w14:solidFill>
          </w14:textFill>
        </w:rPr>
      </w:pPr>
      <w:r>
        <w:rPr>
          <w:rFonts w:ascii="Times New Roman" w:hAnsi="Times New Roman"/>
          <w:outline w:val="0"/>
          <w:color w:val="000000"/>
          <w:rtl w:val="0"/>
          <w:lang w:val="en-US"/>
          <w14:textFill>
            <w14:solidFill>
              <w14:srgbClr w14:val="000000"/>
            </w14:solidFill>
          </w14:textFill>
        </w:rPr>
        <w:t>Digital media now exposes us to a constant and relentless stream of global crises. This daily exposure is the defining psychological challenge of our time, directly shaping our collective anxiety. This essay examines the central paradox of this new reality: that the very forces that cause profound psychological damage can also become the catalyst for resilience. The analysis first explores the architecture of modern anxiety, detailing how vicarious trauma leads to emotional burnout while the erosion of ontological security fosters a state of learned helplessness. The essay then makes the case that this confrontation with a shattered worldview is not a breakdown, but the very engine for Post-Traumatic Growth (PTG).</w:t>
      </w:r>
      <w:r>
        <w:rPr>
          <w:rFonts w:ascii="Times New Roman" w:hAnsi="Times New Roman"/>
          <w:outline w:val="0"/>
          <w:color w:val="60657b"/>
          <w:shd w:val="clear" w:color="auto" w:fill="ffffff"/>
          <w:rtl w:val="0"/>
          <w14:textFill>
            <w14:solidFill>
              <w14:srgbClr w14:val="60657B"/>
            </w14:solidFill>
          </w14:textFill>
        </w:rPr>
        <w:t xml:space="preserve"> </w:t>
      </w:r>
      <w:r>
        <w:rPr>
          <w:rFonts w:ascii="Times New Roman" w:hAnsi="Times New Roman"/>
          <w:outline w:val="0"/>
          <w:color w:val="000000"/>
          <w:rtl w:val="0"/>
          <w:lang w:val="en-US"/>
          <w14:textFill>
            <w14:solidFill>
              <w14:srgbClr w14:val="000000"/>
            </w14:solidFill>
          </w14:textFill>
        </w:rPr>
        <w:t>This process can ignite a search for meaning for individuals and strengthen a sense of solidarity within communities.</w:t>
      </w:r>
      <w:r>
        <w:rPr>
          <w:rFonts w:ascii="Times New Roman" w:hAnsi="Times New Roman"/>
          <w:outline w:val="0"/>
          <w:color w:val="60657b"/>
          <w:shd w:val="clear" w:color="auto" w:fill="ffffff"/>
          <w:rtl w:val="0"/>
          <w14:textFill>
            <w14:solidFill>
              <w14:srgbClr w14:val="60657B"/>
            </w14:solidFill>
          </w14:textFill>
        </w:rPr>
        <w:t xml:space="preserve"> </w:t>
      </w:r>
      <w:r>
        <w:rPr>
          <w:rFonts w:ascii="Times New Roman" w:hAnsi="Times New Roman"/>
          <w:outline w:val="0"/>
          <w:color w:val="000000"/>
          <w:rtl w:val="0"/>
          <w:lang w:val="en-US"/>
          <w14:textFill>
            <w14:solidFill>
              <w14:srgbClr w14:val="000000"/>
            </w14:solidFill>
          </w14:textFill>
        </w:rPr>
        <w:t>In response, a disciplined practice for building resilience is proposed, centered on three core skills: curating attention to reclaim focus from algorithmic outrage, restoring agency by focusing on tangible local action, and deepening connection as a crucial buffer against psychological strain.</w:t>
      </w:r>
      <w:r>
        <w:rPr>
          <w:rFonts w:ascii="Times New Roman" w:hAnsi="Times New Roman"/>
          <w:outline w:val="0"/>
          <w:color w:val="60657b"/>
          <w:shd w:val="clear" w:color="auto" w:fill="ffffff"/>
          <w:rtl w:val="0"/>
          <w14:textFill>
            <w14:solidFill>
              <w14:srgbClr w14:val="60657B"/>
            </w14:solidFill>
          </w14:textFill>
        </w:rPr>
        <w:t xml:space="preserve"> </w:t>
      </w:r>
      <w:r>
        <w:rPr>
          <w:rFonts w:ascii="Times New Roman" w:hAnsi="Times New Roman"/>
          <w:outline w:val="0"/>
          <w:color w:val="000000"/>
          <w:rtl w:val="0"/>
          <w:lang w:val="en-US"/>
          <w14:textFill>
            <w14:solidFill>
              <w14:srgbClr w14:val="000000"/>
            </w14:solidFill>
          </w14:textFill>
        </w:rPr>
        <w:t>Ultimately, the essay argues that the goal is not to eliminate anxiety, but to develop the maturity to engage with the world</w:t>
      </w:r>
      <w:r>
        <w:rPr>
          <w:rFonts w:ascii="Times New Roman" w:hAnsi="Times New Roman" w:hint="default"/>
          <w:outline w:val="0"/>
          <w:color w:val="000000"/>
          <w:rtl w:val="1"/>
          <w14:textFill>
            <w14:solidFill>
              <w14:srgbClr w14:val="000000"/>
            </w14:solidFill>
          </w14:textFill>
        </w:rPr>
        <w:t>’</w:t>
      </w:r>
      <w:r>
        <w:rPr>
          <w:rFonts w:ascii="Times New Roman" w:hAnsi="Times New Roman"/>
          <w:outline w:val="0"/>
          <w:color w:val="000000"/>
          <w:rtl w:val="0"/>
          <w:lang w:val="en-US"/>
          <w14:textFill>
            <w14:solidFill>
              <w14:srgbClr w14:val="000000"/>
            </w14:solidFill>
          </w14:textFill>
        </w:rPr>
        <w:t>s challenges from a foundation of informed strength.</w:t>
      </w:r>
    </w:p>
    <w:p>
      <w:pPr>
        <w:pStyle w:val="默认"/>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480" w:lineRule="auto"/>
        <w:jc w:val="left"/>
        <w:rPr>
          <w:rFonts w:ascii="Times New Roman" w:cs="Times New Roman" w:hAnsi="Times New Roman" w:eastAsia="Times New Roman"/>
          <w:outline w:val="0"/>
          <w:color w:val="000000"/>
          <w14:textFill>
            <w14:solidFill>
              <w14:srgbClr w14:val="000000"/>
            </w14:solidFill>
          </w14:textFill>
        </w:rPr>
      </w:pPr>
    </w:p>
    <w:p>
      <w:pPr>
        <w:pStyle w:val="默认"/>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480" w:lineRule="auto"/>
        <w:jc w:val="left"/>
      </w:pPr>
      <w:r>
        <w:rPr>
          <w:rFonts w:ascii="Times New Roman" w:hAnsi="Times New Roman"/>
          <w:i w:val="1"/>
          <w:iCs w:val="1"/>
          <w:outline w:val="0"/>
          <w:color w:val="000000"/>
          <w:rtl w:val="0"/>
          <w:lang w:val="en-US"/>
          <w14:textFill>
            <w14:solidFill>
              <w14:srgbClr w14:val="000000"/>
            </w14:solidFill>
          </w14:textFill>
        </w:rPr>
        <w:t>Keywords:</w:t>
      </w:r>
      <w:r>
        <w:rPr>
          <w:rFonts w:ascii="Times New Roman" w:hAnsi="Times New Roman"/>
          <w:i w:val="0"/>
          <w:iCs w:val="0"/>
          <w:outline w:val="0"/>
          <w:color w:val="000000"/>
          <w:rtl w:val="0"/>
          <w:lang w:val="en-US"/>
          <w14:textFill>
            <w14:solidFill>
              <w14:srgbClr w14:val="000000"/>
            </w14:solidFill>
          </w14:textFill>
        </w:rPr>
        <w:t xml:space="preserve"> </w:t>
      </w:r>
      <w:r>
        <w:rPr>
          <w:rFonts w:ascii="Times New Roman" w:hAnsi="Times New Roman"/>
          <w:i w:val="0"/>
          <w:iCs w:val="0"/>
          <w:outline w:val="0"/>
          <w:color w:val="000000"/>
          <w:rtl w:val="0"/>
          <w:lang w:val="en-US"/>
          <w14:textFill>
            <w14:solidFill>
              <w14:srgbClr w14:val="000000"/>
            </w14:solidFill>
          </w14:textFill>
        </w:rPr>
        <w:t>Anxiety, Resilience, Vicarious Trauma, Post-Traumatic Growth (PTG), Digital Media, Community</w:t>
      </w:r>
      <w:r>
        <w:rPr>
          <w:rFonts w:ascii="Arial Unicode MS" w:cs="Arial Unicode MS" w:hAnsi="Arial Unicode MS" w:eastAsia="Arial Unicode MS"/>
          <w:b w:val="0"/>
          <w:bCs w:val="0"/>
          <w:i w:val="0"/>
          <w:iCs w:val="0"/>
          <w:outline w:val="0"/>
          <w:color w:val="000000"/>
          <w14:textFill>
            <w14:solidFill>
              <w14:srgbClr w14:val="000000"/>
            </w14:solidFill>
          </w14:textFill>
        </w:rPr>
        <w:br w:type="page"/>
      </w:r>
    </w:p>
    <w:p>
      <w:pPr>
        <w:pStyle w:val="正文"/>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Introduction</w:t>
      </w:r>
    </w:p>
    <w:p>
      <w:pPr>
        <w:pStyle w:val="正文"/>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For many of us, the day no longer begins in silence. Instead, our day often begins with the first act of reaching for the phone on the nightstand. While still bleary-eyed and in pajamas, we are instantly met with a cascade of global crises scrolling by on the screen: a wildfire raging on a distant continent, a stock market tumbling into the red, and a protest erupting in an unfamiliar city. From this daily exposure, a specific form of anxiety develops. It is a vicarious stress, a subtle undercurrent that integrates into the daily routine. This phenomenon represents the core of perpetual crisis. While this constant exposure to global instability directly strains our emotional states, it simultaneously sets in motion a remarkable adaptive process.</w:t>
      </w:r>
      <w:r>
        <w:rPr>
          <w:rFonts w:ascii="Times New Roman" w:hAnsi="Times New Roman"/>
          <w:sz w:val="24"/>
          <w:szCs w:val="24"/>
          <w:rtl w:val="0"/>
          <w:lang w:val="en-US"/>
        </w:rPr>
        <w:t xml:space="preserve"> </w:t>
      </w:r>
      <w:r>
        <w:rPr>
          <w:rFonts w:ascii="Times New Roman" w:hAnsi="Times New Roman"/>
          <w:sz w:val="24"/>
          <w:szCs w:val="24"/>
          <w:rtl w:val="0"/>
          <w:lang w:val="en-US"/>
        </w:rPr>
        <w:t>Resilience begins to develop, a process that testifies to our profound capacity for endurance.</w:t>
      </w:r>
    </w:p>
    <w:p>
      <w:pPr>
        <w:pStyle w:val="正文"/>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This essay will argue that the constant deluge of global crises has a paradoxical effect: while it systematically fuels anxiety by eroding our sense of control, it also serves as a crucible for resilience. It achieves this by compelling individuals and communities to pursue three fundamental adaptations: forging new avenues of meaning, strengthening social bonds, and developing intentional psychological fortitude.</w:t>
      </w:r>
      <w:r>
        <w:rPr>
          <w:rFonts w:ascii="Times New Roman" w:hAnsi="Times New Roman"/>
          <w:sz w:val="24"/>
          <w:szCs w:val="24"/>
          <w:rtl w:val="0"/>
          <w:lang w:val="en-US"/>
        </w:rPr>
        <w:t xml:space="preserve"> </w:t>
      </w:r>
      <w:r>
        <w:rPr>
          <w:rFonts w:ascii="Times New Roman" w:hAnsi="Times New Roman"/>
          <w:sz w:val="24"/>
          <w:szCs w:val="24"/>
          <w:rtl w:val="0"/>
          <w:lang w:val="en-US"/>
        </w:rPr>
        <w:t>This paper will first examine the architecture of this modern anxiety before turning to the unexpected emergence of resilience. The ultimate aim is to understand how we can navigate this new reality, not by turning away from the world</w:t>
      </w:r>
      <w:r>
        <w:rPr>
          <w:rFonts w:ascii="Times New Roman" w:hAnsi="Times New Roman" w:hint="default"/>
          <w:sz w:val="24"/>
          <w:szCs w:val="24"/>
          <w:rtl w:val="1"/>
        </w:rPr>
        <w:t>’</w:t>
      </w:r>
      <w:r>
        <w:rPr>
          <w:rFonts w:ascii="Times New Roman" w:hAnsi="Times New Roman"/>
          <w:sz w:val="24"/>
          <w:szCs w:val="24"/>
          <w:rtl w:val="0"/>
          <w:lang w:val="en-US"/>
        </w:rPr>
        <w:t>s crises, but by learning to engage with them from a foundation of informed strength.</w:t>
      </w:r>
    </w:p>
    <w:p>
      <w:pPr>
        <w:pStyle w:val="正文"/>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The Architecture of Anxiety: Pathways of Psychological Corrosion</w:t>
      </w:r>
    </w:p>
    <w:p>
      <w:pPr>
        <w:pStyle w:val="正文"/>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Global crises corrode the modern psyche through several pathways, the most immediate being a technologically amplified form of vicarious trauma. Vicarious trauma is not simply sadness about bad news. It is a process where individuals absorb the trauma of others and experience genuine psychological symptoms, such as anxiety and intrusive thoughts, as if the threat were their own (McCann &amp; Pearlman, 1990). The very architecture of the modern information ecosystem is designed to accelerate this process. Unlike a newspaper article that provides narrative distance, the raw footage on social media has a direct, unmediated impact: it bypasses our rational filters and appeals directly to the fast, intuitive, and emotional brain that Daniel Kahneman (2011) terms System 1 thinking.</w:t>
      </w:r>
      <w:r>
        <w:rPr>
          <w:rFonts w:ascii="Times New Roman" w:hAnsi="Times New Roman"/>
          <w:sz w:val="24"/>
          <w:szCs w:val="24"/>
          <w:rtl w:val="0"/>
          <w:lang w:val="en-US"/>
        </w:rPr>
        <w:t xml:space="preserve"> </w:t>
      </w:r>
      <w:r>
        <w:rPr>
          <w:rFonts w:ascii="Times New Roman" w:hAnsi="Times New Roman"/>
          <w:sz w:val="24"/>
          <w:szCs w:val="24"/>
          <w:rtl w:val="0"/>
          <w:lang w:val="en-US"/>
        </w:rPr>
        <w:t>This triggers a direct limbic response before the slower, analytical System 2 can add context. This mechanism creates emotional contagion, a phenomenon that Kramer et al. (2014) demonstrated experimentally on a massive scale by showing that emotional states can transfer through social networks without direct interaction. Engagement-optimized algorithms then preferentially amplify the most shocking content. This system places an infinite demand on our finite empathy, leading directly to compassion fatigue (Figley, 1995)</w:t>
      </w:r>
      <w:r>
        <w:rPr>
          <w:rFonts w:ascii="Times New Roman" w:hAnsi="Times New Roman" w:hint="default"/>
          <w:sz w:val="24"/>
          <w:szCs w:val="24"/>
          <w:rtl w:val="0"/>
          <w:lang w:val="en-US"/>
        </w:rPr>
        <w:t>—</w:t>
      </w:r>
      <w:r>
        <w:rPr>
          <w:rFonts w:ascii="Times New Roman" w:hAnsi="Times New Roman"/>
          <w:sz w:val="24"/>
          <w:szCs w:val="24"/>
          <w:rtl w:val="0"/>
          <w:lang w:val="en-US"/>
        </w:rPr>
        <w:t>a protective burnout where the mind, to keep from being overwhelmed, simply goes numb. This numbness is what hardens into the cynicism and apathy we see all around us.</w:t>
      </w:r>
    </w:p>
    <w:p>
      <w:pPr>
        <w:pStyle w:val="正文"/>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However,</w:t>
      </w:r>
      <w:r>
        <w:rPr>
          <w:rFonts w:ascii="Times New Roman" w:hAnsi="Times New Roman"/>
          <w:sz w:val="24"/>
          <w:szCs w:val="24"/>
          <w:rtl w:val="0"/>
          <w:lang w:val="en-US"/>
        </w:rPr>
        <w:t xml:space="preserve"> this emotional retreat is only the surface of the damage. The more insidious war is waged on our cognitive foundations, as perpetual crisis works to dismantle our ontological security. Global crises, such as pandemics and accelerating climate change, systematically attack the very cognitive bedrock that shields us from existential doubt: the fundamental trust, as described by Anthony Giddens (1991), that our world is stable and predictable. They demonstrate that our core predictive models of the world are failing. Humans are future-oriented beings who rely on stable assumptions: food will be in stores, leaders have a plan, and the world will be recognizable in a decade. When events repeatedly prove these assumptions false, the mind is thrown into the conflict of cognitive dissonance (Festinger, 1957). As this internal conflict erodes an individual's sense of control, it fosters a state of learned helplessness where actions feel futile (Seligman, 1975). From this feeling of powerlessness, the mind adopts a new default posture: hypervigilance, a psychological state rooted in the chronic </w:t>
      </w:r>
      <w:r>
        <w:rPr>
          <w:rFonts w:ascii="Times New Roman" w:hAnsi="Times New Roman" w:hint="default"/>
          <w:sz w:val="24"/>
          <w:szCs w:val="24"/>
          <w:rtl w:val="0"/>
          <w:lang w:val="en-US"/>
        </w:rPr>
        <w:t>‘</w:t>
      </w:r>
      <w:r>
        <w:rPr>
          <w:rFonts w:ascii="Times New Roman" w:hAnsi="Times New Roman"/>
          <w:sz w:val="24"/>
          <w:szCs w:val="24"/>
          <w:rtl w:val="0"/>
          <w:lang w:val="en-US"/>
        </w:rPr>
        <w:t>fight-or-flight</w:t>
      </w:r>
      <w:r>
        <w:rPr>
          <w:rFonts w:ascii="Times New Roman" w:hAnsi="Times New Roman" w:hint="default"/>
          <w:sz w:val="24"/>
          <w:szCs w:val="24"/>
          <w:rtl w:val="0"/>
          <w:lang w:val="en-US"/>
        </w:rPr>
        <w:t>’</w:t>
      </w:r>
      <w:r>
        <w:rPr>
          <w:rFonts w:ascii="Times New Roman" w:hAnsi="Times New Roman"/>
          <w:sz w:val="24"/>
          <w:szCs w:val="24"/>
          <w:rtl w:val="0"/>
          <w:lang w:val="en-US"/>
        </w:rPr>
        <w:t xml:space="preserve"> activation of the amygdala (LeDoux, 1996). This creates the anxiety of unstable ground: a chronic, free-floating fear rooted not in a specific danger, but in the single, unnerving question: What</w:t>
      </w:r>
      <w:r>
        <w:rPr>
          <w:rFonts w:ascii="Times New Roman" w:hAnsi="Times New Roman" w:hint="default"/>
          <w:sz w:val="24"/>
          <w:szCs w:val="24"/>
          <w:rtl w:val="1"/>
        </w:rPr>
        <w:t>’</w:t>
      </w:r>
      <w:r>
        <w:rPr>
          <w:rFonts w:ascii="Times New Roman" w:hAnsi="Times New Roman"/>
          <w:sz w:val="24"/>
          <w:szCs w:val="24"/>
          <w:rtl w:val="0"/>
          <w:lang w:val="en-US"/>
        </w:rPr>
        <w:t>s next?</w:t>
      </w:r>
    </w:p>
    <w:p>
      <w:pPr>
        <w:pStyle w:val="正文"/>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The Crucible of Growth: The Emergence of Adaptive Resilience</w:t>
      </w:r>
    </w:p>
    <w:p>
      <w:pPr>
        <w:pStyle w:val="正文"/>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 psychological toll of perpetual crisis is real. But it is not the complete story. The very forces that destabilize a worldview can also be the catalyst for profound growth. Psychologists call this process Post-Traumatic Growth (PTG) (Tedeschi &amp; Calhoun, 1996). This process begins when a person</w:t>
      </w:r>
      <w:r>
        <w:rPr>
          <w:rFonts w:ascii="Times New Roman" w:hAnsi="Times New Roman" w:hint="default"/>
          <w:sz w:val="24"/>
          <w:szCs w:val="24"/>
          <w:rtl w:val="1"/>
        </w:rPr>
        <w:t>’</w:t>
      </w:r>
      <w:r>
        <w:rPr>
          <w:rFonts w:ascii="Times New Roman" w:hAnsi="Times New Roman"/>
          <w:sz w:val="24"/>
          <w:szCs w:val="24"/>
          <w:rtl w:val="0"/>
          <w:lang w:val="en-US"/>
        </w:rPr>
        <w:t>s worldview shatters, forcing them to confront life's most fundamental questions. This confrontation is not a sign of breakdown; it is the very engine of growth. It activates what Viktor Frankl (1959) identified as our primary human drive for meaning, a search that clarifies what is essential under pressure. Two powerful experiences drive this clarification: confronting our mortality brings a sharp new focus to life, and the collapse of routine strips away the superficial. We saw this dynamic unfold on a global scale during the COVID-19 pandemic, as millions re-evaluated their careers, relationships, and core values. This difficult rebuilding is the work of the crucible.</w:t>
      </w:r>
    </w:p>
    <w:p>
      <w:pPr>
        <w:pStyle w:val="正文"/>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This internal growth is powerfully amplified by a corresponding shift in the social world.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As Rebecca Solnit (2009) reveals, the conventional narrative of disaster as a scene of panic and selfishness is largely a myth. In reality, crises often ignite a profound sense of solidarity. This shared vulnerability has a transformative psychological effect: it directly counters the isolation of anxiety by fostering a sense of </w:t>
      </w:r>
      <w:r>
        <w:rPr>
          <w:rFonts w:ascii="Times New Roman" w:hAnsi="Times New Roman" w:hint="default"/>
          <w:sz w:val="24"/>
          <w:szCs w:val="24"/>
          <w:rtl w:val="1"/>
          <w:lang w:val="ar-SA" w:bidi="ar-SA"/>
        </w:rPr>
        <w:t>“</w:t>
      </w:r>
      <w:r>
        <w:rPr>
          <w:rFonts w:ascii="Times New Roman" w:hAnsi="Times New Roman"/>
          <w:sz w:val="24"/>
          <w:szCs w:val="24"/>
          <w:rtl w:val="0"/>
          <w:lang w:val="en-US"/>
        </w:rPr>
        <w:t>common humanity</w:t>
      </w:r>
      <w:r>
        <w:rPr>
          <w:rFonts w:ascii="Times New Roman" w:hAnsi="Times New Roman" w:hint="default"/>
          <w:sz w:val="24"/>
          <w:szCs w:val="24"/>
          <w:rtl w:val="0"/>
          <w:lang w:val="en-US"/>
        </w:rPr>
        <w:t>”</w:t>
      </w:r>
      <w:r>
        <w:rPr>
          <w:rFonts w:ascii="Times New Roman" w:hAnsi="Times New Roman"/>
          <w:sz w:val="24"/>
          <w:szCs w:val="24"/>
          <w:rtl w:val="0"/>
          <w:lang w:val="en-US"/>
        </w:rPr>
        <w:t xml:space="preserve"> (Neff, 2003). The problem ceases to be </w:t>
      </w:r>
      <w:r>
        <w:rPr>
          <w:rFonts w:ascii="Times New Roman" w:hAnsi="Times New Roman" w:hint="default"/>
          <w:sz w:val="24"/>
          <w:szCs w:val="24"/>
          <w:rtl w:val="1"/>
          <w:lang w:val="ar-SA" w:bidi="ar-SA"/>
        </w:rPr>
        <w:t>“</w:t>
      </w:r>
      <w:r>
        <w:rPr>
          <w:rFonts w:ascii="Times New Roman" w:hAnsi="Times New Roman"/>
          <w:sz w:val="24"/>
          <w:szCs w:val="24"/>
          <w:rtl w:val="0"/>
          <w:lang w:val="en-US"/>
        </w:rPr>
        <w:t>my fear</w:t>
      </w:r>
      <w:r>
        <w:rPr>
          <w:rFonts w:ascii="Times New Roman" w:hAnsi="Times New Roman" w:hint="default"/>
          <w:sz w:val="24"/>
          <w:szCs w:val="24"/>
          <w:rtl w:val="0"/>
          <w:lang w:val="en-US"/>
        </w:rPr>
        <w:t>”</w:t>
      </w:r>
      <w:r>
        <w:rPr>
          <w:rFonts w:ascii="Times New Roman" w:hAnsi="Times New Roman"/>
          <w:sz w:val="24"/>
          <w:szCs w:val="24"/>
          <w:rtl w:val="0"/>
          <w:lang w:val="en-US"/>
        </w:rPr>
        <w:t xml:space="preserve"> and becomes </w:t>
      </w:r>
      <w:r>
        <w:rPr>
          <w:rFonts w:ascii="Times New Roman" w:hAnsi="Times New Roman" w:hint="default"/>
          <w:sz w:val="24"/>
          <w:szCs w:val="24"/>
          <w:rtl w:val="1"/>
          <w:lang w:val="ar-SA" w:bidi="ar-SA"/>
        </w:rPr>
        <w:t>“</w:t>
      </w:r>
      <w:r>
        <w:rPr>
          <w:rFonts w:ascii="Times New Roman" w:hAnsi="Times New Roman"/>
          <w:sz w:val="24"/>
          <w:szCs w:val="24"/>
          <w:rtl w:val="0"/>
          <w:lang w:val="en-US"/>
        </w:rPr>
        <w:t>our challenge.</w:t>
      </w:r>
      <w:r>
        <w:rPr>
          <w:rFonts w:ascii="Times New Roman" w:hAnsi="Times New Roman" w:hint="default"/>
          <w:sz w:val="24"/>
          <w:szCs w:val="24"/>
          <w:rtl w:val="0"/>
          <w:lang w:val="en-US"/>
        </w:rPr>
        <w:t>”</w:t>
      </w:r>
      <w:r>
        <w:rPr>
          <w:rFonts w:ascii="Times New Roman" w:hAnsi="Times New Roman"/>
          <w:sz w:val="24"/>
          <w:szCs w:val="24"/>
          <w:rtl w:val="0"/>
          <w:lang w:val="en-US"/>
        </w:rPr>
        <w:t xml:space="preserve"> The global crisis functions as what social psychologist Muzafer Sherif</w:t>
      </w:r>
      <w:r>
        <w:rPr>
          <w:rFonts w:ascii="Times New Roman" w:hAnsi="Times New Roman" w:hint="default"/>
          <w:sz w:val="24"/>
          <w:szCs w:val="24"/>
          <w:rtl w:val="1"/>
        </w:rPr>
        <w:t>’</w:t>
      </w:r>
      <w:r>
        <w:rPr>
          <w:rFonts w:ascii="Times New Roman" w:hAnsi="Times New Roman"/>
          <w:sz w:val="24"/>
          <w:szCs w:val="24"/>
          <w:rtl w:val="0"/>
          <w:lang w:val="en-US"/>
        </w:rPr>
        <w:t>s research identified as a superordinate goal</w:t>
      </w:r>
      <w:r>
        <w:rPr>
          <w:rFonts w:ascii="Times New Roman" w:hAnsi="Times New Roman" w:hint="default"/>
          <w:sz w:val="24"/>
          <w:szCs w:val="24"/>
          <w:rtl w:val="0"/>
          <w:lang w:val="en-US"/>
        </w:rPr>
        <w:t>—</w:t>
      </w:r>
      <w:r>
        <w:rPr>
          <w:rFonts w:ascii="Times New Roman" w:hAnsi="Times New Roman"/>
          <w:sz w:val="24"/>
          <w:szCs w:val="24"/>
          <w:rtl w:val="0"/>
          <w:lang w:val="en-US"/>
        </w:rPr>
        <w:t>a shared objective that requires cooperation and overrides previous divisions (Sherif, 1958). This process aligns with Social Identity Theory, wherein a shared threat creates a powerful new in-group identity (</w:t>
      </w:r>
      <w:r>
        <w:rPr>
          <w:rFonts w:ascii="Times New Roman" w:hAnsi="Times New Roman" w:hint="default"/>
          <w:sz w:val="24"/>
          <w:szCs w:val="24"/>
          <w:rtl w:val="1"/>
          <w:lang w:val="ar-SA" w:bidi="ar-SA"/>
        </w:rPr>
        <w:t>“</w:t>
      </w:r>
      <w:r>
        <w:rPr>
          <w:rFonts w:ascii="Times New Roman" w:hAnsi="Times New Roman"/>
          <w:sz w:val="24"/>
          <w:szCs w:val="24"/>
          <w:rtl w:val="0"/>
          <w:lang w:val="en-US"/>
        </w:rPr>
        <w:t>we</w:t>
      </w:r>
      <w:r>
        <w:rPr>
          <w:rFonts w:ascii="Times New Roman" w:hAnsi="Times New Roman" w:hint="default"/>
          <w:sz w:val="24"/>
          <w:szCs w:val="24"/>
          <w:rtl w:val="0"/>
          <w:lang w:val="en-US"/>
        </w:rPr>
        <w:t>”</w:t>
      </w:r>
      <w:r>
        <w:rPr>
          <w:rFonts w:ascii="Times New Roman" w:hAnsi="Times New Roman"/>
          <w:sz w:val="24"/>
          <w:szCs w:val="24"/>
          <w:rtl w:val="0"/>
          <w:lang w:val="en-US"/>
        </w:rPr>
        <w:t xml:space="preserve">) against an external challenge (Tajfel &amp; Turner, 1979). This activation of a collective </w:t>
      </w:r>
      <w:r>
        <w:rPr>
          <w:rFonts w:ascii="Times New Roman" w:hAnsi="Times New Roman" w:hint="default"/>
          <w:sz w:val="24"/>
          <w:szCs w:val="24"/>
          <w:rtl w:val="1"/>
          <w:lang w:val="ar-SA" w:bidi="ar-SA"/>
        </w:rPr>
        <w:t>“</w:t>
      </w:r>
      <w:r>
        <w:rPr>
          <w:rFonts w:ascii="Times New Roman" w:hAnsi="Times New Roman"/>
          <w:sz w:val="24"/>
          <w:szCs w:val="24"/>
          <w:rtl w:val="0"/>
          <w:lang w:val="en-US"/>
        </w:rPr>
        <w:t>we-ness</w:t>
      </w:r>
      <w:r>
        <w:rPr>
          <w:rFonts w:ascii="Times New Roman" w:hAnsi="Times New Roman" w:hint="default"/>
          <w:sz w:val="24"/>
          <w:szCs w:val="24"/>
          <w:rtl w:val="0"/>
          <w:lang w:val="en-US"/>
        </w:rPr>
        <w:t>”</w:t>
      </w:r>
      <w:r>
        <w:rPr>
          <w:rFonts w:ascii="Times New Roman" w:hAnsi="Times New Roman"/>
          <w:sz w:val="24"/>
          <w:szCs w:val="24"/>
          <w:rtl w:val="0"/>
          <w:lang w:val="en-US"/>
        </w:rPr>
        <w:t xml:space="preserve"> is the modern expression of what </w:t>
      </w:r>
      <w:r>
        <w:rPr>
          <w:rFonts w:ascii="Times New Roman" w:hAnsi="Times New Roman" w:hint="default"/>
          <w:sz w:val="24"/>
          <w:szCs w:val="24"/>
          <w:rtl w:val="0"/>
          <w:lang w:val="fr-FR"/>
        </w:rPr>
        <w:t>É</w:t>
      </w:r>
      <w:r>
        <w:rPr>
          <w:rFonts w:ascii="Times New Roman" w:hAnsi="Times New Roman"/>
          <w:sz w:val="24"/>
          <w:szCs w:val="24"/>
          <w:rtl w:val="0"/>
          <w:lang w:val="en-US"/>
        </w:rPr>
        <w:t xml:space="preserve">mile Durkheim (1912/1965) termed collective effervescence. The emergence of </w:t>
      </w:r>
      <w:r>
        <w:rPr>
          <w:rFonts w:ascii="Times New Roman" w:hAnsi="Times New Roman" w:hint="default"/>
          <w:sz w:val="24"/>
          <w:szCs w:val="24"/>
          <w:rtl w:val="1"/>
          <w:lang w:val="ar-SA" w:bidi="ar-SA"/>
        </w:rPr>
        <w:t>“</w:t>
      </w:r>
      <w:r>
        <w:rPr>
          <w:rFonts w:ascii="Times New Roman" w:hAnsi="Times New Roman"/>
          <w:sz w:val="24"/>
          <w:szCs w:val="24"/>
          <w:rtl w:val="0"/>
          <w:lang w:val="en-US"/>
        </w:rPr>
        <w:t>disaster communities</w:t>
      </w:r>
      <w:r>
        <w:rPr>
          <w:rFonts w:ascii="Times New Roman" w:hAnsi="Times New Roman" w:hint="default"/>
          <w:sz w:val="24"/>
          <w:szCs w:val="24"/>
          <w:rtl w:val="0"/>
          <w:lang w:val="en-US"/>
        </w:rPr>
        <w:t>”</w:t>
      </w:r>
      <w:r>
        <w:rPr>
          <w:rFonts w:ascii="Times New Roman" w:hAnsi="Times New Roman"/>
          <w:sz w:val="24"/>
          <w:szCs w:val="24"/>
          <w:rtl w:val="0"/>
          <w:lang w:val="en-US"/>
        </w:rPr>
        <w:t xml:space="preserve"> is therefore not just about logistics; it is a psychological process of restoring agency and reinforcing the social ties that buffer against distress. This demonstrates how the antidote to global anxiety is often found not in isolation, but in the potent, grounding force of tangible community.</w:t>
      </w:r>
    </w:p>
    <w:p>
      <w:pPr>
        <w:pStyle w:val="正文"/>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The Disciplined Practice: Cultivating an Intentional Resilience</w:t>
      </w:r>
    </w:p>
    <w:p>
      <w:pPr>
        <w:pStyle w:val="正文"/>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An effective response to perpetual crisis is not a passive trait but a disciplined, active practice. It requires the cultivation of resilience through three interconnected capacities. </w:t>
      </w:r>
    </w:p>
    <w:p>
      <w:pPr>
        <w:pStyle w:val="正文"/>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 first practice is not about ignoring the world; it is about reclaiming control over our own minds. The goal is to cultivate a practical awareness of our own thoughts and reactions as they arise</w:t>
      </w:r>
      <w:r>
        <w:rPr>
          <w:rFonts w:ascii="Times New Roman" w:hAnsi="Times New Roman" w:hint="default"/>
          <w:sz w:val="24"/>
          <w:szCs w:val="24"/>
          <w:rtl w:val="0"/>
          <w:lang w:val="en-US"/>
        </w:rPr>
        <w:t>—</w:t>
      </w:r>
      <w:r>
        <w:rPr>
          <w:rFonts w:ascii="Times New Roman" w:hAnsi="Times New Roman"/>
          <w:sz w:val="24"/>
          <w:szCs w:val="24"/>
          <w:rtl w:val="0"/>
          <w:lang w:val="en-US"/>
        </w:rPr>
        <w:t>an awareness built through mindfulness. This is what gives us a choice. It is the choice to engage with the world</w:t>
      </w:r>
      <w:r>
        <w:rPr>
          <w:rFonts w:ascii="Times New Roman" w:hAnsi="Times New Roman" w:hint="default"/>
          <w:sz w:val="24"/>
          <w:szCs w:val="24"/>
          <w:rtl w:val="1"/>
        </w:rPr>
        <w:t>’</w:t>
      </w:r>
      <w:r>
        <w:rPr>
          <w:rFonts w:ascii="Times New Roman" w:hAnsi="Times New Roman"/>
          <w:sz w:val="24"/>
          <w:szCs w:val="24"/>
          <w:rtl w:val="0"/>
          <w:lang w:val="en-US"/>
        </w:rPr>
        <w:t>s crises on our own terms, instead of on the terms set by an algorithm.</w:t>
      </w:r>
    </w:p>
    <w:p>
      <w:pPr>
        <w:pStyle w:val="正文"/>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The second practice is about confronting the powerlessness of modern anxiety by making a strategic shift in focus from what one cannot control to what one can. This means turning from the vast </w:t>
      </w:r>
      <w:r>
        <w:rPr>
          <w:rFonts w:ascii="Times New Roman" w:hAnsi="Times New Roman" w:hint="default"/>
          <w:sz w:val="24"/>
          <w:szCs w:val="24"/>
          <w:rtl w:val="1"/>
          <w:lang w:val="ar-SA" w:bidi="ar-SA"/>
        </w:rPr>
        <w:t>“</w:t>
      </w:r>
      <w:r>
        <w:rPr>
          <w:rFonts w:ascii="Times New Roman" w:hAnsi="Times New Roman"/>
          <w:sz w:val="24"/>
          <w:szCs w:val="24"/>
          <w:rtl w:val="0"/>
          <w:lang w:val="en-US"/>
        </w:rPr>
        <w:t>Circle of Concern</w:t>
      </w:r>
      <w:r>
        <w:rPr>
          <w:rFonts w:ascii="Times New Roman" w:hAnsi="Times New Roman" w:hint="default"/>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lang w:val="en-US"/>
        </w:rPr>
        <w:t>containing global problems beyond individual remedy</w:t>
      </w:r>
      <w:r>
        <w:rPr>
          <w:rFonts w:ascii="Times New Roman" w:hAnsi="Times New Roman" w:hint="default"/>
          <w:sz w:val="24"/>
          <w:szCs w:val="24"/>
          <w:rtl w:val="0"/>
          <w:lang w:val="en-US"/>
        </w:rPr>
        <w:t>—</w:t>
      </w:r>
      <w:r>
        <w:rPr>
          <w:rFonts w:ascii="Times New Roman" w:hAnsi="Times New Roman"/>
          <w:sz w:val="24"/>
          <w:szCs w:val="24"/>
          <w:rtl w:val="0"/>
          <w:lang w:val="en-US"/>
        </w:rPr>
        <w:t xml:space="preserve">to the tangible </w:t>
      </w:r>
      <w:r>
        <w:rPr>
          <w:rFonts w:ascii="Times New Roman" w:hAnsi="Times New Roman" w:hint="default"/>
          <w:sz w:val="24"/>
          <w:szCs w:val="24"/>
          <w:rtl w:val="1"/>
          <w:lang w:val="ar-SA" w:bidi="ar-SA"/>
        </w:rPr>
        <w:t>“</w:t>
      </w:r>
      <w:r>
        <w:rPr>
          <w:rFonts w:ascii="Times New Roman" w:hAnsi="Times New Roman"/>
          <w:sz w:val="24"/>
          <w:szCs w:val="24"/>
          <w:rtl w:val="0"/>
          <w:lang w:val="en-US"/>
        </w:rPr>
        <w:t>Circle of Influence</w:t>
      </w:r>
      <w:r>
        <w:rPr>
          <w:rFonts w:ascii="Times New Roman" w:hAnsi="Times New Roman" w:hint="default"/>
          <w:sz w:val="24"/>
          <w:szCs w:val="24"/>
          <w:rtl w:val="0"/>
          <w:lang w:val="en-US"/>
        </w:rPr>
        <w:t>”</w:t>
      </w:r>
      <w:r>
        <w:rPr>
          <w:rFonts w:ascii="Times New Roman" w:hAnsi="Times New Roman"/>
          <w:sz w:val="24"/>
          <w:szCs w:val="24"/>
          <w:rtl w:val="0"/>
          <w:lang w:val="en-US"/>
        </w:rPr>
        <w:t xml:space="preserve"> (Covey, 1989). This redirection of energy is not denial; it is the fundamental work of rebuilding self-efficacy (Bandura, 1997) and an internal locus of control, which are essential for psychological well-being (Rotter, 1966). </w:t>
      </w:r>
    </w:p>
    <w:p>
      <w:pPr>
        <w:pStyle w:val="正文"/>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 final practice is about finding our strength in community as a direct response to the isolating nature of modern anxiety.</w:t>
      </w:r>
      <w:r>
        <w:rPr>
          <w:rFonts w:ascii="Times New Roman" w:hAnsi="Times New Roman"/>
          <w:sz w:val="24"/>
          <w:szCs w:val="24"/>
          <w:rtl w:val="0"/>
          <w:lang w:val="en-US"/>
        </w:rPr>
        <w:t xml:space="preserve"> </w:t>
      </w:r>
      <w:r>
        <w:rPr>
          <w:rFonts w:ascii="Times New Roman" w:hAnsi="Times New Roman"/>
          <w:sz w:val="24"/>
          <w:szCs w:val="24"/>
          <w:rtl w:val="0"/>
          <w:lang w:val="en-US"/>
        </w:rPr>
        <w:t>It is the intentional turn towards the grounding force of a tangible, local community. This shift is not a sentimental preference. It is a psychological necessity. Research in positive psychology confirms this. It has demonstrated that strong social relationships are not a luxury but a core pillar of human flourishing and a primary buffer against distress (Seligman, 2011). The work, then, is to build this bulwark intentionally. This means transforming communal strength from a crisis response into a sustained way of life.</w:t>
      </w:r>
    </w:p>
    <w:p>
      <w:pPr>
        <w:pStyle w:val="正文"/>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Conclusion: Navigating the Paradox</w:t>
      </w:r>
    </w:p>
    <w:p>
      <w:pPr>
        <w:pStyle w:val="正文"/>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Our awareness of the world's pain is also the source of our resilience. The goal, then, is not to escape this tension. It is to find the maturity to live within it. This maturity begins with a simple but profound acceptance. The anxiety we feel is not a weakness to be cured. It is the cost of an open heart in a connected world.</w:t>
      </w:r>
    </w:p>
    <w:p>
      <w:pPr>
        <w:pStyle w:val="正文"/>
        <w:spacing w:line="480" w:lineRule="auto"/>
        <w:jc w:val="left"/>
      </w:pPr>
      <w:r>
        <w:rPr>
          <w:rFonts w:ascii="Times New Roman" w:cs="Times New Roman" w:hAnsi="Times New Roman" w:eastAsia="Times New Roman"/>
          <w:sz w:val="24"/>
          <w:szCs w:val="24"/>
        </w:rPr>
        <w:tab/>
      </w:r>
      <w:r>
        <w:rPr>
          <w:rFonts w:ascii="Times New Roman" w:hAnsi="Times New Roman"/>
          <w:sz w:val="24"/>
          <w:szCs w:val="24"/>
          <w:rtl w:val="0"/>
          <w:lang w:val="en-US"/>
        </w:rPr>
        <w:t>If our anxiety is the cost of awareness, then true resilience cannot be a retreat into ignorance. It must be the courage to look at the world</w:t>
      </w:r>
      <w:r>
        <w:rPr>
          <w:rFonts w:ascii="Times New Roman" w:hAnsi="Times New Roman" w:hint="default"/>
          <w:sz w:val="24"/>
          <w:szCs w:val="24"/>
          <w:rtl w:val="1"/>
        </w:rPr>
        <w:t>’</w:t>
      </w:r>
      <w:r>
        <w:rPr>
          <w:rFonts w:ascii="Times New Roman" w:hAnsi="Times New Roman"/>
          <w:sz w:val="24"/>
          <w:szCs w:val="24"/>
          <w:rtl w:val="0"/>
          <w:lang w:val="en-US"/>
        </w:rPr>
        <w:t>s harshness and choose to engage anyway. This is the fundamental choice we face</w:t>
      </w:r>
      <w:r>
        <w:rPr>
          <w:rFonts w:ascii="Times New Roman" w:hAnsi="Times New Roman" w:hint="default"/>
          <w:sz w:val="24"/>
          <w:szCs w:val="24"/>
          <w:rtl w:val="0"/>
          <w:lang w:val="en-US"/>
        </w:rPr>
        <w:t>—</w:t>
      </w:r>
      <w:r>
        <w:rPr>
          <w:rFonts w:ascii="Times New Roman" w:hAnsi="Times New Roman"/>
          <w:sz w:val="24"/>
          <w:szCs w:val="24"/>
          <w:rtl w:val="0"/>
          <w:lang w:val="en-US"/>
        </w:rPr>
        <w:t>not between anxiety and peace, but between the meaningful discomfort of engagement and the empty peace of apathy. The most profound resilience is forged in this decision. It is the choice to build community in an age of isolation, to find purpose in the face of crisis, and to act with integrity within our own small sphere.</w:t>
      </w:r>
      <w:r>
        <w:rPr>
          <w:rFonts w:ascii="Arial Unicode MS" w:cs="Arial Unicode MS" w:hAnsi="Arial Unicode MS" w:eastAsia="Arial Unicode MS"/>
          <w:b w:val="0"/>
          <w:bCs w:val="0"/>
          <w:i w:val="0"/>
          <w:iCs w:val="0"/>
          <w:sz w:val="24"/>
          <w:szCs w:val="24"/>
        </w:rPr>
        <w:br w:type="page"/>
      </w:r>
    </w:p>
    <w:p>
      <w:pPr>
        <w:pStyle w:val="正文"/>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References</w:t>
      </w:r>
    </w:p>
    <w:p>
      <w:pPr>
        <w:pStyle w:val="默认"/>
        <w:suppressAutoHyphens w:val="1"/>
        <w:spacing w:before="0" w:line="640" w:lineRule="atLeast"/>
        <w:ind w:left="960" w:hanging="960"/>
        <w:jc w:val="left"/>
        <w:rPr>
          <w:rFonts w:ascii="Times New Roman" w:cs="Times New Roman" w:hAnsi="Times New Roman" w:eastAsia="Times New Roman"/>
          <w:i w:val="0"/>
          <w:iCs w:val="0"/>
        </w:rPr>
      </w:pPr>
      <w:r>
        <w:rPr>
          <w:rFonts w:ascii="Times New Roman" w:hAnsi="Times New Roman"/>
          <w:i w:val="0"/>
          <w:iCs w:val="0"/>
          <w:rtl w:val="0"/>
        </w:rPr>
        <w:t xml:space="preserve">Bandura, A. (1997). </w:t>
      </w:r>
      <w:r>
        <w:rPr>
          <w:rFonts w:ascii="Times New Roman" w:hAnsi="Times New Roman"/>
          <w:i w:val="1"/>
          <w:iCs w:val="1"/>
          <w:rtl w:val="0"/>
          <w:lang w:val="en-US"/>
        </w:rPr>
        <w:t>Self-efficacy: The exercise of control.</w:t>
      </w:r>
      <w:r>
        <w:rPr>
          <w:rFonts w:ascii="Times New Roman" w:hAnsi="Times New Roman"/>
          <w:i w:val="0"/>
          <w:iCs w:val="0"/>
          <w:rtl w:val="0"/>
          <w:lang w:val="pt-PT"/>
        </w:rPr>
        <w:t xml:space="preserve"> W. H. Freeman.</w:t>
      </w:r>
    </w:p>
    <w:p>
      <w:pPr>
        <w:pStyle w:val="默认"/>
        <w:suppressAutoHyphens w:val="1"/>
        <w:spacing w:before="0" w:line="640" w:lineRule="atLeast"/>
        <w:ind w:left="960" w:hanging="960"/>
        <w:jc w:val="left"/>
        <w:rPr>
          <w:rFonts w:ascii="Times New Roman" w:cs="Times New Roman" w:hAnsi="Times New Roman" w:eastAsia="Times New Roman"/>
          <w:i w:val="0"/>
          <w:iCs w:val="0"/>
        </w:rPr>
      </w:pPr>
      <w:r>
        <w:rPr>
          <w:rFonts w:ascii="Times New Roman" w:hAnsi="Times New Roman"/>
          <w:i w:val="0"/>
          <w:iCs w:val="0"/>
          <w:rtl w:val="0"/>
        </w:rPr>
        <w:t xml:space="preserve">Covey, S. R. (1989). </w:t>
      </w:r>
      <w:r>
        <w:rPr>
          <w:rFonts w:ascii="Times New Roman" w:hAnsi="Times New Roman"/>
          <w:i w:val="1"/>
          <w:iCs w:val="1"/>
          <w:rtl w:val="0"/>
          <w:lang w:val="en-US"/>
        </w:rPr>
        <w:t>The 7 habits of highly effective people: Restoring the character ethic.</w:t>
      </w:r>
      <w:r>
        <w:rPr>
          <w:rFonts w:ascii="Times New Roman" w:hAnsi="Times New Roman"/>
          <w:i w:val="0"/>
          <w:iCs w:val="0"/>
          <w:rtl w:val="0"/>
          <w:lang w:val="it-IT"/>
        </w:rPr>
        <w:t xml:space="preserve"> Simon &amp; Schuster.</w:t>
      </w:r>
    </w:p>
    <w:p>
      <w:pPr>
        <w:pStyle w:val="默认"/>
        <w:suppressAutoHyphens w:val="1"/>
        <w:spacing w:before="0" w:line="640" w:lineRule="atLeast"/>
        <w:ind w:left="960" w:hanging="960"/>
        <w:jc w:val="left"/>
        <w:rPr>
          <w:rFonts w:ascii="Times New Roman" w:cs="Times New Roman" w:hAnsi="Times New Roman" w:eastAsia="Times New Roman"/>
        </w:rPr>
      </w:pPr>
      <w:r>
        <w:rPr>
          <w:rFonts w:ascii="Times New Roman" w:hAnsi="Times New Roman"/>
          <w:rtl w:val="0"/>
          <w:lang w:val="nl-NL"/>
        </w:rPr>
        <w:t xml:space="preserve">Durkheim, </w:t>
      </w:r>
      <w:r>
        <w:rPr>
          <w:rFonts w:ascii="Times New Roman" w:hAnsi="Times New Roman" w:hint="default"/>
          <w:rtl w:val="0"/>
          <w:lang w:val="fr-FR"/>
        </w:rPr>
        <w:t>É</w:t>
      </w:r>
      <w:r>
        <w:rPr>
          <w:rFonts w:ascii="Times New Roman" w:hAnsi="Times New Roman"/>
          <w:rtl w:val="0"/>
        </w:rPr>
        <w:t xml:space="preserve">. (1965). </w:t>
      </w:r>
      <w:r>
        <w:rPr>
          <w:rFonts w:ascii="Times New Roman" w:hAnsi="Times New Roman"/>
          <w:i w:val="1"/>
          <w:iCs w:val="1"/>
          <w:rtl w:val="0"/>
          <w:lang w:val="en-US"/>
        </w:rPr>
        <w:t>The elementary forms of the religious life</w:t>
      </w:r>
      <w:r>
        <w:rPr>
          <w:rFonts w:ascii="Times New Roman" w:hAnsi="Times New Roman"/>
          <w:rtl w:val="0"/>
          <w:lang w:val="en-US"/>
        </w:rPr>
        <w:t xml:space="preserve"> (J. W. Swain, Trans.). The Free Press. (Original work published 1912)</w:t>
      </w:r>
    </w:p>
    <w:p>
      <w:pPr>
        <w:pStyle w:val="默认"/>
        <w:suppressAutoHyphens w:val="1"/>
        <w:spacing w:before="0" w:line="640" w:lineRule="atLeast"/>
        <w:ind w:left="960" w:hanging="960"/>
        <w:jc w:val="left"/>
        <w:rPr>
          <w:rFonts w:ascii="Times New Roman" w:cs="Times New Roman" w:hAnsi="Times New Roman" w:eastAsia="Times New Roman"/>
          <w:i w:val="0"/>
          <w:iCs w:val="0"/>
        </w:rPr>
      </w:pPr>
      <w:r>
        <w:rPr>
          <w:rFonts w:ascii="Times New Roman" w:hAnsi="Times New Roman"/>
          <w:i w:val="0"/>
          <w:iCs w:val="0"/>
          <w:rtl w:val="0"/>
        </w:rPr>
        <w:t xml:space="preserve">Festinger, L. (1957). </w:t>
      </w:r>
      <w:r>
        <w:rPr>
          <w:rFonts w:ascii="Times New Roman" w:hAnsi="Times New Roman"/>
          <w:i w:val="1"/>
          <w:iCs w:val="1"/>
          <w:rtl w:val="0"/>
          <w:lang w:val="en-US"/>
        </w:rPr>
        <w:t>A theory of cognitive dissonance.</w:t>
      </w:r>
      <w:r>
        <w:rPr>
          <w:rFonts w:ascii="Times New Roman" w:hAnsi="Times New Roman"/>
          <w:i w:val="0"/>
          <w:iCs w:val="0"/>
          <w:rtl w:val="0"/>
        </w:rPr>
        <w:t xml:space="preserve"> Stanford University Press.</w:t>
      </w:r>
    </w:p>
    <w:p>
      <w:pPr>
        <w:pStyle w:val="默认"/>
        <w:suppressAutoHyphens w:val="1"/>
        <w:spacing w:before="0" w:line="640" w:lineRule="atLeast"/>
        <w:ind w:left="960" w:hanging="960"/>
        <w:jc w:val="left"/>
        <w:rPr>
          <w:rFonts w:ascii="Times New Roman" w:cs="Times New Roman" w:hAnsi="Times New Roman" w:eastAsia="Times New Roman"/>
          <w:i w:val="0"/>
          <w:iCs w:val="0"/>
        </w:rPr>
      </w:pPr>
      <w:r>
        <w:rPr>
          <w:rFonts w:ascii="Times New Roman" w:hAnsi="Times New Roman"/>
          <w:i w:val="0"/>
          <w:iCs w:val="0"/>
          <w:rtl w:val="0"/>
        </w:rPr>
        <w:t xml:space="preserve">Figley, C. R. (Ed.). (1995). </w:t>
      </w:r>
      <w:r>
        <w:rPr>
          <w:rFonts w:ascii="Times New Roman" w:hAnsi="Times New Roman"/>
          <w:i w:val="1"/>
          <w:iCs w:val="1"/>
          <w:rtl w:val="0"/>
          <w:lang w:val="en-US"/>
        </w:rPr>
        <w:t>Compassion fatigue: Coping with secondary traumatic stress disorder in those who treat the traumatized.</w:t>
      </w:r>
      <w:r>
        <w:rPr>
          <w:rFonts w:ascii="Times New Roman" w:hAnsi="Times New Roman"/>
          <w:i w:val="0"/>
          <w:iCs w:val="0"/>
          <w:rtl w:val="0"/>
        </w:rPr>
        <w:t xml:space="preserve"> Brunner/Mazel.</w:t>
      </w:r>
    </w:p>
    <w:p>
      <w:pPr>
        <w:pStyle w:val="默认"/>
        <w:suppressAutoHyphens w:val="1"/>
        <w:spacing w:before="0" w:line="640" w:lineRule="atLeast"/>
        <w:ind w:left="960" w:hanging="960"/>
        <w:jc w:val="left"/>
        <w:rPr>
          <w:rFonts w:ascii="Times New Roman" w:cs="Times New Roman" w:hAnsi="Times New Roman" w:eastAsia="Times New Roman"/>
          <w:i w:val="0"/>
          <w:iCs w:val="0"/>
        </w:rPr>
      </w:pPr>
      <w:r>
        <w:rPr>
          <w:rFonts w:ascii="Times New Roman" w:hAnsi="Times New Roman"/>
          <w:i w:val="0"/>
          <w:iCs w:val="0"/>
          <w:rtl w:val="0"/>
        </w:rPr>
        <w:t xml:space="preserve">Frankl, V. E. (1959). </w:t>
      </w:r>
      <w:r>
        <w:rPr>
          <w:rFonts w:ascii="Times New Roman" w:hAnsi="Times New Roman"/>
          <w:i w:val="1"/>
          <w:iCs w:val="1"/>
          <w:rtl w:val="0"/>
          <w:lang w:val="en-US"/>
        </w:rPr>
        <w:t>Man's search for meaning.</w:t>
      </w:r>
      <w:r>
        <w:rPr>
          <w:rFonts w:ascii="Times New Roman" w:hAnsi="Times New Roman"/>
          <w:i w:val="0"/>
          <w:iCs w:val="0"/>
          <w:rtl w:val="0"/>
          <w:lang w:val="en-US"/>
        </w:rPr>
        <w:t xml:space="preserve"> Beacon Press.</w:t>
      </w:r>
    </w:p>
    <w:p>
      <w:pPr>
        <w:pStyle w:val="默认"/>
        <w:suppressAutoHyphens w:val="1"/>
        <w:spacing w:before="0" w:line="640" w:lineRule="atLeast"/>
        <w:ind w:left="960" w:hanging="960"/>
        <w:jc w:val="left"/>
        <w:rPr>
          <w:rFonts w:ascii="Times New Roman" w:cs="Times New Roman" w:hAnsi="Times New Roman" w:eastAsia="Times New Roman"/>
          <w:i w:val="0"/>
          <w:iCs w:val="0"/>
        </w:rPr>
      </w:pPr>
      <w:r>
        <w:rPr>
          <w:rFonts w:ascii="Times New Roman" w:hAnsi="Times New Roman"/>
          <w:i w:val="0"/>
          <w:iCs w:val="0"/>
          <w:rtl w:val="0"/>
          <w:lang w:val="nl-NL"/>
        </w:rPr>
        <w:t xml:space="preserve">Giddens, A. (1991). </w:t>
      </w:r>
      <w:r>
        <w:rPr>
          <w:rFonts w:ascii="Times New Roman" w:hAnsi="Times New Roman"/>
          <w:i w:val="1"/>
          <w:iCs w:val="1"/>
          <w:rtl w:val="0"/>
          <w:lang w:val="en-US"/>
        </w:rPr>
        <w:t>Modernity and self-identity: Self and society in the late modern age.</w:t>
      </w:r>
      <w:r>
        <w:rPr>
          <w:rFonts w:ascii="Times New Roman" w:hAnsi="Times New Roman"/>
          <w:i w:val="0"/>
          <w:iCs w:val="0"/>
          <w:rtl w:val="0"/>
        </w:rPr>
        <w:t xml:space="preserve"> Stanford University Press.</w:t>
      </w:r>
    </w:p>
    <w:p>
      <w:pPr>
        <w:pStyle w:val="默认"/>
        <w:suppressAutoHyphens w:val="1"/>
        <w:spacing w:before="0" w:line="640" w:lineRule="atLeast"/>
        <w:ind w:left="960" w:hanging="960"/>
        <w:jc w:val="left"/>
        <w:rPr>
          <w:rFonts w:ascii="Times New Roman" w:cs="Times New Roman" w:hAnsi="Times New Roman" w:eastAsia="Times New Roman"/>
        </w:rPr>
      </w:pPr>
      <w:r>
        <w:rPr>
          <w:rFonts w:ascii="Times New Roman" w:hAnsi="Times New Roman"/>
          <w:rtl w:val="0"/>
        </w:rPr>
        <w:t xml:space="preserve">Kahneman, D. (2011). </w:t>
      </w:r>
      <w:r>
        <w:rPr>
          <w:rFonts w:ascii="Times New Roman" w:hAnsi="Times New Roman"/>
          <w:i w:val="1"/>
          <w:iCs w:val="1"/>
          <w:rtl w:val="0"/>
          <w:lang w:val="en-US"/>
        </w:rPr>
        <w:t>Thinking, fast and slow.</w:t>
      </w:r>
      <w:r>
        <w:rPr>
          <w:rFonts w:ascii="Times New Roman" w:hAnsi="Times New Roman"/>
          <w:rtl w:val="0"/>
          <w:lang w:val="de-DE"/>
        </w:rPr>
        <w:t xml:space="preserve"> Farrar, Straus and Giroux.</w:t>
      </w:r>
    </w:p>
    <w:p>
      <w:pPr>
        <w:pStyle w:val="默认"/>
        <w:suppressAutoHyphens w:val="1"/>
        <w:spacing w:before="0" w:line="640" w:lineRule="atLeast"/>
        <w:ind w:left="960" w:hanging="960"/>
        <w:jc w:val="left"/>
        <w:rPr>
          <w:rFonts w:ascii="Times New Roman" w:cs="Times New Roman" w:hAnsi="Times New Roman" w:eastAsia="Times New Roman"/>
        </w:rPr>
      </w:pPr>
      <w:r>
        <w:rPr>
          <w:rFonts w:ascii="Times New Roman" w:hAnsi="Times New Roman"/>
          <w:rtl w:val="0"/>
          <w:lang w:val="en-US"/>
        </w:rPr>
        <w:t xml:space="preserve">Kramer, A. D. I., Guillory, J. E., &amp; Hancock, J. T. (2014). Experimental evidence of massive-scale emotional contagion through social networks. </w:t>
      </w:r>
      <w:r>
        <w:rPr>
          <w:rFonts w:ascii="Times New Roman" w:hAnsi="Times New Roman"/>
          <w:i w:val="1"/>
          <w:iCs w:val="1"/>
          <w:rtl w:val="0"/>
          <w:lang w:val="en-US"/>
        </w:rPr>
        <w:t>Proceedings of the National Academy of Sciences, 111</w:t>
      </w:r>
      <w:r>
        <w:rPr>
          <w:rFonts w:ascii="Times New Roman" w:hAnsi="Times New Roman"/>
          <w:rtl w:val="0"/>
        </w:rPr>
        <w:t>(24), 8788</w:t>
      </w:r>
      <w:r>
        <w:rPr>
          <w:rFonts w:ascii="Times New Roman" w:hAnsi="Times New Roman" w:hint="default"/>
          <w:rtl w:val="0"/>
        </w:rPr>
        <w:t>–</w:t>
      </w:r>
      <w:r>
        <w:rPr>
          <w:rFonts w:ascii="Times New Roman" w:hAnsi="Times New Roman"/>
          <w:rtl w:val="0"/>
        </w:rPr>
        <w:t xml:space="preserve">8790.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"https://doi.org/10.1073/pnas.1320040111"</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pt-PT"/>
        </w:rPr>
        <w:t>https://doi.org/10.1073/pnas.1320040111</w:t>
      </w:r>
      <w:r>
        <w:rPr>
          <w:rFonts w:ascii="Times New Roman" w:cs="Times New Roman" w:hAnsi="Times New Roman" w:eastAsia="Times New Roman"/>
        </w:rPr>
        <w:fldChar w:fldCharType="end" w:fldLock="0"/>
      </w:r>
    </w:p>
    <w:p>
      <w:pPr>
        <w:pStyle w:val="默认"/>
        <w:suppressAutoHyphens w:val="1"/>
        <w:spacing w:before="0" w:line="640" w:lineRule="atLeast"/>
        <w:ind w:left="960" w:hanging="960"/>
        <w:jc w:val="left"/>
        <w:rPr>
          <w:rFonts w:ascii="Times New Roman" w:cs="Times New Roman" w:hAnsi="Times New Roman" w:eastAsia="Times New Roman"/>
        </w:rPr>
      </w:pPr>
      <w:r>
        <w:rPr>
          <w:rFonts w:ascii="Times New Roman" w:hAnsi="Times New Roman"/>
          <w:rtl w:val="0"/>
          <w:lang w:val="fr-FR"/>
        </w:rPr>
        <w:t xml:space="preserve">LeDoux, J. E. (1996). </w:t>
      </w:r>
      <w:r>
        <w:rPr>
          <w:rFonts w:ascii="Times New Roman" w:hAnsi="Times New Roman"/>
          <w:i w:val="1"/>
          <w:iCs w:val="1"/>
          <w:rtl w:val="0"/>
          <w:lang w:val="en-US"/>
        </w:rPr>
        <w:t>The emotional brain: The mysterious underpinnings of emotional life.</w:t>
      </w:r>
      <w:r>
        <w:rPr>
          <w:rFonts w:ascii="Times New Roman" w:hAnsi="Times New Roman"/>
          <w:rtl w:val="0"/>
          <w:lang w:val="it-IT"/>
        </w:rPr>
        <w:t xml:space="preserve"> Simon &amp; Schuster.</w:t>
      </w:r>
    </w:p>
    <w:p>
      <w:pPr>
        <w:pStyle w:val="默认"/>
        <w:suppressAutoHyphens w:val="1"/>
        <w:spacing w:before="0" w:line="640" w:lineRule="atLeast"/>
        <w:ind w:left="960" w:hanging="960"/>
        <w:jc w:val="left"/>
        <w:rPr>
          <w:rFonts w:ascii="Times New Roman" w:cs="Times New Roman" w:hAnsi="Times New Roman" w:eastAsia="Times New Roman"/>
        </w:rPr>
      </w:pPr>
      <w:r>
        <w:rPr>
          <w:rFonts w:ascii="Times New Roman" w:hAnsi="Times New Roman"/>
          <w:rtl w:val="0"/>
          <w:lang w:val="en-US"/>
        </w:rPr>
        <w:t xml:space="preserve">McCann, I. L., &amp; Pearlman, L. A. (1990). Vicarious traumatization: A framework for understanding the psychological effects of working with victims. </w:t>
      </w:r>
      <w:r>
        <w:rPr>
          <w:rFonts w:ascii="Times New Roman" w:hAnsi="Times New Roman"/>
          <w:i w:val="1"/>
          <w:iCs w:val="1"/>
          <w:rtl w:val="0"/>
          <w:lang w:val="en-US"/>
        </w:rPr>
        <w:t>Journal of Traumatic Stress, 3</w:t>
      </w:r>
      <w:r>
        <w:rPr>
          <w:rFonts w:ascii="Times New Roman" w:hAnsi="Times New Roman"/>
          <w:rtl w:val="0"/>
        </w:rPr>
        <w:t>(1), 131</w:t>
      </w:r>
      <w:r>
        <w:rPr>
          <w:rFonts w:ascii="Times New Roman" w:hAnsi="Times New Roman" w:hint="default"/>
          <w:rtl w:val="0"/>
        </w:rPr>
        <w:t>–</w:t>
      </w:r>
      <w:r>
        <w:rPr>
          <w:rFonts w:ascii="Times New Roman" w:hAnsi="Times New Roman"/>
          <w:rtl w:val="0"/>
        </w:rPr>
        <w:t xml:space="preserve">149.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"https://doi.org/10.1002/jts.2490030110"</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https://doi.org/10.1002/jts.2490030110</w:t>
      </w:r>
      <w:r>
        <w:rPr>
          <w:rFonts w:ascii="Times New Roman" w:cs="Times New Roman" w:hAnsi="Times New Roman" w:eastAsia="Times New Roman"/>
        </w:rPr>
        <w:fldChar w:fldCharType="end" w:fldLock="0"/>
      </w:r>
    </w:p>
    <w:p>
      <w:pPr>
        <w:pStyle w:val="默认"/>
        <w:suppressAutoHyphens w:val="1"/>
        <w:spacing w:before="0" w:line="640" w:lineRule="atLeast"/>
        <w:ind w:left="960" w:hanging="960"/>
        <w:jc w:val="left"/>
        <w:rPr>
          <w:rFonts w:ascii="Times New Roman" w:cs="Times New Roman" w:hAnsi="Times New Roman" w:eastAsia="Times New Roman"/>
        </w:rPr>
      </w:pPr>
      <w:r>
        <w:rPr>
          <w:rFonts w:ascii="Times New Roman" w:hAnsi="Times New Roman"/>
          <w:rtl w:val="0"/>
          <w:lang w:val="en-US"/>
        </w:rPr>
        <w:t xml:space="preserve">Neff, K. D. (2003). Self-compassion: An alternative conceptualization of a healthy attitude toward oneself. </w:t>
      </w:r>
      <w:r>
        <w:rPr>
          <w:rFonts w:ascii="Times New Roman" w:hAnsi="Times New Roman"/>
          <w:i w:val="1"/>
          <w:iCs w:val="1"/>
          <w:rtl w:val="0"/>
          <w:lang w:val="en-US"/>
        </w:rPr>
        <w:t>Self and Identity, 2</w:t>
      </w:r>
      <w:r>
        <w:rPr>
          <w:rFonts w:ascii="Times New Roman" w:hAnsi="Times New Roman"/>
          <w:rtl w:val="0"/>
        </w:rPr>
        <w:t>(2), 85</w:t>
      </w:r>
      <w:r>
        <w:rPr>
          <w:rFonts w:ascii="Times New Roman" w:hAnsi="Times New Roman" w:hint="default"/>
          <w:rtl w:val="0"/>
        </w:rPr>
        <w:t>–</w:t>
      </w:r>
      <w:r>
        <w:rPr>
          <w:rFonts w:ascii="Times New Roman" w:hAnsi="Times New Roman"/>
          <w:rtl w:val="0"/>
        </w:rPr>
        <w:t xml:space="preserve">101.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"https://doi.org/10.1080/15298860309032"</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https://doi.org/10.1080/15298860309032</w:t>
      </w:r>
      <w:r>
        <w:rPr>
          <w:rFonts w:ascii="Times New Roman" w:cs="Times New Roman" w:hAnsi="Times New Roman" w:eastAsia="Times New Roman"/>
        </w:rPr>
        <w:fldChar w:fldCharType="end" w:fldLock="0"/>
      </w:r>
    </w:p>
    <w:p>
      <w:pPr>
        <w:pStyle w:val="默认"/>
        <w:suppressAutoHyphens w:val="1"/>
        <w:spacing w:before="0" w:line="640" w:lineRule="atLeast"/>
        <w:ind w:left="960" w:hanging="960"/>
        <w:jc w:val="left"/>
        <w:rPr>
          <w:rFonts w:ascii="Times New Roman" w:cs="Times New Roman" w:hAnsi="Times New Roman" w:eastAsia="Times New Roman"/>
        </w:rPr>
      </w:pPr>
      <w:r>
        <w:rPr>
          <w:rFonts w:ascii="Times New Roman" w:hAnsi="Times New Roman"/>
          <w:rtl w:val="0"/>
          <w:lang w:val="en-US"/>
        </w:rPr>
        <w:t xml:space="preserve">Rotter, J. B. (1966). Generalized expectancies for internal versus external control of reinforcement. </w:t>
      </w:r>
      <w:r>
        <w:rPr>
          <w:rFonts w:ascii="Times New Roman" w:hAnsi="Times New Roman"/>
          <w:i w:val="1"/>
          <w:iCs w:val="1"/>
          <w:rtl w:val="0"/>
          <w:lang w:val="en-US"/>
        </w:rPr>
        <w:t>Psychological Monographs: General and Applied, 80</w:t>
      </w:r>
      <w:r>
        <w:rPr>
          <w:rFonts w:ascii="Times New Roman" w:hAnsi="Times New Roman"/>
          <w:rtl w:val="0"/>
        </w:rPr>
        <w:t>(1), 1</w:t>
      </w:r>
      <w:r>
        <w:rPr>
          <w:rFonts w:ascii="Times New Roman" w:hAnsi="Times New Roman" w:hint="default"/>
          <w:rtl w:val="0"/>
        </w:rPr>
        <w:t>–</w:t>
      </w:r>
      <w:r>
        <w:rPr>
          <w:rFonts w:ascii="Times New Roman" w:hAnsi="Times New Roman"/>
          <w:rtl w:val="0"/>
        </w:rPr>
        <w:t xml:space="preserve">28.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"https://doi.org/10.1037/h0092976"</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https://doi.org/10.1037/h0092976</w:t>
      </w:r>
      <w:r>
        <w:rPr>
          <w:rFonts w:ascii="Times New Roman" w:cs="Times New Roman" w:hAnsi="Times New Roman" w:eastAsia="Times New Roman"/>
        </w:rPr>
        <w:fldChar w:fldCharType="end" w:fldLock="0"/>
      </w:r>
    </w:p>
    <w:p>
      <w:pPr>
        <w:pStyle w:val="默认"/>
        <w:suppressAutoHyphens w:val="1"/>
        <w:spacing w:before="0" w:line="640" w:lineRule="atLeast"/>
        <w:ind w:left="960" w:hanging="960"/>
        <w:jc w:val="left"/>
        <w:rPr>
          <w:rFonts w:ascii="Times New Roman" w:cs="Times New Roman" w:hAnsi="Times New Roman" w:eastAsia="Times New Roman"/>
        </w:rPr>
      </w:pPr>
      <w:r>
        <w:rPr>
          <w:rFonts w:ascii="Times New Roman" w:hAnsi="Times New Roman"/>
          <w:rtl w:val="0"/>
        </w:rPr>
        <w:t xml:space="preserve">Seligman, M. E. P. (1975). </w:t>
      </w:r>
      <w:r>
        <w:rPr>
          <w:rFonts w:ascii="Times New Roman" w:hAnsi="Times New Roman"/>
          <w:i w:val="1"/>
          <w:iCs w:val="1"/>
          <w:rtl w:val="0"/>
          <w:lang w:val="en-US"/>
        </w:rPr>
        <w:t xml:space="preserve">Helplessness: On depression, development, and death. </w:t>
      </w:r>
      <w:r>
        <w:rPr>
          <w:rFonts w:ascii="Times New Roman" w:hAnsi="Times New Roman"/>
          <w:rtl w:val="0"/>
          <w:lang w:val="pt-PT"/>
        </w:rPr>
        <w:t>W. H. Freeman.</w:t>
      </w:r>
    </w:p>
    <w:p>
      <w:pPr>
        <w:pStyle w:val="默认"/>
        <w:suppressAutoHyphens w:val="1"/>
        <w:spacing w:before="0" w:line="640" w:lineRule="atLeast"/>
        <w:ind w:left="960" w:hanging="960"/>
        <w:jc w:val="left"/>
        <w:rPr>
          <w:rFonts w:ascii="Times New Roman" w:cs="Times New Roman" w:hAnsi="Times New Roman" w:eastAsia="Times New Roman"/>
        </w:rPr>
      </w:pPr>
      <w:r>
        <w:rPr>
          <w:rFonts w:ascii="Times New Roman" w:hAnsi="Times New Roman"/>
          <w:rtl w:val="0"/>
        </w:rPr>
        <w:t>Seligman, M. E. P. (2011).</w:t>
      </w:r>
      <w:r>
        <w:rPr>
          <w:rFonts w:ascii="Times New Roman" w:hAnsi="Times New Roman"/>
          <w:i w:val="1"/>
          <w:iCs w:val="1"/>
          <w:rtl w:val="0"/>
          <w:lang w:val="en-US"/>
        </w:rPr>
        <w:t xml:space="preserve"> Flourish: A visionary new understanding of happiness and well-being. </w:t>
      </w:r>
      <w:r>
        <w:rPr>
          <w:rFonts w:ascii="Times New Roman" w:hAnsi="Times New Roman"/>
          <w:rtl w:val="0"/>
          <w:lang w:val="it-IT"/>
        </w:rPr>
        <w:t>Free Press.</w:t>
      </w:r>
    </w:p>
    <w:p>
      <w:pPr>
        <w:pStyle w:val="默认"/>
        <w:suppressAutoHyphens w:val="1"/>
        <w:spacing w:before="0" w:line="640" w:lineRule="atLeast"/>
        <w:ind w:left="960" w:hanging="960"/>
        <w:jc w:val="left"/>
        <w:rPr>
          <w:rFonts w:ascii="Times New Roman" w:cs="Times New Roman" w:hAnsi="Times New Roman" w:eastAsia="Times New Roman"/>
        </w:rPr>
      </w:pPr>
      <w:r>
        <w:rPr>
          <w:rFonts w:ascii="Times New Roman" w:hAnsi="Times New Roman"/>
          <w:rtl w:val="0"/>
          <w:lang w:val="en-US"/>
        </w:rPr>
        <w:t xml:space="preserve">Sherif, M. (1958). Superordinate goals in the reduction of intergroup conflict. </w:t>
      </w:r>
      <w:r>
        <w:rPr>
          <w:rFonts w:ascii="Times New Roman" w:hAnsi="Times New Roman"/>
          <w:i w:val="1"/>
          <w:iCs w:val="1"/>
          <w:rtl w:val="0"/>
          <w:lang w:val="en-US"/>
        </w:rPr>
        <w:t>American Journal of Sociology, 63</w:t>
      </w:r>
      <w:r>
        <w:rPr>
          <w:rFonts w:ascii="Times New Roman" w:hAnsi="Times New Roman"/>
          <w:rtl w:val="0"/>
        </w:rPr>
        <w:t>(4), 349</w:t>
      </w:r>
      <w:r>
        <w:rPr>
          <w:rFonts w:ascii="Times New Roman" w:hAnsi="Times New Roman" w:hint="default"/>
          <w:rtl w:val="0"/>
        </w:rPr>
        <w:t>–</w:t>
      </w:r>
      <w:r>
        <w:rPr>
          <w:rFonts w:ascii="Times New Roman" w:hAnsi="Times New Roman"/>
          <w:rtl w:val="0"/>
        </w:rPr>
        <w:t xml:space="preserve">356.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"https://doi.org/10.1086/222285"</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rPr>
        <w:t>https://doi.org/10.1086/222285</w:t>
      </w:r>
      <w:r>
        <w:rPr>
          <w:rFonts w:ascii="Times New Roman" w:cs="Times New Roman" w:hAnsi="Times New Roman" w:eastAsia="Times New Roman"/>
        </w:rPr>
        <w:fldChar w:fldCharType="end" w:fldLock="0"/>
      </w:r>
    </w:p>
    <w:p>
      <w:pPr>
        <w:pStyle w:val="默认"/>
        <w:suppressAutoHyphens w:val="1"/>
        <w:spacing w:before="0" w:line="640" w:lineRule="atLeast"/>
        <w:ind w:left="960" w:hanging="960"/>
        <w:jc w:val="left"/>
        <w:rPr>
          <w:rFonts w:ascii="Times New Roman" w:cs="Times New Roman" w:hAnsi="Times New Roman" w:eastAsia="Times New Roman"/>
        </w:rPr>
      </w:pPr>
      <w:r>
        <w:rPr>
          <w:rFonts w:ascii="Times New Roman" w:hAnsi="Times New Roman"/>
          <w:rtl w:val="0"/>
        </w:rPr>
        <w:t xml:space="preserve">Solnit, R. (2009). </w:t>
      </w:r>
      <w:r>
        <w:rPr>
          <w:rFonts w:ascii="Times New Roman" w:hAnsi="Times New Roman"/>
          <w:i w:val="1"/>
          <w:iCs w:val="1"/>
          <w:rtl w:val="0"/>
          <w:lang w:val="en-US"/>
        </w:rPr>
        <w:t xml:space="preserve">A paradise built in hell: The extraordinary communities that arise in disaster. </w:t>
      </w:r>
      <w:r>
        <w:rPr>
          <w:rFonts w:ascii="Times New Roman" w:hAnsi="Times New Roman"/>
          <w:rtl w:val="0"/>
        </w:rPr>
        <w:t>Viking.</w:t>
      </w:r>
    </w:p>
    <w:p>
      <w:pPr>
        <w:pStyle w:val="默认"/>
        <w:suppressAutoHyphens w:val="1"/>
        <w:spacing w:before="0" w:line="640" w:lineRule="atLeast"/>
        <w:ind w:left="960" w:hanging="960"/>
        <w:jc w:val="left"/>
        <w:rPr>
          <w:rFonts w:ascii="Times New Roman" w:cs="Times New Roman" w:hAnsi="Times New Roman" w:eastAsia="Times New Roman"/>
        </w:rPr>
      </w:pPr>
      <w:r>
        <w:rPr>
          <w:rFonts w:ascii="Times New Roman" w:hAnsi="Times New Roman"/>
          <w:rtl w:val="0"/>
          <w:lang w:val="en-US"/>
        </w:rPr>
        <w:t xml:space="preserve">Tajfel, H., &amp; Turner, J. C. (1979). An integrative theory of intergroup conflict. In W. G. Austin &amp; S. Worchel (Eds.), </w:t>
      </w:r>
      <w:r>
        <w:rPr>
          <w:rFonts w:ascii="Times New Roman" w:hAnsi="Times New Roman"/>
          <w:i w:val="1"/>
          <w:iCs w:val="1"/>
          <w:rtl w:val="0"/>
          <w:lang w:val="en-US"/>
        </w:rPr>
        <w:t>The social psychology of intergroup relations</w:t>
      </w:r>
      <w:r>
        <w:rPr>
          <w:rFonts w:ascii="Times New Roman" w:hAnsi="Times New Roman"/>
          <w:rtl w:val="0"/>
        </w:rPr>
        <w:t xml:space="preserve"> (pp. 33</w:t>
      </w:r>
      <w:r>
        <w:rPr>
          <w:rFonts w:ascii="Times New Roman" w:hAnsi="Times New Roman" w:hint="default"/>
          <w:rtl w:val="0"/>
        </w:rPr>
        <w:t>–</w:t>
      </w:r>
      <w:r>
        <w:rPr>
          <w:rFonts w:ascii="Times New Roman" w:hAnsi="Times New Roman"/>
          <w:rtl w:val="0"/>
          <w:lang w:val="en-US"/>
        </w:rPr>
        <w:t>47). Brooks/Cole.</w:t>
      </w:r>
    </w:p>
    <w:p>
      <w:pPr>
        <w:pStyle w:val="默认"/>
        <w:suppressAutoHyphens w:val="1"/>
        <w:spacing w:before="0" w:line="640" w:lineRule="atLeast"/>
        <w:ind w:left="960" w:hanging="960"/>
        <w:jc w:val="left"/>
        <w:rPr>
          <w:rFonts w:ascii="Times New Roman" w:cs="Times New Roman" w:hAnsi="Times New Roman" w:eastAsia="Times New Roman"/>
        </w:rPr>
      </w:pPr>
      <w:r>
        <w:rPr>
          <w:rFonts w:ascii="Times New Roman" w:hAnsi="Times New Roman"/>
          <w:rtl w:val="0"/>
          <w:lang w:val="en-US"/>
        </w:rPr>
        <w:t xml:space="preserve">Tedeschi, R. G., &amp; Calhoun, L. G. (1996). The Posttraumatic Growth Inventory: Measuring the positive legacy of trauma. </w:t>
      </w:r>
      <w:r>
        <w:rPr>
          <w:rFonts w:ascii="Times New Roman" w:hAnsi="Times New Roman"/>
          <w:i w:val="1"/>
          <w:iCs w:val="1"/>
          <w:rtl w:val="0"/>
          <w:lang w:val="en-US"/>
        </w:rPr>
        <w:t>Journal of Traumatic Stress, 9</w:t>
      </w:r>
      <w:r>
        <w:rPr>
          <w:rFonts w:ascii="Times New Roman" w:hAnsi="Times New Roman"/>
          <w:rtl w:val="0"/>
        </w:rPr>
        <w:t>(3), 455</w:t>
      </w:r>
      <w:r>
        <w:rPr>
          <w:rFonts w:ascii="Times New Roman" w:hAnsi="Times New Roman" w:hint="default"/>
          <w:rtl w:val="0"/>
        </w:rPr>
        <w:t>–</w:t>
      </w:r>
      <w:r>
        <w:rPr>
          <w:rFonts w:ascii="Times New Roman" w:hAnsi="Times New Roman"/>
          <w:rtl w:val="0"/>
          <w:lang w:val="en-US"/>
        </w:rPr>
        <w:t>471. https://doi.org/10.1002/jts.2490090305</w:t>
      </w:r>
    </w:p>
    <w:p>
      <w:pPr>
        <w:pStyle w:val="默认"/>
        <w:suppressAutoHyphens w:val="1"/>
        <w:spacing w:before="0" w:line="640" w:lineRule="atLeast"/>
        <w:ind w:left="960" w:hanging="960"/>
        <w:jc w:val="left"/>
        <w:rPr>
          <w:rFonts w:ascii="Times New Roman" w:cs="Times New Roman" w:hAnsi="Times New Roman" w:eastAsia="Times New Roman"/>
        </w:rPr>
      </w:pPr>
      <w:r>
        <w:rPr>
          <w:rFonts w:ascii="Times New Roman" w:hAnsi="Times New Roman" w:hint="default"/>
          <w:rtl w:val="0"/>
        </w:rPr>
        <w:t> </w:t>
      </w:r>
    </w:p>
    <w:p>
      <w:pPr>
        <w:pStyle w:val="正文"/>
        <w:spacing w:line="480" w:lineRule="auto"/>
        <w:jc w:val="left"/>
        <w:rPr>
          <w:rFonts w:ascii="Times New Roman" w:cs="Times New Roman" w:hAnsi="Times New Roman" w:eastAsia="Times New Roman"/>
          <w:sz w:val="24"/>
          <w:szCs w:val="24"/>
        </w:rPr>
      </w:pPr>
    </w:p>
    <w:p>
      <w:pPr>
        <w:pStyle w:val="正文"/>
        <w:spacing w:line="480" w:lineRule="auto"/>
        <w:jc w:val="left"/>
      </w:pPr>
      <w:r>
        <w:rPr>
          <w:rFonts w:ascii="Times New Roman" w:cs="Times New Roman" w:hAnsi="Times New Roman" w:eastAsia="Times New Roman"/>
          <w:sz w:val="24"/>
          <w:szCs w:val="24"/>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默认"/>
      <w:tabs>
        <w:tab w:val="center" w:pos="4819"/>
        <w:tab w:val="right" w:pos="9638"/>
      </w:tabs>
      <w:spacing w:before="0" w:line="240" w:lineRule="auto"/>
      <w:jc w:val="left"/>
    </w:pPr>
    <w:r>
      <w:rPr>
        <w:rFonts w:ascii="Times New Roman" w:hAnsi="Times New Roman"/>
      </w:rPr>
      <w:tab/>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默认">
    <w:name w:val="默认"/>
    <w:next w:val="默认"/>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链接">
    <w:name w:val="链接"/>
    <w:rPr>
      <w:u w:val="single"/>
    </w:rPr>
  </w:style>
  <w:style w:type="character" w:styleId="Hyperlink.0">
    <w:name w:val="Hyperlink.0"/>
    <w:basedOn w:val="链接"/>
    <w:next w:val="Hyperlink.0"/>
    <w:rPr>
      <w:u w:val="no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PingFang SC Semibold"/>
        <a:cs typeface="PingFang SC Semibold"/>
      </a:majorFont>
      <a:minorFont>
        <a:latin typeface="PingFang SC Regular"/>
        <a:ea typeface="PingFang SC Regular"/>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PingFang SC Medium"/>
            <a:ea typeface="PingFang SC Medium"/>
            <a:cs typeface="PingFang SC Medium"/>
            <a:sym typeface="PingFang SC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