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139F" w14:textId="2AFE5056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A tax rate of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$0.0521 per $100 valuation has been proposed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by the governing body of Medina County Emergency Service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District #4 (Fed. 7). </w:t>
      </w:r>
    </w:p>
    <w:p w14:paraId="204CA12E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4CF2B0A0" w14:textId="0BFC34A1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PROPOSED TAX RATE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            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$0.0521 per $100 </w:t>
      </w:r>
    </w:p>
    <w:p w14:paraId="156EB954" w14:textId="1E706DDE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NO-NEW-REVENUE TAX RATE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$0.0517 per $100 </w:t>
      </w:r>
    </w:p>
    <w:p w14:paraId="53C87EC4" w14:textId="58A6155F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VOTER-APPROVAL TAX RATE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$0.0539 per $100 </w:t>
      </w:r>
    </w:p>
    <w:p w14:paraId="5F3345CD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4DB40855" w14:textId="086027FE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The no-new-revenue tax rate is the tax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rate for the 2025 tax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year that will raise the same amount of property tax revenue for Medina County Emergency Service District#4 (Fed. 7) from the same properties in both the 2024 tax year and the 2025 tax year. </w:t>
      </w:r>
    </w:p>
    <w:p w14:paraId="3073FACD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0EB08AA3" w14:textId="1F7CC24B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The voter-approval rate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is the highest tax rate that Medina County Emergency Service District#4 (Fed. 7) may adopt without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holding an election to seek voter approval of the rate. </w:t>
      </w:r>
    </w:p>
    <w:p w14:paraId="13D3FF6F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25C335F4" w14:textId="7EA95D1B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The proposed tax rate is greater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than the no-new-revenue tax rate. This means that Medina County Emergency Service District #4 (Fed.7) is proposing to increase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property taxes for the 2025 tax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year. </w:t>
      </w:r>
    </w:p>
    <w:p w14:paraId="5664D486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4CF9A7F5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b/>
          <w:bCs/>
          <w:color w:val="E72323"/>
          <w:kern w:val="0"/>
          <w:sz w:val="22"/>
          <w:szCs w:val="22"/>
          <w14:ligatures w14:val="none"/>
        </w:rPr>
        <w:t xml:space="preserve">A PUBLIC HEARING ON THE PROPOSEDTAX RATE WILL BE HELD ON </w:t>
      </w:r>
    </w:p>
    <w:p w14:paraId="20AD4570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b/>
          <w:bCs/>
          <w:color w:val="E72323"/>
          <w:kern w:val="0"/>
          <w:sz w:val="22"/>
          <w:szCs w:val="22"/>
          <w14:ligatures w14:val="none"/>
        </w:rPr>
        <w:t xml:space="preserve">SEPTEMBER 10, </w:t>
      </w:r>
      <w:proofErr w:type="gramStart"/>
      <w:r w:rsidRPr="007503A5">
        <w:rPr>
          <w:rFonts w:ascii="Arial" w:eastAsia="Times New Roman" w:hAnsi="Arial" w:cs="Arial"/>
          <w:b/>
          <w:bCs/>
          <w:color w:val="E72323"/>
          <w:kern w:val="0"/>
          <w:sz w:val="22"/>
          <w:szCs w:val="22"/>
          <w14:ligatures w14:val="none"/>
        </w:rPr>
        <w:t>2025</w:t>
      </w:r>
      <w:proofErr w:type="gramEnd"/>
      <w:r w:rsidRPr="007503A5">
        <w:rPr>
          <w:rFonts w:ascii="Arial" w:eastAsia="Times New Roman" w:hAnsi="Arial" w:cs="Arial"/>
          <w:b/>
          <w:bCs/>
          <w:color w:val="E72323"/>
          <w:kern w:val="0"/>
          <w:sz w:val="22"/>
          <w:szCs w:val="22"/>
          <w14:ligatures w14:val="none"/>
        </w:rPr>
        <w:t xml:space="preserve"> AT 6:00PM AT 206 DIXON DR, DEVINE, TX 78016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. </w:t>
      </w:r>
    </w:p>
    <w:p w14:paraId="4DEB2987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324D8E97" w14:textId="51A4FAEE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The proposed tax rate is not greater than the voter-approval tax rate. As a result, Medina County Emergency Service District #4 (Fed. 7) is not required to hold an election at which voters may accept or reject the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proposed tax rate. </w:t>
      </w:r>
    </w:p>
    <w:p w14:paraId="1E5063CA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6463F378" w14:textId="3370DFDF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However, you may express your support for or opposition to the proposed tax rate by contacting the members of the Medina County Emergency Service District #4 (Fed. 7) at their offices or by attending the public hearing mentioned above. </w:t>
      </w:r>
    </w:p>
    <w:p w14:paraId="6E45B6AE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698040C5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YOUR TAXES OWED UNDER ANY OF THE RATES MENTIONED ABOVE CAN BE CALCULATEDAS FOLLOWS: </w:t>
      </w:r>
    </w:p>
    <w:p w14:paraId="7841C145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Property tax amount= (tax rate) x (taxable value of your property)/100 </w:t>
      </w:r>
    </w:p>
    <w:p w14:paraId="1A828989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0DA07000" w14:textId="037E2C9F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FOR the proposal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: </w:t>
      </w:r>
    </w:p>
    <w:p w14:paraId="5EF57442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Tony Martin, Patrick DuBose, Jerry Beck </w:t>
      </w:r>
    </w:p>
    <w:p w14:paraId="4BCF5F95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0979F407" w14:textId="1CE301F9" w:rsid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AGAINST the proposal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: </w:t>
      </w:r>
    </w:p>
    <w:p w14:paraId="58BF1A39" w14:textId="77777777" w:rsidR="00F2512E" w:rsidRPr="007503A5" w:rsidRDefault="00F2512E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2693612C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PRESENT and not voting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: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Steve Smith </w:t>
      </w:r>
    </w:p>
    <w:p w14:paraId="3295A97F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7F03AA66" w14:textId="6D92C4D2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ABSENT: </w:t>
      </w:r>
    </w:p>
    <w:p w14:paraId="7AB6560B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4AAD0DF4" w14:textId="397BE72B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Vi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sit Texas.gov/Property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Taxes to find a link to your local property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tax database on which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you can easily access information regarding your property taxes,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including information about proposed tax rates and scheduled public hearings of each entity that taxes your property. </w:t>
      </w:r>
    </w:p>
    <w:p w14:paraId="2A7D48E7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6BFD3011" w14:textId="5BF393E3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The 86th Texas Legislature modified the </w:t>
      </w:r>
      <w:proofErr w:type="gramStart"/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manner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in which</w:t>
      </w:r>
      <w:proofErr w:type="gramEnd"/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the voter-approval tax rate is calculated to limit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the rate of growth of property taxes in the state. </w:t>
      </w:r>
    </w:p>
    <w:p w14:paraId="16C067DF" w14:textId="77777777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6B29E1A0" w14:textId="6E5D8FDB" w:rsid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proofErr w:type="gramStart"/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The</w:t>
      </w:r>
      <w:proofErr w:type="gramEnd"/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following table compares the taxes imposed on the average residence homestead by Medina County Emergency Service District #4(Fed. 7</w:t>
      </w:r>
      <w:proofErr w:type="gramStart"/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) last year</w:t>
      </w:r>
      <w:proofErr w:type="gramEnd"/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to the taxes proposed to be imposed on the average residence homestead by Medina County Emergency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Service District #4 (Fed. 7) this year. </w:t>
      </w:r>
    </w:p>
    <w:p w14:paraId="0BA23B59" w14:textId="77777777" w:rsidR="00F2512E" w:rsidRPr="007503A5" w:rsidRDefault="00F2512E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40C1B53B" w14:textId="115A5869" w:rsidR="007503A5" w:rsidRDefault="007503A5" w:rsidP="007503A5">
      <w:pPr>
        <w:spacing w:after="0" w:line="240" w:lineRule="auto"/>
        <w:ind w:left="2880" w:firstLine="720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   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2024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ab/>
        <w:t xml:space="preserve">  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2025</w:t>
      </w:r>
      <w:proofErr w:type="gramEnd"/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Change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</w:p>
    <w:p w14:paraId="404213B7" w14:textId="77777777" w:rsidR="00F2512E" w:rsidRPr="007503A5" w:rsidRDefault="00F2512E" w:rsidP="007503A5">
      <w:pPr>
        <w:spacing w:after="0" w:line="240" w:lineRule="auto"/>
        <w:ind w:left="2880" w:firstLine="720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625266E2" w14:textId="65885E0F" w:rsidR="007503A5" w:rsidRPr="007503A5" w:rsidRDefault="007503A5" w:rsidP="007503A5">
      <w:pPr>
        <w:spacing w:after="0" w:line="240" w:lineRule="auto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otal tax rate (per $100 of Value):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  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$0.0496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    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$0.521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            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Increase of 0.0025 per $100, or 5.04%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</w:p>
    <w:p w14:paraId="0E41CCC3" w14:textId="36E1131D" w:rsidR="007503A5" w:rsidRPr="007503A5" w:rsidRDefault="007503A5" w:rsidP="007503A5">
      <w:pPr>
        <w:spacing w:after="0" w:line="240" w:lineRule="auto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A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v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erage homestead taxable value: $194,551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$192,765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Decrease of -0.92%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</w:p>
    <w:p w14:paraId="0D591475" w14:textId="53BB01ED" w:rsidR="007503A5" w:rsidRPr="007503A5" w:rsidRDefault="007503A5" w:rsidP="007503A5">
      <w:pPr>
        <w:spacing w:after="0" w:line="240" w:lineRule="auto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lastRenderedPageBreak/>
        <w:t>Ta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x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 on average homestead: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  <w:t xml:space="preserve"> 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$96.50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$100.43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Increase of 3.93 or 4.07%</w:t>
      </w:r>
    </w:p>
    <w:p w14:paraId="1DDDE3C3" w14:textId="3803E217" w:rsidR="007503A5" w:rsidRDefault="007503A5" w:rsidP="007503A5">
      <w:pPr>
        <w:spacing w:after="0" w:line="240" w:lineRule="auto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Tot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a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l tax levy on all properties: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  <w:t xml:space="preserve"> 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$788,548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$821,261 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ab/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Increase</w:t>
      </w:r>
      <w:r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b/>
          <w:bCs/>
          <w:color w:val="50555C"/>
          <w:kern w:val="0"/>
          <w:sz w:val="22"/>
          <w:szCs w:val="22"/>
          <w14:ligatures w14:val="none"/>
        </w:rPr>
        <w:t>of 32,713 or 4.15%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</w:p>
    <w:p w14:paraId="4B07B2FE" w14:textId="77777777" w:rsidR="00F2512E" w:rsidRPr="007503A5" w:rsidRDefault="00F2512E" w:rsidP="007503A5">
      <w:pPr>
        <w:spacing w:after="0" w:line="240" w:lineRule="auto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</w:p>
    <w:p w14:paraId="64776E07" w14:textId="2D214EFB" w:rsidR="007503A5" w:rsidRPr="007503A5" w:rsidRDefault="007503A5" w:rsidP="007503A5">
      <w:pPr>
        <w:spacing w:after="0" w:line="240" w:lineRule="auto"/>
        <w:jc w:val="center"/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</w:pP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For assistance with tax calculations, please contact</w:t>
      </w:r>
      <w:r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the tax assessor for Medina</w:t>
      </w:r>
      <w:r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County Emergency Service District #4 (Fed. 7) at 1102 15th Street,</w:t>
      </w:r>
      <w:r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>Hondo, TX 78861 or 830-741-6100, or visit www.medinatx.gov for mor</w:t>
      </w:r>
      <w:hyperlink r:id="rId4" w:history="1">
        <w:r w:rsidRPr="007503A5">
          <w:rPr>
            <w:rFonts w:ascii="inherit" w:eastAsia="Times New Roman" w:hAnsi="inherit" w:cs="Arial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e information.</w:t>
        </w:r>
      </w:hyperlink>
      <w:r w:rsidRPr="007503A5">
        <w:rPr>
          <w:rFonts w:ascii="Arial" w:eastAsia="Times New Roman" w:hAnsi="Arial" w:cs="Arial"/>
          <w:color w:val="50555C"/>
          <w:kern w:val="0"/>
          <w:sz w:val="22"/>
          <w:szCs w:val="22"/>
          <w14:ligatures w14:val="none"/>
        </w:rPr>
        <w:t xml:space="preserve"> </w:t>
      </w:r>
    </w:p>
    <w:p w14:paraId="07FDB88E" w14:textId="77777777" w:rsidR="007503A5" w:rsidRPr="007503A5" w:rsidRDefault="007503A5">
      <w:pPr>
        <w:rPr>
          <w:sz w:val="22"/>
          <w:szCs w:val="22"/>
        </w:rPr>
      </w:pPr>
    </w:p>
    <w:sectPr w:rsidR="007503A5" w:rsidRPr="007503A5" w:rsidSect="00750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A5"/>
    <w:rsid w:val="00711327"/>
    <w:rsid w:val="007503A5"/>
    <w:rsid w:val="00757C0C"/>
    <w:rsid w:val="00C246AE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DFBD"/>
  <w15:chartTrackingRefBased/>
  <w15:docId w15:val="{0F958EC8-6804-4371-B265-1BEA077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natx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Merendon</dc:creator>
  <cp:keywords/>
  <dc:description/>
  <cp:lastModifiedBy>Christy Merendon</cp:lastModifiedBy>
  <cp:revision>2</cp:revision>
  <dcterms:created xsi:type="dcterms:W3CDTF">2025-09-04T12:34:00Z</dcterms:created>
  <dcterms:modified xsi:type="dcterms:W3CDTF">2025-09-04T12:34:00Z</dcterms:modified>
</cp:coreProperties>
</file>