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F948B" w14:textId="048AD823" w:rsidR="00DA5D34" w:rsidRDefault="00DA5D34" w:rsidP="00DA5D34">
      <w:pPr>
        <w:rPr>
          <w:b/>
          <w:bCs/>
        </w:rPr>
      </w:pPr>
    </w:p>
    <w:p w14:paraId="7C726D50" w14:textId="77777777" w:rsidR="00DA5D34" w:rsidRDefault="00DA5D34" w:rsidP="00DA5D34">
      <w:pPr>
        <w:jc w:val="center"/>
        <w:rPr>
          <w:b/>
          <w:bCs/>
        </w:rPr>
      </w:pPr>
    </w:p>
    <w:p w14:paraId="1B26EC22" w14:textId="77777777" w:rsidR="00DA5D34" w:rsidRDefault="00DA5D34" w:rsidP="00DA5D34">
      <w:pPr>
        <w:spacing w:line="480" w:lineRule="auto"/>
        <w:jc w:val="center"/>
        <w:rPr>
          <w:b/>
          <w:bCs/>
        </w:rPr>
      </w:pPr>
    </w:p>
    <w:p w14:paraId="55B502F8" w14:textId="77777777" w:rsidR="00DA5D34" w:rsidRDefault="00DA5D34" w:rsidP="00DA5D34">
      <w:pPr>
        <w:spacing w:line="480" w:lineRule="auto"/>
        <w:jc w:val="center"/>
        <w:rPr>
          <w:b/>
          <w:bCs/>
        </w:rPr>
      </w:pPr>
    </w:p>
    <w:p w14:paraId="37079DE0" w14:textId="77777777" w:rsidR="00DA5D34" w:rsidRDefault="00DA5D34" w:rsidP="00DA5D34">
      <w:pPr>
        <w:spacing w:line="480" w:lineRule="auto"/>
        <w:jc w:val="center"/>
        <w:rPr>
          <w:b/>
          <w:bCs/>
        </w:rPr>
      </w:pPr>
    </w:p>
    <w:p w14:paraId="400D9AEE" w14:textId="77777777" w:rsidR="00DA5D34" w:rsidRDefault="00DA5D34" w:rsidP="00DA5D34">
      <w:pPr>
        <w:spacing w:line="480" w:lineRule="auto"/>
        <w:jc w:val="center"/>
        <w:rPr>
          <w:b/>
          <w:bCs/>
        </w:rPr>
      </w:pPr>
    </w:p>
    <w:p w14:paraId="53325403" w14:textId="77777777" w:rsidR="00DA5D34" w:rsidRDefault="00DA5D34" w:rsidP="00DA5D34">
      <w:pPr>
        <w:spacing w:line="480" w:lineRule="auto"/>
        <w:jc w:val="center"/>
        <w:rPr>
          <w:b/>
          <w:bCs/>
        </w:rPr>
      </w:pPr>
    </w:p>
    <w:p w14:paraId="3499DD0D" w14:textId="77777777" w:rsidR="00DA5D34" w:rsidRDefault="00DA5D34" w:rsidP="00DA5D34">
      <w:pPr>
        <w:spacing w:line="480" w:lineRule="auto"/>
        <w:jc w:val="center"/>
        <w:rPr>
          <w:b/>
          <w:bCs/>
        </w:rPr>
      </w:pPr>
    </w:p>
    <w:p w14:paraId="4CD88794" w14:textId="5446A0F6" w:rsidR="00DA5D34" w:rsidRPr="00B3767D" w:rsidRDefault="00DA5D34" w:rsidP="00DA5D34">
      <w:pPr>
        <w:spacing w:line="480" w:lineRule="auto"/>
        <w:jc w:val="center"/>
        <w:rPr>
          <w:b/>
          <w:bCs/>
        </w:rPr>
      </w:pPr>
      <w:r w:rsidRPr="00B3767D">
        <w:rPr>
          <w:b/>
          <w:bCs/>
        </w:rPr>
        <w:t>Early perceptions of COVID-19 intensity and anti-Asian prejudice among White Americans</w:t>
      </w:r>
    </w:p>
    <w:p w14:paraId="29D619CD" w14:textId="77777777" w:rsidR="00DA5D34" w:rsidRPr="00AB0515" w:rsidRDefault="00DA5D34" w:rsidP="00DA5D34">
      <w:pPr>
        <w:spacing w:line="480" w:lineRule="auto"/>
        <w:jc w:val="center"/>
      </w:pPr>
    </w:p>
    <w:p w14:paraId="15A88991" w14:textId="77777777" w:rsidR="00DA5D34" w:rsidRDefault="00DA5D34" w:rsidP="00DA5D34"/>
    <w:p w14:paraId="7DB24D13" w14:textId="77777777" w:rsidR="00DA5D34" w:rsidRDefault="00DA5D34" w:rsidP="00DA5D34"/>
    <w:p w14:paraId="3C43C418" w14:textId="77777777" w:rsidR="00DA5D34" w:rsidRPr="00AB0515" w:rsidRDefault="00DA5D34" w:rsidP="00DA5D34">
      <w:pPr>
        <w:jc w:val="center"/>
      </w:pPr>
    </w:p>
    <w:p w14:paraId="0EC69FAB" w14:textId="77777777" w:rsidR="00DA5D34" w:rsidRPr="00AB0515" w:rsidRDefault="00DA5D34" w:rsidP="00DA5D34">
      <w:pPr>
        <w:jc w:val="center"/>
      </w:pPr>
      <w:r w:rsidRPr="00AB0515">
        <w:t>Tara M. Mandalaywala, Gorana Gonzalez, Linda R. Tropp</w:t>
      </w:r>
    </w:p>
    <w:p w14:paraId="74E81984" w14:textId="77777777" w:rsidR="00DA5D34" w:rsidRPr="00AB0515" w:rsidRDefault="00DA5D34" w:rsidP="00DA5D34">
      <w:pPr>
        <w:rPr>
          <w:b/>
          <w:bCs/>
        </w:rPr>
      </w:pPr>
    </w:p>
    <w:p w14:paraId="0727D837" w14:textId="77777777" w:rsidR="00DA5D34" w:rsidRPr="00AB0515" w:rsidRDefault="00DA5D34" w:rsidP="00DA5D34">
      <w:pPr>
        <w:jc w:val="center"/>
      </w:pPr>
      <w:r w:rsidRPr="00AB0515">
        <w:t>University of Massachusetts Amherst, Department of Psychological and Brain Sciences</w:t>
      </w:r>
    </w:p>
    <w:p w14:paraId="1E9E61D1" w14:textId="77777777" w:rsidR="00DA5D34" w:rsidRPr="00AB0515" w:rsidRDefault="00DA5D34" w:rsidP="00DA5D34"/>
    <w:p w14:paraId="3D1B4C5E" w14:textId="77777777" w:rsidR="00DA5D34" w:rsidRPr="00AB0515" w:rsidRDefault="00DA5D34" w:rsidP="00DA5D34"/>
    <w:p w14:paraId="5B4D89E3" w14:textId="77777777" w:rsidR="00DA5D34" w:rsidRDefault="00DA5D34" w:rsidP="00DA5D34"/>
    <w:p w14:paraId="48AFBE34" w14:textId="77777777" w:rsidR="00DA5D34" w:rsidRDefault="00DA5D34" w:rsidP="00DA5D34"/>
    <w:p w14:paraId="1920AA95" w14:textId="77777777" w:rsidR="00DA5D34" w:rsidRDefault="00DA5D34" w:rsidP="00DA5D34"/>
    <w:p w14:paraId="153CD9DE" w14:textId="77777777" w:rsidR="00DA5D34" w:rsidRDefault="00DA5D34" w:rsidP="00DA5D34"/>
    <w:p w14:paraId="5A7ED4EA" w14:textId="77777777" w:rsidR="00DA5D34" w:rsidRDefault="00DA5D34" w:rsidP="00DA5D34"/>
    <w:p w14:paraId="4EBB08D9" w14:textId="77777777" w:rsidR="00DA5D34" w:rsidRDefault="00DA5D34" w:rsidP="00DA5D34"/>
    <w:p w14:paraId="784F3FA0" w14:textId="77777777" w:rsidR="00DA5D34" w:rsidRDefault="00DA5D34" w:rsidP="00DA5D34"/>
    <w:p w14:paraId="1348D251" w14:textId="77777777" w:rsidR="00DA5D34" w:rsidRDefault="00DA5D34" w:rsidP="00DA5D34"/>
    <w:p w14:paraId="6BB92432" w14:textId="77777777" w:rsidR="00DA5D34" w:rsidRPr="00AB0515" w:rsidRDefault="00DA5D34" w:rsidP="00DA5D34"/>
    <w:p w14:paraId="38AE89E6" w14:textId="77777777" w:rsidR="00DA5D34" w:rsidRPr="00AB0515" w:rsidRDefault="00DA5D34" w:rsidP="00DA5D34">
      <w:pPr>
        <w:spacing w:line="480" w:lineRule="auto"/>
      </w:pPr>
      <w:r>
        <w:t>Correspondence concerning this article should be address to</w:t>
      </w:r>
      <w:r w:rsidRPr="00AB0515">
        <w:t xml:space="preserve"> Tara M. Mandalaywala</w:t>
      </w:r>
      <w:r>
        <w:t xml:space="preserve">, </w:t>
      </w:r>
      <w:r w:rsidRPr="00AB0515">
        <w:t>Dept. of</w:t>
      </w:r>
      <w:r>
        <w:t xml:space="preserve"> </w:t>
      </w:r>
      <w:r w:rsidRPr="00AB0515">
        <w:t>Psychological and Brain Sciences</w:t>
      </w:r>
      <w:r>
        <w:t xml:space="preserve">, </w:t>
      </w:r>
      <w:r w:rsidRPr="00AB0515">
        <w:t>University of Massachusetts Amherst</w:t>
      </w:r>
      <w:r>
        <w:t xml:space="preserve">, </w:t>
      </w:r>
      <w:r w:rsidRPr="00AB0515">
        <w:t>135 Hicks Way, Tobin Hall 412</w:t>
      </w:r>
      <w:r>
        <w:t xml:space="preserve">, </w:t>
      </w:r>
      <w:r w:rsidRPr="00AB0515">
        <w:t>Amherst, MA 01003</w:t>
      </w:r>
      <w:r>
        <w:t xml:space="preserve">. Email: </w:t>
      </w:r>
      <w:hyperlink r:id="rId8" w:history="1">
        <w:r w:rsidRPr="000F5447">
          <w:rPr>
            <w:rStyle w:val="Hyperlink"/>
          </w:rPr>
          <w:t>tmandalaywala@umass.edu</w:t>
        </w:r>
      </w:hyperlink>
      <w:r w:rsidRPr="00AB0515">
        <w:t xml:space="preserve"> </w:t>
      </w:r>
    </w:p>
    <w:p w14:paraId="1AED2096" w14:textId="77777777" w:rsidR="00DA5D34" w:rsidRPr="00AB0515" w:rsidRDefault="00DA5D34" w:rsidP="00DA5D34">
      <w:pPr>
        <w:spacing w:line="480" w:lineRule="auto"/>
      </w:pPr>
    </w:p>
    <w:p w14:paraId="0E31F900" w14:textId="318CB8AF" w:rsidR="00DA5D34" w:rsidRDefault="00DA5D34">
      <w:pPr>
        <w:rPr>
          <w:b/>
          <w:bCs/>
        </w:rPr>
      </w:pPr>
    </w:p>
    <w:p w14:paraId="56D7314E" w14:textId="77777777" w:rsidR="000D0C3A" w:rsidRPr="00AB0515" w:rsidRDefault="000D0C3A" w:rsidP="000D0C3A">
      <w:pPr>
        <w:spacing w:line="480" w:lineRule="auto"/>
        <w:jc w:val="center"/>
        <w:rPr>
          <w:b/>
          <w:bCs/>
        </w:rPr>
      </w:pPr>
      <w:r w:rsidRPr="00AB0515">
        <w:rPr>
          <w:b/>
          <w:bCs/>
        </w:rPr>
        <w:lastRenderedPageBreak/>
        <w:t>Abstract</w:t>
      </w:r>
    </w:p>
    <w:p w14:paraId="188B5109" w14:textId="77777777" w:rsidR="000D0C3A" w:rsidRDefault="000D0C3A" w:rsidP="000D0C3A">
      <w:pPr>
        <w:spacing w:line="480" w:lineRule="auto"/>
      </w:pPr>
      <w:r w:rsidRPr="00B7164C">
        <w:t>Anecdotal reports suggested an uptick in anti-Asian prejudice corresponding with the initial outbreak of the COVID-19 pandemic. Examining responses from White U.S. citizens (</w:t>
      </w:r>
      <w:r w:rsidRPr="00B7164C">
        <w:rPr>
          <w:i/>
          <w:iCs/>
        </w:rPr>
        <w:t>N</w:t>
      </w:r>
      <w:r w:rsidRPr="00B7164C">
        <w:t xml:space="preserve"> = 589) during the first months of the pandemic, this study tested: (1) whether actual intensity (official number of cases or deaths reported) or perceived intensity (participants’ estimates of the same) of the COVID-19 outbreak predicted indicators of racial outgroup prejudice, particularly those associated with cross-group interaction, (2) whether outgroup prejudice was oriented toward Asian people specifically, or toward racial outgroups more broadly (e.g., toward both Asian people and Black people), and (3) whether contact with racial outgroups moderated relations between COVID-19 intensity and racial prejudice. Results showed that perceived COVID-19 intensity was associated with prejudice indicators representing the desire for social distance from Asian people, as well as from Black people, yet it was unrelated to reports of negative affect toward either racial outgroup. These patterns support the idea that prejudice during periods of disease outbreak might functionally serve to reduce willingness for interaction with and likelihood of infection from racial outgroups. Contact moderated the relation between </w:t>
      </w:r>
      <w:r>
        <w:t>official reports of</w:t>
      </w:r>
      <w:r w:rsidRPr="00B7164C">
        <w:t xml:space="preserve"> COVID-19 intensity and support for anti-China travel policies, such that greater contact with Asian people was associated with less support for exclusionary, anti-China travel policies when actual COVID-19 intensity was high. Overall, these results suggest that intensity of disease threat can exacerbate racial outgroup prejudice and reduce willingness for cross-group interaction, but that intergroup contact may sometimes provide a prejudice-attenuating effect.   </w:t>
      </w:r>
    </w:p>
    <w:p w14:paraId="33B075A0" w14:textId="77777777" w:rsidR="000D0C3A" w:rsidRPr="00AB0515" w:rsidRDefault="000D0C3A" w:rsidP="000D0C3A">
      <w:pPr>
        <w:spacing w:line="480" w:lineRule="auto"/>
        <w:rPr>
          <w:b/>
          <w:bCs/>
        </w:rPr>
      </w:pPr>
    </w:p>
    <w:p w14:paraId="139D4D2D" w14:textId="77777777" w:rsidR="000D0C3A" w:rsidRPr="00AB0515" w:rsidRDefault="000D0C3A" w:rsidP="000D0C3A">
      <w:pPr>
        <w:spacing w:line="480" w:lineRule="auto"/>
        <w:ind w:firstLine="720"/>
        <w:rPr>
          <w:b/>
          <w:bCs/>
        </w:rPr>
      </w:pPr>
      <w:r w:rsidRPr="00346295">
        <w:rPr>
          <w:i/>
          <w:iCs/>
        </w:rPr>
        <w:t>Keywords</w:t>
      </w:r>
      <w:r w:rsidRPr="00346295">
        <w:t>:</w:t>
      </w:r>
      <w:r w:rsidRPr="00AB0515">
        <w:rPr>
          <w:b/>
          <w:bCs/>
        </w:rPr>
        <w:t xml:space="preserve"> </w:t>
      </w:r>
      <w:r w:rsidRPr="00AB0515">
        <w:t>COVID-19, prejudice, intergroup contact</w:t>
      </w:r>
    </w:p>
    <w:p w14:paraId="14A666DB" w14:textId="77777777" w:rsidR="000D0C3A" w:rsidRPr="00AB0515" w:rsidRDefault="000D0C3A" w:rsidP="000D0C3A">
      <w:pPr>
        <w:spacing w:line="480" w:lineRule="auto"/>
        <w:rPr>
          <w:b/>
          <w:bCs/>
        </w:rPr>
      </w:pPr>
      <w:r w:rsidRPr="00AB0515">
        <w:rPr>
          <w:b/>
          <w:bCs/>
        </w:rPr>
        <w:br w:type="page"/>
      </w:r>
    </w:p>
    <w:p w14:paraId="26D5D43B" w14:textId="77777777" w:rsidR="004532C6" w:rsidRDefault="004532C6" w:rsidP="004532C6">
      <w:pPr>
        <w:spacing w:line="480" w:lineRule="auto"/>
        <w:ind w:firstLine="720"/>
      </w:pPr>
      <w:r>
        <w:lastRenderedPageBreak/>
        <w:t>As t</w:t>
      </w:r>
      <w:r w:rsidRPr="00AB0515">
        <w:t xml:space="preserve">he United States </w:t>
      </w:r>
      <w:r>
        <w:t>grapples</w:t>
      </w:r>
      <w:r w:rsidRPr="00AB0515">
        <w:t xml:space="preserve"> with</w:t>
      </w:r>
      <w:r>
        <w:t xml:space="preserve"> a</w:t>
      </w:r>
      <w:r w:rsidRPr="00AB0515">
        <w:t xml:space="preserve"> deadly pandemic caused by SARS-Cov-2 (hereafter</w:t>
      </w:r>
      <w:r>
        <w:t xml:space="preserve"> referred to as</w:t>
      </w:r>
      <w:r w:rsidRPr="00AB0515">
        <w:t xml:space="preserve"> COVID-19) that has killed </w:t>
      </w:r>
      <w:r>
        <w:t>hundreds of thousands of people</w:t>
      </w:r>
      <w:r w:rsidRPr="00AB0515">
        <w:t xml:space="preserve"> </w:t>
      </w:r>
      <w:r>
        <w:t>nationwide</w:t>
      </w:r>
      <w:r>
        <w:rPr>
          <w:rStyle w:val="FootnoteReference"/>
        </w:rPr>
        <w:footnoteReference w:id="1"/>
      </w:r>
      <w:r w:rsidRPr="00AB0515">
        <w:t xml:space="preserve">, it </w:t>
      </w:r>
      <w:r>
        <w:t>has</w:t>
      </w:r>
      <w:r w:rsidRPr="00AB0515">
        <w:t xml:space="preserve"> also</w:t>
      </w:r>
      <w:r>
        <w:t xml:space="preserve"> been</w:t>
      </w:r>
      <w:r w:rsidRPr="00AB0515">
        <w:t xml:space="preserve"> </w:t>
      </w:r>
      <w:r>
        <w:t>plagued by</w:t>
      </w:r>
      <w:r w:rsidRPr="00AB0515">
        <w:t xml:space="preserve"> a surge in anti-Asian prejudice (Lee &amp; Yadav, 2020). Since the start of the </w:t>
      </w:r>
      <w:r>
        <w:t xml:space="preserve">COVID-19 </w:t>
      </w:r>
      <w:r w:rsidRPr="00AB0515">
        <w:t xml:space="preserve">pandemic, 30% of Americans (and 60% of Asian Americans) </w:t>
      </w:r>
      <w:r>
        <w:t xml:space="preserve">have </w:t>
      </w:r>
      <w:r w:rsidRPr="00AB0515">
        <w:t>report</w:t>
      </w:r>
      <w:r>
        <w:t>ed</w:t>
      </w:r>
      <w:r w:rsidRPr="00AB0515">
        <w:t xml:space="preserve"> witnessing someone blaming Asian people for the pandemic (Ellerbeck, 2020). Moreover, 58% of Asian Americans say that expressions of anti-Asian </w:t>
      </w:r>
      <w:r w:rsidRPr="00F02D90">
        <w:t>sentiment have become more common since the COVID-19 pandemic began (Ruiz et al., 2020; see also Gover et al., 2020; Tessler et al., 2020), with some estimates reporting around 1,500 instances of harassment against Asian Americans between March and April 2020 (Jeung &amp; Nham, 2020).</w:t>
      </w:r>
      <w:r>
        <w:t xml:space="preserve"> The present research examines the relations between the intensity of COVID-19 and anti-Asian prejudice with three primary goals: (1) to test </w:t>
      </w:r>
      <w:r w:rsidRPr="00B7164C">
        <w:t xml:space="preserve">whether actual </w:t>
      </w:r>
      <w:r>
        <w:t xml:space="preserve">intensity or perceived </w:t>
      </w:r>
      <w:r w:rsidRPr="00B7164C">
        <w:t>intensity of the COVID-19 outbreak predict</w:t>
      </w:r>
      <w:r>
        <w:t>s</w:t>
      </w:r>
      <w:r w:rsidRPr="00B7164C">
        <w:t xml:space="preserve"> indicators of racial outgroup prejudice, particularly </w:t>
      </w:r>
      <w:r>
        <w:t>indicators of prejudice</w:t>
      </w:r>
      <w:r w:rsidRPr="00B7164C">
        <w:t xml:space="preserve"> </w:t>
      </w:r>
      <w:r>
        <w:t>that reflect the likelihood of interaction and subsequent infection, (2) to examine whether any relations between outbreak intensity and prejudice is specific to anti-Asian prejudice, or is directed toward other racial outgroups as well (i.e., anti-Black prejudice), and (3) to examine whether contact with racial outgroup members moderates relations between COVID-19 intensity and racial outgroup prejudice.</w:t>
      </w:r>
    </w:p>
    <w:p w14:paraId="743BB1C0" w14:textId="77777777" w:rsidR="004532C6" w:rsidRDefault="004532C6" w:rsidP="004532C6">
      <w:pPr>
        <w:spacing w:line="480" w:lineRule="auto"/>
        <w:ind w:firstLine="720"/>
      </w:pPr>
      <w:r>
        <w:t xml:space="preserve">There are </w:t>
      </w:r>
      <w:r w:rsidRPr="00F02D90">
        <w:t xml:space="preserve">theoretical reasons to expect </w:t>
      </w:r>
      <w:r>
        <w:t xml:space="preserve">more </w:t>
      </w:r>
      <w:r w:rsidRPr="00F02D90">
        <w:t xml:space="preserve">prejudice, and </w:t>
      </w:r>
      <w:proofErr w:type="gramStart"/>
      <w:r w:rsidRPr="00F02D90">
        <w:t>in particular</w:t>
      </w:r>
      <w:r>
        <w:t xml:space="preserve"> more</w:t>
      </w:r>
      <w:proofErr w:type="gramEnd"/>
      <w:r w:rsidRPr="00F02D90">
        <w:t xml:space="preserve"> anti-Asian prejudice, </w:t>
      </w:r>
      <w:r>
        <w:t>during the</w:t>
      </w:r>
      <w:r w:rsidRPr="00F02D90">
        <w:t xml:space="preserve"> current COVID-19 pandemic. A rich literature </w:t>
      </w:r>
      <w:r>
        <w:t xml:space="preserve">concerning evolutionary and functional perspectives on prejudice </w:t>
      </w:r>
      <w:r w:rsidRPr="00F02D90">
        <w:t xml:space="preserve">suggests that during periods of disease and outbreak, one’s “behavioral immune system” kicks in and promotes a variety of behavior changes that </w:t>
      </w:r>
      <w:r>
        <w:t xml:space="preserve">aim to </w:t>
      </w:r>
      <w:r w:rsidRPr="00F02D90">
        <w:t>reduce the chances of infection</w:t>
      </w:r>
      <w:r>
        <w:t xml:space="preserve"> (see Ackerman et al., 2018). If the function of prejudice during a </w:t>
      </w:r>
      <w:r>
        <w:lastRenderedPageBreak/>
        <w:t>period of disease outbreak is to reduce one’s chance of becoming infected, then we should expect to observe that disease outbreaks are associated with psychological distancing from outgroups associated with the disease. Indicators of such psychological distancing may include reduced willingness for interaction with outgroup</w:t>
      </w:r>
      <w:r w:rsidRPr="00F02D90">
        <w:t xml:space="preserve"> others</w:t>
      </w:r>
      <w:r>
        <w:t xml:space="preserve"> or greater support for exclusionary policies that would reduce the likelihood of contact with the relevant outgroup (see</w:t>
      </w:r>
      <w:r w:rsidRPr="00F02D90">
        <w:t xml:space="preserve"> Schaller &amp; Duncan, 2007; Schaller &amp; Park, 2011).</w:t>
      </w:r>
      <w:r w:rsidRPr="00536B72">
        <w:t xml:space="preserve"> </w:t>
      </w:r>
    </w:p>
    <w:p w14:paraId="311EF62E" w14:textId="77777777" w:rsidR="004532C6" w:rsidRDefault="004532C6" w:rsidP="004532C6">
      <w:pPr>
        <w:spacing w:line="480" w:lineRule="auto"/>
        <w:ind w:firstLine="720"/>
      </w:pPr>
      <w:r>
        <w:t>In the present context of COVID-19, there are at least two factors fomenting the idea that “Asian people” are the relevant outgroup targeted for exclusion. First, narratives that place the blame for COVID-19 on China, or Asian people more broadly, have been pervasive in the U.S. since the start of the pandemic (</w:t>
      </w:r>
      <w:r w:rsidRPr="00F02D90">
        <w:t>see Noel, 2020, for a review</w:t>
      </w:r>
      <w:r>
        <w:t>). A</w:t>
      </w:r>
      <w:r w:rsidRPr="00AB0515">
        <w:t>nti-Asian sentiment</w:t>
      </w:r>
      <w:r>
        <w:t xml:space="preserve"> has been</w:t>
      </w:r>
      <w:r w:rsidRPr="00AB0515">
        <w:t xml:space="preserve"> expressed</w:t>
      </w:r>
      <w:r>
        <w:t xml:space="preserve"> blatantly</w:t>
      </w:r>
      <w:r w:rsidRPr="00AB0515">
        <w:t xml:space="preserve"> in public discourse</w:t>
      </w:r>
      <w:r>
        <w:t xml:space="preserve"> (Mitchell et al., 2020)</w:t>
      </w:r>
      <w:r w:rsidRPr="00AB0515">
        <w:t xml:space="preserve">, including by </w:t>
      </w:r>
      <w:r>
        <w:t xml:space="preserve">the former U.S. president and other </w:t>
      </w:r>
      <w:r w:rsidRPr="00AB0515">
        <w:t>leading politicians, who on numerous occasions referred to COVID-19 as the “Chinese Flu” or “Kung Flu” (Zhou, 2020). In this context, it is easy to envision how</w:t>
      </w:r>
      <w:r>
        <w:t xml:space="preserve"> prejudice against</w:t>
      </w:r>
      <w:r w:rsidRPr="00F02D90">
        <w:t xml:space="preserve"> Asian people might </w:t>
      </w:r>
      <w:r>
        <w:t>have deepened</w:t>
      </w:r>
      <w:r w:rsidRPr="00F02D90">
        <w:t xml:space="preserve"> as the COVID-19 outbreak </w:t>
      </w:r>
      <w:r>
        <w:t>intensified and became more salient in people’s minds</w:t>
      </w:r>
      <w:r w:rsidRPr="00F02D90">
        <w:t>.</w:t>
      </w:r>
    </w:p>
    <w:p w14:paraId="0BD71E0D" w14:textId="77777777" w:rsidR="004532C6" w:rsidRDefault="004532C6" w:rsidP="004532C6">
      <w:pPr>
        <w:spacing w:line="480" w:lineRule="auto"/>
        <w:ind w:firstLine="720"/>
      </w:pPr>
      <w:r>
        <w:t>Second, the literature</w:t>
      </w:r>
      <w:r w:rsidRPr="00EB1BF4">
        <w:t xml:space="preserve"> </w:t>
      </w:r>
      <w:r>
        <w:t xml:space="preserve">examining evolutionary and functional perspectives on prejudice also supports the prediction that, at least among White Americans, periods of disease outbreak might engender anti-Asian prejudice. These perspectives propose that, during a disease outbreak, prejudice is most likely to be oriented toward outgroups perceived or stereotyped as foreign, because these outgroups are most likely to be viewed as importing new pathogens or subscribing to norms around food or hygiene that do not align with host nation norms (Kurzban &amp; Leary, 2001; Park et al., 2003). Clearly, such trends do not negate the abundance of prejudice against Black people and other racial groups in the United States; nonetheless, White Americans have </w:t>
      </w:r>
      <w:r>
        <w:lastRenderedPageBreak/>
        <w:t xml:space="preserve">often been shown to view Asian people as more foreign than other racial groups (e.g., Devos &amp; Banaji, 2005; Kim, 1999; Parks &amp; Yoo, 2016; Zou &amp; Cheryan, 2017). </w:t>
      </w:r>
    </w:p>
    <w:p w14:paraId="56A89C4F" w14:textId="77777777" w:rsidR="004532C6" w:rsidRDefault="004532C6" w:rsidP="004532C6">
      <w:pPr>
        <w:spacing w:line="480" w:lineRule="auto"/>
        <w:ind w:firstLine="720"/>
      </w:pPr>
      <w:r>
        <w:t xml:space="preserve">Thus, during a period of disease outbreak, and especially when combined with narratives placing the blame for the COVID-19 pandemic on Chinese people (Zhou, 2020), we would expect to observe heightened anti-Asian prejudice among White people in the U.S. This has been borne out in recent research. For instance, social media analysis has shown that the proportion of tweets expressing negative sentiments toward Asian people increased considerably between November 2019 and March 2020, as COVID-19 began to spread across the U.S., while the proportion of tweets expressing negative sentiment toward Black people remained relatively stable during this same </w:t>
      </w:r>
      <w:proofErr w:type="gramStart"/>
      <w:r>
        <w:t>time period</w:t>
      </w:r>
      <w:proofErr w:type="gramEnd"/>
      <w:r>
        <w:t xml:space="preserve"> (see Nguyen et al., 2020). </w:t>
      </w:r>
    </w:p>
    <w:p w14:paraId="1D815666" w14:textId="77777777" w:rsidR="004532C6" w:rsidRDefault="004532C6" w:rsidP="004532C6">
      <w:pPr>
        <w:spacing w:line="480" w:lineRule="auto"/>
        <w:ind w:firstLine="720"/>
      </w:pPr>
      <w:r>
        <w:t>In a related vein, t</w:t>
      </w:r>
      <w:r w:rsidRPr="00F02D90">
        <w:t xml:space="preserve">he power of disease outbreaks </w:t>
      </w:r>
      <w:r>
        <w:t>to incite</w:t>
      </w:r>
      <w:r w:rsidRPr="00F02D90">
        <w:t xml:space="preserve"> prejudice </w:t>
      </w:r>
      <w:r>
        <w:t xml:space="preserve">toward foreign outgroups </w:t>
      </w:r>
      <w:r w:rsidRPr="00F02D90">
        <w:t>has been demonstrated</w:t>
      </w:r>
      <w:r>
        <w:t xml:space="preserve"> previously</w:t>
      </w:r>
      <w:r w:rsidRPr="00F02D90">
        <w:t xml:space="preserve"> in Italy, in response to the 2014 Ebola epidemic in West Africa. </w:t>
      </w:r>
      <w:r>
        <w:t>Overall,</w:t>
      </w:r>
      <w:r w:rsidRPr="00F02D90">
        <w:t xml:space="preserve"> Italy reported </w:t>
      </w:r>
      <w:r>
        <w:t xml:space="preserve">only two </w:t>
      </w:r>
      <w:r w:rsidRPr="00F02D90">
        <w:t>cases of Ebola</w:t>
      </w:r>
      <w:r>
        <w:t xml:space="preserve">—making its prevalence much less intense </w:t>
      </w:r>
      <w:r w:rsidRPr="00F02D90">
        <w:t>than</w:t>
      </w:r>
      <w:r>
        <w:t xml:space="preserve"> the current outbreak of </w:t>
      </w:r>
      <w:r w:rsidRPr="00F02D90">
        <w:t>COVID-19</w:t>
      </w:r>
      <w:r>
        <w:t xml:space="preserve"> in the U.S. Nonetheless, </w:t>
      </w:r>
      <w:r w:rsidRPr="00F02D90">
        <w:t xml:space="preserve">Italian citizens who </w:t>
      </w:r>
      <w:r>
        <w:t xml:space="preserve">believed </w:t>
      </w:r>
      <w:r w:rsidRPr="00F02D90">
        <w:t>Ebola infection was likely also expressed greater prejudice toward African immigrants</w:t>
      </w:r>
      <w:r>
        <w:t xml:space="preserve"> </w:t>
      </w:r>
      <w:r w:rsidRPr="00A710E5">
        <w:t>(Prati &amp; Peitrantoni, 2016)</w:t>
      </w:r>
      <w:r w:rsidRPr="00F02D90">
        <w:t xml:space="preserve">. </w:t>
      </w:r>
      <w:r>
        <w:t>Such studies examining how actual disease outbreaks relate to outgroup prejudice</w:t>
      </w:r>
      <w:r w:rsidRPr="00F02D90">
        <w:t xml:space="preserve"> are relatively rare, but </w:t>
      </w:r>
      <w:r>
        <w:t xml:space="preserve">their general conclusions </w:t>
      </w:r>
      <w:r w:rsidRPr="00F02D90">
        <w:t>are supported by lab</w:t>
      </w:r>
      <w:r>
        <w:t>oratory</w:t>
      </w:r>
      <w:r w:rsidRPr="00F02D90">
        <w:t>-based studies</w:t>
      </w:r>
      <w:r>
        <w:t xml:space="preserve">. Stimulating disgust—an emotion frequently associated with disease—can lead people to become less likely to seek out activities with strangers (Sawada et al., 2017) and more likely to harbor prejudice toward outgroup members (Navarette &amp; Fessler, 2005). Studies have also shown how priming stimuli related to disease can enhance prejudice toward a foreign outgroup, but not toward a more familiar outgroup </w:t>
      </w:r>
      <w:r w:rsidRPr="00F02D90">
        <w:t>(</w:t>
      </w:r>
      <w:r>
        <w:t xml:space="preserve">e.g., </w:t>
      </w:r>
      <w:r w:rsidRPr="00F02D90">
        <w:t xml:space="preserve">Faulkner et al., 2004). </w:t>
      </w:r>
    </w:p>
    <w:p w14:paraId="05DC366A" w14:textId="77777777" w:rsidR="004532C6" w:rsidRDefault="004532C6" w:rsidP="004532C6">
      <w:pPr>
        <w:spacing w:line="480" w:lineRule="auto"/>
        <w:ind w:firstLine="720"/>
      </w:pPr>
      <w:r>
        <w:lastRenderedPageBreak/>
        <w:t xml:space="preserve">With respect to the present COVID-19 pandemic, a large survey study revealed that </w:t>
      </w:r>
      <w:r w:rsidRPr="00F02D90">
        <w:t>Americans who expressed more concern about COVID-19 also expressed greater anti-Asian sentiment (Reny &amp; Barreto, 2020)</w:t>
      </w:r>
      <w:r>
        <w:t>. Similarly,</w:t>
      </w:r>
      <w:r w:rsidRPr="00F02D90">
        <w:t xml:space="preserve"> </w:t>
      </w:r>
      <w:r>
        <w:t xml:space="preserve">an experimental study showed that </w:t>
      </w:r>
      <w:r w:rsidRPr="00F02D90">
        <w:t xml:space="preserve">Americans primed to think of COVID-19 as an existential threat reported greater anxiety and arousal, which in turn predicted greater anti-Asian bias (Tabri et al., 2020). </w:t>
      </w:r>
      <w:r>
        <w:t xml:space="preserve">These most recent studies have usefully demonstrated how individuals’ own </w:t>
      </w:r>
      <w:r w:rsidRPr="00227B79">
        <w:rPr>
          <w:iCs/>
        </w:rPr>
        <w:t>concern</w:t>
      </w:r>
      <w:r>
        <w:t xml:space="preserve"> about COVID-19 infection might enhance their reported prejudice toward an outgroup. Still, the insights offered by these studies are limited in some key respects.</w:t>
      </w:r>
    </w:p>
    <w:p w14:paraId="6C202C30" w14:textId="77777777" w:rsidR="004532C6" w:rsidRDefault="004532C6" w:rsidP="004532C6">
      <w:pPr>
        <w:spacing w:line="480" w:lineRule="auto"/>
        <w:ind w:firstLine="720"/>
      </w:pPr>
      <w:r w:rsidRPr="001C771B">
        <w:rPr>
          <w:i/>
        </w:rPr>
        <w:t>L</w:t>
      </w:r>
      <w:r w:rsidRPr="00833ADB">
        <w:rPr>
          <w:i/>
        </w:rPr>
        <w:t>imited</w:t>
      </w:r>
      <w:r w:rsidRPr="001C771B">
        <w:rPr>
          <w:i/>
        </w:rPr>
        <w:t xml:space="preserve"> attention to broader context of disease infection</w:t>
      </w:r>
      <w:r>
        <w:t xml:space="preserve">. For one, prior studies have focused on individuals’ concerns about COVID-19 infection, without </w:t>
      </w:r>
      <w:proofErr w:type="gramStart"/>
      <w:r>
        <w:t>taking into account</w:t>
      </w:r>
      <w:proofErr w:type="gramEnd"/>
      <w:r>
        <w:t xml:space="preserve"> the intensity or pervasiveness of the COVID-19 outbreak in the actual social context in which people live. Rather than attempting to draw conclusions about large-scale social processes from only individual-level data, greater efforts should be made to understand how context-level factors may shape individuals’ responses (see Pettigrew, 2018).</w:t>
      </w:r>
      <w:r w:rsidRPr="00833ADB">
        <w:t xml:space="preserve"> </w:t>
      </w:r>
      <w:r>
        <w:t>Thus, a</w:t>
      </w:r>
      <w:r w:rsidRPr="00833ADB">
        <w:t xml:space="preserve"> central aim of the present</w:t>
      </w:r>
      <w:r>
        <w:t xml:space="preserve"> research</w:t>
      </w:r>
      <w:r w:rsidRPr="00833ADB">
        <w:t xml:space="preserve"> was to consider how intensity of the COVID-19 outbreak where people live—both as</w:t>
      </w:r>
      <w:r>
        <w:t xml:space="preserve"> officially</w:t>
      </w:r>
      <w:r w:rsidRPr="00833ADB">
        <w:t xml:space="preserve"> recorded in their state of residence and as estimated by individuals themselves—might correspond with anti-Asian prejudice</w:t>
      </w:r>
      <w:r>
        <w:t>.</w:t>
      </w:r>
      <w:r w:rsidRPr="00833ADB">
        <w:t xml:space="preserve"> </w:t>
      </w:r>
    </w:p>
    <w:p w14:paraId="294C29AC" w14:textId="77777777" w:rsidR="004532C6" w:rsidRDefault="004532C6" w:rsidP="004532C6">
      <w:pPr>
        <w:spacing w:line="480" w:lineRule="auto"/>
        <w:ind w:firstLine="720"/>
        <w:rPr>
          <w:iCs/>
        </w:rPr>
      </w:pPr>
      <w:r w:rsidRPr="001C771B">
        <w:rPr>
          <w:i/>
        </w:rPr>
        <w:t xml:space="preserve">Limited </w:t>
      </w:r>
      <w:r>
        <w:rPr>
          <w:i/>
        </w:rPr>
        <w:t>exploration of</w:t>
      </w:r>
      <w:r w:rsidRPr="001C771B">
        <w:rPr>
          <w:i/>
        </w:rPr>
        <w:t xml:space="preserve"> distinct dimensions of prejudice</w:t>
      </w:r>
      <w:r>
        <w:t xml:space="preserve">. In examining how outgroup prejudice may be linked to individuals’ concerns about COVID-19 infection, prior studies have focused on assessing prejudice as a single concept, rather than exploring how concerns about disease outbreak might differentially relate to distinct indicators of outgroup prejudice. During periods of disease outbreak, the function of prejudice is largely understood as being motivated by a desire to reduce the possibility of infection (e.g., Ackerman et al., 2018; Schaller &amp; Park, </w:t>
      </w:r>
      <w:r>
        <w:lastRenderedPageBreak/>
        <w:t>2011). As such, we expect that links between COVID-19 intensity and anti-Asian prejudice will more likely be observed for prejudice measures that represent the possibility of interaction with Asian people—such as desire for social distance and exclusionary travel policies—and less likely to be observed for prejudice measures that represent negative affect toward Asian people</w:t>
      </w:r>
      <w:r>
        <w:rPr>
          <w:iCs/>
        </w:rPr>
        <w:t xml:space="preserve">. </w:t>
      </w:r>
    </w:p>
    <w:p w14:paraId="69E76540" w14:textId="77777777" w:rsidR="004532C6" w:rsidRDefault="004532C6" w:rsidP="004532C6">
      <w:pPr>
        <w:spacing w:line="480" w:lineRule="auto"/>
        <w:ind w:firstLine="720"/>
        <w:rPr>
          <w:iCs/>
        </w:rPr>
      </w:pPr>
      <w:r w:rsidRPr="00E54EEA">
        <w:rPr>
          <w:i/>
          <w:iCs/>
        </w:rPr>
        <w:t xml:space="preserve">Limited </w:t>
      </w:r>
      <w:r>
        <w:rPr>
          <w:i/>
          <w:iCs/>
        </w:rPr>
        <w:t>consideration</w:t>
      </w:r>
      <w:r w:rsidRPr="00E54EEA">
        <w:rPr>
          <w:i/>
          <w:iCs/>
        </w:rPr>
        <w:t xml:space="preserve"> of potential targets of outgroup prejudice</w:t>
      </w:r>
      <w:r>
        <w:rPr>
          <w:iCs/>
        </w:rPr>
        <w:t xml:space="preserve">. Prior studies of the outbreak have also been limited by their principal focus on prejudice toward only one specified outgroup. In the present research, we use a sample of White Americans from across the U.S. to test the prediction that COVID-19 would be more strongly linked to prejudice against Asian people—due to prevailing narratives about the COVID-19 outbreak as well as stereotypes linking “Asian” and “foreignness”—in contrast to the prediction that COVID-19 intensity would be comparably associated with prejudice against Asian people and people from another racial outgroup (e.g., Black people). </w:t>
      </w:r>
    </w:p>
    <w:p w14:paraId="6D244A2C" w14:textId="77777777" w:rsidR="004532C6" w:rsidRPr="008C1CAE" w:rsidRDefault="004532C6" w:rsidP="004532C6">
      <w:pPr>
        <w:spacing w:line="480" w:lineRule="auto"/>
        <w:rPr>
          <w:b/>
          <w:bCs/>
          <w:iCs/>
        </w:rPr>
      </w:pPr>
      <w:r w:rsidRPr="008C1CAE">
        <w:rPr>
          <w:b/>
          <w:bCs/>
          <w:iCs/>
        </w:rPr>
        <w:t xml:space="preserve">Assessing COVID-19 </w:t>
      </w:r>
      <w:r>
        <w:rPr>
          <w:b/>
          <w:bCs/>
          <w:iCs/>
        </w:rPr>
        <w:t>I</w:t>
      </w:r>
      <w:r w:rsidRPr="008C1CAE">
        <w:rPr>
          <w:b/>
          <w:bCs/>
          <w:iCs/>
        </w:rPr>
        <w:t xml:space="preserve">ntensity: </w:t>
      </w:r>
      <w:r>
        <w:rPr>
          <w:b/>
          <w:bCs/>
          <w:iCs/>
        </w:rPr>
        <w:t>Participant Estimates versus Objective</w:t>
      </w:r>
      <w:r w:rsidRPr="008C1CAE">
        <w:rPr>
          <w:b/>
          <w:bCs/>
          <w:iCs/>
        </w:rPr>
        <w:t xml:space="preserve"> </w:t>
      </w:r>
      <w:r>
        <w:rPr>
          <w:b/>
          <w:bCs/>
          <w:iCs/>
        </w:rPr>
        <w:t>R</w:t>
      </w:r>
      <w:r w:rsidRPr="008C1CAE">
        <w:rPr>
          <w:b/>
          <w:bCs/>
          <w:iCs/>
        </w:rPr>
        <w:t>eality</w:t>
      </w:r>
    </w:p>
    <w:p w14:paraId="243E78D7" w14:textId="77777777" w:rsidR="004532C6" w:rsidRPr="00083C7D" w:rsidRDefault="004532C6" w:rsidP="004532C6">
      <w:pPr>
        <w:spacing w:line="480" w:lineRule="auto"/>
        <w:ind w:firstLine="720"/>
      </w:pPr>
      <w:r>
        <w:t>To examine links between COVID-19 intensity and prejudice in the present research, we distinguish between indicators based on official public reports and subjective estimates to represent the context-level threat in question (Semyonov et al., 2004; Stephan et al., 2009). P</w:t>
      </w:r>
      <w:r w:rsidRPr="00AB0515">
        <w:t xml:space="preserve">rior research indicates that people’s </w:t>
      </w:r>
      <w:r>
        <w:t xml:space="preserve">subjective </w:t>
      </w:r>
      <w:r>
        <w:rPr>
          <w:iCs/>
        </w:rPr>
        <w:t>estimates</w:t>
      </w:r>
      <w:r w:rsidRPr="00AB0515">
        <w:t xml:space="preserve"> of </w:t>
      </w:r>
      <w:r>
        <w:t xml:space="preserve">context-level </w:t>
      </w:r>
      <w:r w:rsidRPr="00AB0515">
        <w:t>threat</w:t>
      </w:r>
      <w:r>
        <w:t>s</w:t>
      </w:r>
      <w:r w:rsidRPr="00AB0515">
        <w:t xml:space="preserve"> are</w:t>
      </w:r>
      <w:r>
        <w:t xml:space="preserve"> often</w:t>
      </w:r>
      <w:r w:rsidRPr="00AB0515">
        <w:t xml:space="preserve"> more predictive of </w:t>
      </w:r>
      <w:r>
        <w:t>their outgroup</w:t>
      </w:r>
      <w:r w:rsidRPr="00AB0515">
        <w:t xml:space="preserve"> attitudes than more objective </w:t>
      </w:r>
      <w:r>
        <w:t>indicators</w:t>
      </w:r>
      <w:r w:rsidRPr="00AB0515">
        <w:t xml:space="preserve"> of </w:t>
      </w:r>
      <w:r>
        <w:t xml:space="preserve">context-level </w:t>
      </w:r>
      <w:r w:rsidRPr="00AB0515">
        <w:t>threat</w:t>
      </w:r>
      <w:r>
        <w:t>s</w:t>
      </w:r>
      <w:r w:rsidRPr="00AB0515">
        <w:t xml:space="preserve"> (see, e.g., </w:t>
      </w:r>
      <w:r>
        <w:t xml:space="preserve">Pettigrew et al., 2010; </w:t>
      </w:r>
      <w:r w:rsidRPr="00AB0515">
        <w:t xml:space="preserve">Stephan et al., </w:t>
      </w:r>
      <w:r>
        <w:t>2009</w:t>
      </w:r>
      <w:r w:rsidRPr="00AB0515">
        <w:t xml:space="preserve">). </w:t>
      </w:r>
      <w:r>
        <w:t xml:space="preserve">As one relevant example, Semyonov et al. (2004) showed that it was Germans’ </w:t>
      </w:r>
      <w:r w:rsidRPr="005C734E">
        <w:rPr>
          <w:i/>
        </w:rPr>
        <w:t xml:space="preserve">own </w:t>
      </w:r>
      <w:r w:rsidRPr="00286050">
        <w:rPr>
          <w:i/>
        </w:rPr>
        <w:t>estimates</w:t>
      </w:r>
      <w:r>
        <w:t xml:space="preserve"> of the percentage of foreigners living in Germany—and not the actual percentage of foreigners living in Germany—that predicted more exclusionary attitudes toward foreigners (see also Schlueter &amp; Scheepers, 2010; Semyonov et al., 2008).  </w:t>
      </w:r>
      <w:r w:rsidRPr="00083C7D">
        <w:t xml:space="preserve">In line with </w:t>
      </w:r>
      <w:r>
        <w:t>this body of work</w:t>
      </w:r>
      <w:r w:rsidRPr="00083C7D">
        <w:t>, we expect</w:t>
      </w:r>
      <w:r>
        <w:t>ed</w:t>
      </w:r>
      <w:r w:rsidRPr="00083C7D">
        <w:t xml:space="preserve"> that participants’ subjective estimates of </w:t>
      </w:r>
      <w:r w:rsidRPr="00083C7D">
        <w:lastRenderedPageBreak/>
        <w:t>COVID-19 intensity, and not actual COVID-19 intensity, w</w:t>
      </w:r>
      <w:r>
        <w:t>ould</w:t>
      </w:r>
      <w:r w:rsidRPr="00083C7D">
        <w:t xml:space="preserve"> be more predictive of </w:t>
      </w:r>
      <w:r>
        <w:t xml:space="preserve">outgroup </w:t>
      </w:r>
      <w:r w:rsidRPr="00083C7D">
        <w:t xml:space="preserve">prejudice. </w:t>
      </w:r>
    </w:p>
    <w:p w14:paraId="0BAE9784" w14:textId="77777777" w:rsidR="004532C6" w:rsidRPr="00337501" w:rsidRDefault="004532C6" w:rsidP="004532C6">
      <w:pPr>
        <w:spacing w:line="480" w:lineRule="auto"/>
        <w:rPr>
          <w:b/>
        </w:rPr>
      </w:pPr>
      <w:r w:rsidRPr="00337501">
        <w:rPr>
          <w:b/>
        </w:rPr>
        <w:t>Contact as a Moderator of Links Between COVID-19 Intensity and Prejudice</w:t>
      </w:r>
    </w:p>
    <w:p w14:paraId="43F75A66" w14:textId="77777777" w:rsidR="004532C6" w:rsidRDefault="004532C6" w:rsidP="004532C6">
      <w:pPr>
        <w:spacing w:line="480" w:lineRule="auto"/>
        <w:ind w:firstLine="720"/>
      </w:pPr>
      <w:r>
        <w:t>Another aim of this research was to examine whether contact with Asian people might moderate associations between COVID-19 intensity and anti-Asian prejudice. A long tradition of research in social psychology has established that intergroup contact often</w:t>
      </w:r>
      <w:r w:rsidRPr="00AB0515">
        <w:t xml:space="preserve"> </w:t>
      </w:r>
      <w:r>
        <w:t>relates to lower perceptions of</w:t>
      </w:r>
      <w:r w:rsidRPr="00AB0515">
        <w:t xml:space="preserve"> intergroup threat (e.g., </w:t>
      </w:r>
      <w:r>
        <w:t xml:space="preserve">Schlueter &amp; Scheepers, 2010; </w:t>
      </w:r>
      <w:r w:rsidRPr="00AB0515">
        <w:t>Stephan et al. 2002; 2008)</w:t>
      </w:r>
      <w:r>
        <w:t>, and p</w:t>
      </w:r>
      <w:r w:rsidRPr="00AB0515">
        <w:t xml:space="preserve">art of why contact typically </w:t>
      </w:r>
      <w:r>
        <w:t>reduces prejudice</w:t>
      </w:r>
      <w:r w:rsidRPr="00AB0515">
        <w:t xml:space="preserve"> is because it lessens the extent to which people feel threatened by the outgroup (Pettigrew &amp; Tropp, 200</w:t>
      </w:r>
      <w:r>
        <w:t>8</w:t>
      </w:r>
      <w:r w:rsidRPr="00AB0515">
        <w:t xml:space="preserve">). </w:t>
      </w:r>
      <w:r>
        <w:t xml:space="preserve">Correspondingly, we would generally expect that greater contact with Asian people will correspond with less anti-Asian prejudice even in the present context of disease outbreak, as it does under more typical conditions. </w:t>
      </w:r>
    </w:p>
    <w:p w14:paraId="0353E4C8" w14:textId="77777777" w:rsidR="004532C6" w:rsidRDefault="004532C6" w:rsidP="004532C6">
      <w:pPr>
        <w:spacing w:line="480" w:lineRule="auto"/>
        <w:ind w:firstLine="720"/>
        <w:rPr>
          <w:b/>
        </w:rPr>
      </w:pPr>
      <w:r>
        <w:t xml:space="preserve">Recent research from the U.K. offers some support for this prediction; during the early days of the pandemic (i.e., late February of 2020), Alston et al., (2020) observed that White British citizens’ who reported greater contact with Chinese people tended to show less support for anti-Chinese discriminatory policies. However, these authors did not examine whether support for anti-Chinese policies varied in relation to the actual or perceived intensity of the threat posed by the outgroup (in this case, the intensity of COVID-19), and whether contact might moderate this relation. This research extension is important to consider, given other studies showing that threat and contact </w:t>
      </w:r>
      <w:r w:rsidRPr="00A9721F">
        <w:rPr>
          <w:i/>
          <w:iCs/>
        </w:rPr>
        <w:t>both</w:t>
      </w:r>
      <w:r>
        <w:t xml:space="preserve"> play important roles in shaping intergroup prejudice (e.g., Pettigrew et al., 2010), and that contact can often </w:t>
      </w:r>
      <w:r w:rsidRPr="00AB0515">
        <w:t>mitigate the negative effects of threat on intergroup attitudes (</w:t>
      </w:r>
      <w:r>
        <w:t xml:space="preserve">see </w:t>
      </w:r>
      <w:r w:rsidRPr="00AB0515">
        <w:t>Pettigrew &amp; Tropp, 20</w:t>
      </w:r>
      <w:r>
        <w:t xml:space="preserve">11; </w:t>
      </w:r>
      <w:r w:rsidRPr="00AB0515">
        <w:t>Wagner et al., 2006)</w:t>
      </w:r>
      <w:r>
        <w:t xml:space="preserve">. In the current research, therefore, we examine both threat and contact as predictors of outgroup prejudice; here, we test </w:t>
      </w:r>
      <w:r>
        <w:lastRenderedPageBreak/>
        <w:t xml:space="preserve">whether contact with Asian people will </w:t>
      </w:r>
      <w:r w:rsidRPr="0077034B">
        <w:rPr>
          <w:i/>
        </w:rPr>
        <w:t>moderate</w:t>
      </w:r>
      <w:r>
        <w:t xml:space="preserve"> relations between COVID-19 intensity and anti-Asian prejudice among White Americans, such that the positive links between greater COVID-19 intensity and greater anti-Asian prejudice will be weaker among those who report higher—as compared to lower—levels of contact with Asian people. Examining whether contact moderates any relations between COVID-19 intensity and anti-Asian bias allows us to assess whether contact might attenuate the expression of prejudice, even during periods of heightened threat. Finally, to explore under what conditions and in relation to whom contact might attenuate prejudice, we will also examine whether contact with Black people moderates possible relations between COVID-19 intensity and anti-Black prejudice. </w:t>
      </w:r>
    </w:p>
    <w:p w14:paraId="447C8B72" w14:textId="77777777" w:rsidR="004532C6" w:rsidRPr="00152F00" w:rsidRDefault="004532C6" w:rsidP="004532C6">
      <w:pPr>
        <w:spacing w:line="480" w:lineRule="auto"/>
        <w:rPr>
          <w:b/>
        </w:rPr>
      </w:pPr>
      <w:r w:rsidRPr="00152F00">
        <w:rPr>
          <w:b/>
        </w:rPr>
        <w:t>The Current Research</w:t>
      </w:r>
    </w:p>
    <w:p w14:paraId="78FE767F" w14:textId="77777777" w:rsidR="004532C6" w:rsidRDefault="004532C6" w:rsidP="004532C6">
      <w:pPr>
        <w:spacing w:line="480" w:lineRule="auto"/>
        <w:ind w:firstLine="720"/>
      </w:pPr>
      <w:r>
        <w:t>In sum, the current research aimed to test the following hypotheses:</w:t>
      </w:r>
    </w:p>
    <w:p w14:paraId="5514CE10" w14:textId="77777777" w:rsidR="004532C6" w:rsidRDefault="004532C6" w:rsidP="004532C6">
      <w:pPr>
        <w:spacing w:line="480" w:lineRule="auto"/>
      </w:pPr>
      <w:r w:rsidRPr="009011CC">
        <w:rPr>
          <w:b/>
          <w:bCs/>
          <w:i/>
          <w:iCs/>
        </w:rPr>
        <w:t>Hypothesis 1:</w:t>
      </w:r>
      <w:r>
        <w:t xml:space="preserve"> We will be more likely to observe relations between COVID-19 intensity and anti-Asian prejudice for prejudice measures that represent the possibility of interaction with Asian people and less likely to observed relations for prejudice measures that represent negative affect toward Asian people.</w:t>
      </w:r>
    </w:p>
    <w:p w14:paraId="1A321342" w14:textId="77777777" w:rsidR="004532C6" w:rsidRDefault="004532C6" w:rsidP="004532C6">
      <w:pPr>
        <w:spacing w:line="480" w:lineRule="auto"/>
      </w:pPr>
      <w:r w:rsidRPr="009011CC">
        <w:rPr>
          <w:b/>
          <w:bCs/>
          <w:i/>
          <w:iCs/>
        </w:rPr>
        <w:t>Hypothesis 2:</w:t>
      </w:r>
      <w:r>
        <w:t xml:space="preserve"> P</w:t>
      </w:r>
      <w:r w:rsidRPr="00083C7D">
        <w:t>articipants’ subjective estimates of COVID-19 intensity</w:t>
      </w:r>
      <w:r>
        <w:t xml:space="preserve"> will</w:t>
      </w:r>
      <w:r w:rsidRPr="00083C7D">
        <w:t xml:space="preserve"> be more predictive of </w:t>
      </w:r>
      <w:r>
        <w:t xml:space="preserve">outgroup </w:t>
      </w:r>
      <w:r w:rsidRPr="00083C7D">
        <w:t>prejudice</w:t>
      </w:r>
      <w:r>
        <w:t xml:space="preserve"> than official reports of</w:t>
      </w:r>
      <w:r w:rsidRPr="00083C7D">
        <w:t xml:space="preserve"> COVID-19 intensity. </w:t>
      </w:r>
    </w:p>
    <w:p w14:paraId="0E197D7B" w14:textId="77777777" w:rsidR="004532C6" w:rsidRDefault="004532C6" w:rsidP="004532C6">
      <w:pPr>
        <w:spacing w:line="480" w:lineRule="auto"/>
        <w:rPr>
          <w:iCs/>
        </w:rPr>
      </w:pPr>
      <w:r w:rsidRPr="009011CC">
        <w:rPr>
          <w:b/>
          <w:bCs/>
          <w:i/>
          <w:iCs/>
        </w:rPr>
        <w:t>Hypothesis 3:</w:t>
      </w:r>
      <w:r>
        <w:t xml:space="preserve"> </w:t>
      </w:r>
      <w:r>
        <w:rPr>
          <w:iCs/>
        </w:rPr>
        <w:t xml:space="preserve">COVID-19 intensity will be more strongly linked to prejudice against Asian people than to prejudice against Black people. </w:t>
      </w:r>
    </w:p>
    <w:p w14:paraId="02EF9B7F" w14:textId="77777777" w:rsidR="004532C6" w:rsidRDefault="004532C6" w:rsidP="004532C6">
      <w:pPr>
        <w:spacing w:line="480" w:lineRule="auto"/>
      </w:pPr>
      <w:r w:rsidRPr="009011CC">
        <w:rPr>
          <w:b/>
          <w:bCs/>
          <w:i/>
          <w:iCs/>
        </w:rPr>
        <w:t>Hypothesis 4:</w:t>
      </w:r>
      <w:r w:rsidRPr="009011CC">
        <w:rPr>
          <w:b/>
          <w:bCs/>
        </w:rPr>
        <w:t xml:space="preserve"> </w:t>
      </w:r>
      <w:r>
        <w:t xml:space="preserve">Greater contact with Asian people will correspond with less anti-Asian prejudice even in the context of disease outbreak. </w:t>
      </w:r>
    </w:p>
    <w:p w14:paraId="3D2D1960" w14:textId="77777777" w:rsidR="004532C6" w:rsidRDefault="004532C6" w:rsidP="004532C6">
      <w:pPr>
        <w:spacing w:line="480" w:lineRule="auto"/>
      </w:pPr>
      <w:r w:rsidRPr="009011CC">
        <w:rPr>
          <w:b/>
          <w:bCs/>
          <w:i/>
          <w:iCs/>
        </w:rPr>
        <w:t>Hypothesis 5:</w:t>
      </w:r>
      <w:r>
        <w:t xml:space="preserve"> Contact with Asian people will </w:t>
      </w:r>
      <w:r w:rsidRPr="0077034B">
        <w:rPr>
          <w:i/>
        </w:rPr>
        <w:t>moderate</w:t>
      </w:r>
      <w:r>
        <w:t xml:space="preserve"> relations between COVID-19 intensity and anti-Asian prejudice among White Americans, such that a positive relation between COVID-</w:t>
      </w:r>
      <w:r>
        <w:lastRenderedPageBreak/>
        <w:t>19 intensity and greater anti-Asian prejudice will be weaker among those who report higher—as compared to lower—levels of contact with Asian people.</w:t>
      </w:r>
    </w:p>
    <w:p w14:paraId="0633413C" w14:textId="77777777" w:rsidR="004532C6" w:rsidRDefault="004532C6" w:rsidP="004532C6">
      <w:pPr>
        <w:spacing w:line="480" w:lineRule="auto"/>
        <w:ind w:firstLine="720"/>
      </w:pPr>
      <w:r w:rsidRPr="00AB0515">
        <w:t xml:space="preserve">To </w:t>
      </w:r>
      <w:r>
        <w:t>test our research hypotheses</w:t>
      </w:r>
      <w:r w:rsidRPr="00AB0515">
        <w:t xml:space="preserve">, we conducted an online study of White Americans living across the </w:t>
      </w:r>
      <w:r>
        <w:t>U.S.</w:t>
      </w:r>
      <w:r w:rsidRPr="00AB0515">
        <w:t xml:space="preserve"> </w:t>
      </w:r>
      <w:r>
        <w:t>during</w:t>
      </w:r>
      <w:r w:rsidRPr="00AB0515">
        <w:t xml:space="preserve"> the very initial stages of the COVID-19 outbreak. The W</w:t>
      </w:r>
      <w:r>
        <w:t xml:space="preserve">orld </w:t>
      </w:r>
      <w:r w:rsidRPr="00AB0515">
        <w:t>H</w:t>
      </w:r>
      <w:r>
        <w:t xml:space="preserve">ealth </w:t>
      </w:r>
      <w:r w:rsidRPr="00AB0515">
        <w:t>O</w:t>
      </w:r>
      <w:r>
        <w:t>rganization</w:t>
      </w:r>
      <w:r w:rsidRPr="00AB0515">
        <w:t xml:space="preserve"> officially decreed the COVID-19 outbreak a pandemic on March </w:t>
      </w:r>
      <w:r w:rsidRPr="00F14B10">
        <w:t>11</w:t>
      </w:r>
      <w:r>
        <w:t xml:space="preserve">, </w:t>
      </w:r>
      <w:proofErr w:type="gramStart"/>
      <w:r>
        <w:t>2020</w:t>
      </w:r>
      <w:proofErr w:type="gramEnd"/>
      <w:r w:rsidRPr="00AB0515">
        <w:t xml:space="preserve"> and the </w:t>
      </w:r>
      <w:r>
        <w:t xml:space="preserve">former </w:t>
      </w:r>
      <w:r w:rsidRPr="00AB0515">
        <w:t>U.S. President declared a State of Emergency on March 13</w:t>
      </w:r>
      <w:r>
        <w:t>, 2020</w:t>
      </w:r>
      <w:r w:rsidRPr="00AB0515">
        <w:t xml:space="preserve">. In the </w:t>
      </w:r>
      <w:r>
        <w:t>U.S.</w:t>
      </w:r>
      <w:r w:rsidRPr="00AB0515">
        <w:t>, the number of confirmed COVID-19 cases and deaths rose substantially between the time we initiated data collection on March 20</w:t>
      </w:r>
      <w:r>
        <w:t>, 2020</w:t>
      </w:r>
      <w:r w:rsidRPr="00AB0515">
        <w:t xml:space="preserve"> (18,763 cases and 258 deaths) to when we ended data collection on April 13</w:t>
      </w:r>
      <w:r>
        <w:t>, 2020</w:t>
      </w:r>
      <w:r w:rsidRPr="00AB0515">
        <w:t xml:space="preserve"> (572,169 cases and 23,070 deaths</w:t>
      </w:r>
      <w:r>
        <w:t>: see New York Times, 2020b</w:t>
      </w:r>
      <w:r w:rsidRPr="00AB0515">
        <w:t xml:space="preserve">).  During this same </w:t>
      </w:r>
      <w:proofErr w:type="gramStart"/>
      <w:r w:rsidRPr="00AB0515">
        <w:t>time period</w:t>
      </w:r>
      <w:proofErr w:type="gramEnd"/>
      <w:r w:rsidRPr="00AB0515">
        <w:t>, 43 states issued stay-at-home orders</w:t>
      </w:r>
      <w:r>
        <w:t>,</w:t>
      </w:r>
      <w:r w:rsidRPr="00AB0515">
        <w:t xml:space="preserve"> and over </w:t>
      </w:r>
      <w:r>
        <w:t>23</w:t>
      </w:r>
      <w:r w:rsidRPr="00AB0515">
        <w:t xml:space="preserve"> million Americans became unemployed</w:t>
      </w:r>
      <w:r>
        <w:t xml:space="preserve"> in the month of April</w:t>
      </w:r>
      <w:r w:rsidRPr="00AB0515">
        <w:t xml:space="preserve"> (</w:t>
      </w:r>
      <w:r>
        <w:t>U.S. Bureau of Labor Statistics, 2020</w:t>
      </w:r>
      <w:r w:rsidRPr="00AB0515">
        <w:t>). Thus, this period of data collection represents a particularly vulnerable time for many Americans</w:t>
      </w:r>
      <w:r>
        <w:t>—when awareness and salience of the pandemic increased dramatically—</w:t>
      </w:r>
      <w:r w:rsidRPr="00AB0515">
        <w:t xml:space="preserve">and a critical period for examining how </w:t>
      </w:r>
      <w:r>
        <w:t xml:space="preserve">objective and </w:t>
      </w:r>
      <w:r w:rsidRPr="00AB0515">
        <w:t xml:space="preserve">perceived </w:t>
      </w:r>
      <w:r>
        <w:t>intensity of</w:t>
      </w:r>
      <w:r w:rsidRPr="00AB0515">
        <w:t xml:space="preserve"> the COVID-19 pandemic might correspond </w:t>
      </w:r>
      <w:r>
        <w:t xml:space="preserve">with anecdotal reports of </w:t>
      </w:r>
      <w:r w:rsidRPr="00AB0515">
        <w:t>growing anti-Asian sentiment</w:t>
      </w:r>
      <w:r>
        <w:t>.</w:t>
      </w:r>
    </w:p>
    <w:p w14:paraId="775A5E9B" w14:textId="77777777" w:rsidR="004532C6" w:rsidRPr="00E66610" w:rsidRDefault="004532C6" w:rsidP="004532C6">
      <w:pPr>
        <w:spacing w:line="480" w:lineRule="auto"/>
        <w:jc w:val="center"/>
      </w:pPr>
      <w:r w:rsidRPr="00AB0515">
        <w:rPr>
          <w:b/>
          <w:bCs/>
        </w:rPr>
        <w:t>Method</w:t>
      </w:r>
    </w:p>
    <w:p w14:paraId="60EC48E8" w14:textId="77777777" w:rsidR="004532C6" w:rsidRPr="00AB0515" w:rsidRDefault="004532C6" w:rsidP="004532C6">
      <w:pPr>
        <w:spacing w:line="480" w:lineRule="auto"/>
        <w:rPr>
          <w:b/>
          <w:bCs/>
        </w:rPr>
      </w:pPr>
      <w:r w:rsidRPr="00AB0515">
        <w:rPr>
          <w:b/>
          <w:bCs/>
        </w:rPr>
        <w:t>Participants and Procedures</w:t>
      </w:r>
    </w:p>
    <w:p w14:paraId="63B5DBFF" w14:textId="77777777" w:rsidR="004532C6" w:rsidRDefault="004532C6" w:rsidP="004532C6">
      <w:pPr>
        <w:spacing w:line="480" w:lineRule="auto"/>
        <w:ind w:firstLine="720"/>
      </w:pPr>
      <w:r w:rsidRPr="00C81362">
        <w:t>Data were collected on Amazon Mechanical Turk via Qualtrics between March 20 and April 13</w:t>
      </w:r>
      <w:r>
        <w:t>,</w:t>
      </w:r>
      <w:r w:rsidRPr="00C81362">
        <w:t xml:space="preserve"> 2020. </w:t>
      </w:r>
      <w:r>
        <w:t>To determine the necessary sample size, we used</w:t>
      </w:r>
      <w:r w:rsidRPr="00C81362">
        <w:t xml:space="preserve"> a conservative lower bound based on</w:t>
      </w:r>
      <w:r>
        <w:t xml:space="preserve"> effect sizes for the relations between disease threat and lack of willingness to interact with a foreign outgroup (</w:t>
      </w:r>
      <w:r w:rsidRPr="0013343F">
        <w:rPr>
          <w:i/>
          <w:iCs/>
        </w:rPr>
        <w:t>r</w:t>
      </w:r>
      <w:r>
        <w:t xml:space="preserve"> = .21: Faulkner et al., 2004),</w:t>
      </w:r>
      <w:r w:rsidRPr="00C81362">
        <w:t xml:space="preserve"> </w:t>
      </w:r>
      <w:r>
        <w:t xml:space="preserve">as well as </w:t>
      </w:r>
      <w:r w:rsidRPr="00C81362">
        <w:t xml:space="preserve">mean effect size estimates for research on </w:t>
      </w:r>
      <w:r>
        <w:t>the relations between intergroup contact and belief-based biases (</w:t>
      </w:r>
      <w:r w:rsidRPr="0013343F">
        <w:rPr>
          <w:i/>
          <w:iCs/>
        </w:rPr>
        <w:t>r</w:t>
      </w:r>
      <w:r>
        <w:t xml:space="preserve"> = .24: Tropp &amp; Pettigrew, 2005). Following recommendations in Perugini et al. (2018), </w:t>
      </w:r>
      <w:r w:rsidRPr="00C81362">
        <w:t xml:space="preserve">power analyses in </w:t>
      </w:r>
      <w:r w:rsidRPr="00C81362">
        <w:lastRenderedPageBreak/>
        <w:t xml:space="preserve">G*Power (Faul et al., 2007) indicated the need for at least </w:t>
      </w:r>
      <w:r>
        <w:t>606</w:t>
      </w:r>
      <w:r w:rsidRPr="00C81362">
        <w:t xml:space="preserve"> participants to be able to detect statistically significant effects (at </w:t>
      </w:r>
      <w:r w:rsidRPr="00C81362">
        <w:rPr>
          <w:i/>
        </w:rPr>
        <w:t>p</w:t>
      </w:r>
      <w:r w:rsidRPr="00C81362">
        <w:t xml:space="preserve"> &lt; .05) for </w:t>
      </w:r>
      <w:r>
        <w:t>two</w:t>
      </w:r>
      <w:r w:rsidRPr="00C81362">
        <w:t xml:space="preserve"> predictors</w:t>
      </w:r>
      <w:r>
        <w:t xml:space="preserve"> (including the main effect of COVID-19 intensity and potential moderation of contact) </w:t>
      </w:r>
      <w:r w:rsidRPr="00C81362">
        <w:t xml:space="preserve">with </w:t>
      </w:r>
      <w:r>
        <w:t>80</w:t>
      </w:r>
      <w:r w:rsidRPr="00C81362">
        <w:t>% power. To capture responses to the ever-evolving nature of the</w:t>
      </w:r>
      <w:r w:rsidRPr="00AB0515">
        <w:t xml:space="preserve"> COVID-19 pandemic, we staggered data collection so that a new group of approximately 100 participants was sampled every three days</w:t>
      </w:r>
      <w:r>
        <w:rPr>
          <w:rStyle w:val="FootnoteReference"/>
        </w:rPr>
        <w:footnoteReference w:id="2"/>
      </w:r>
      <w:r w:rsidRPr="00AB0515">
        <w:t>. Anyone living in the U.S. was eligible to participate, and data were collected from participants across 44 states. Only U.S. citizens (by birth or naturalized) who self-identified as White were included in analyses (</w:t>
      </w:r>
      <w:r w:rsidRPr="00AB0515">
        <w:rPr>
          <w:i/>
          <w:iCs/>
        </w:rPr>
        <w:t xml:space="preserve">N </w:t>
      </w:r>
      <w:r w:rsidRPr="00AB0515">
        <w:t>= 720); these restrictions were used because too few Black</w:t>
      </w:r>
      <w:r>
        <w:t xml:space="preserve"> American</w:t>
      </w:r>
      <w:r w:rsidRPr="00AB0515">
        <w:t xml:space="preserve"> (</w:t>
      </w:r>
      <w:r w:rsidRPr="00AB0515">
        <w:rPr>
          <w:i/>
          <w:iCs/>
        </w:rPr>
        <w:t>n</w:t>
      </w:r>
      <w:r w:rsidRPr="00AB0515">
        <w:t xml:space="preserve"> = 107) or Asian </w:t>
      </w:r>
      <w:r>
        <w:t xml:space="preserve">American </w:t>
      </w:r>
      <w:r w:rsidRPr="00AB0515">
        <w:t>(</w:t>
      </w:r>
      <w:r w:rsidRPr="00AB0515">
        <w:rPr>
          <w:i/>
          <w:iCs/>
        </w:rPr>
        <w:t>n</w:t>
      </w:r>
      <w:r w:rsidRPr="00AB0515">
        <w:t xml:space="preserve"> = 51) individuals participated</w:t>
      </w:r>
      <w:r>
        <w:t xml:space="preserve"> to be able to conduct meaningful statistical comparisons across groups of respondents. Moreover, for our analyses, we </w:t>
      </w:r>
      <w:r w:rsidRPr="00AB0515">
        <w:t xml:space="preserve">wished to maintain clear </w:t>
      </w:r>
      <w:r>
        <w:t>distinctions between the racial background of our participant sample (White people), and the racial backgrounds of outgroup targets explicitly linked to the COVID-19 outbreak (Asian people), and outgroup targets not explicitly linked to the COVID-19 outbreak (Black people</w:t>
      </w:r>
      <w:r w:rsidRPr="00AB0515">
        <w:t xml:space="preserve">). </w:t>
      </w:r>
    </w:p>
    <w:p w14:paraId="52C5BF2B" w14:textId="77777777" w:rsidR="004532C6" w:rsidRPr="00AB0515" w:rsidRDefault="004532C6" w:rsidP="004532C6">
      <w:pPr>
        <w:spacing w:line="480" w:lineRule="auto"/>
        <w:ind w:firstLine="720"/>
      </w:pPr>
      <w:r w:rsidRPr="00AB0515">
        <w:t xml:space="preserve">Within this subset of White American participants, we excluded any participants who did not successfully answer at least 4 of the 5 Winograd attention check questions (excluded </w:t>
      </w:r>
      <w:r w:rsidRPr="00AB0515">
        <w:rPr>
          <w:i/>
          <w:iCs/>
        </w:rPr>
        <w:t xml:space="preserve">n </w:t>
      </w:r>
      <w:r w:rsidRPr="00AB0515">
        <w:t xml:space="preserve">= 90) and those who did not wish to have their data included in our final dataset, if requested after debriefing, in line with guidelines of our institutional ethics board (excluded </w:t>
      </w:r>
      <w:r w:rsidRPr="00741178">
        <w:rPr>
          <w:i/>
          <w:iCs/>
        </w:rPr>
        <w:t xml:space="preserve">n </w:t>
      </w:r>
      <w:r w:rsidRPr="00AB0515">
        <w:t xml:space="preserve">= 21). </w:t>
      </w:r>
      <w:r>
        <w:t xml:space="preserve">We also excluded participants who provided estimates of COVID-19 cases or deaths that were more than 2 standard deviations above the mean (estimated case number cutoff &gt; 200,000; estimated death number cutoff &gt; 30,000; excluded </w:t>
      </w:r>
      <w:r w:rsidRPr="00387674">
        <w:rPr>
          <w:i/>
          <w:iCs/>
        </w:rPr>
        <w:t>n</w:t>
      </w:r>
      <w:r>
        <w:t xml:space="preserve"> = 20). Thus, o</w:t>
      </w:r>
      <w:r w:rsidRPr="00AB0515">
        <w:t xml:space="preserve">ur final sample included </w:t>
      </w:r>
      <w:r>
        <w:t>589</w:t>
      </w:r>
      <w:r w:rsidRPr="00AB0515">
        <w:t xml:space="preserve"> participants </w:t>
      </w:r>
      <w:r w:rsidRPr="00AB0515">
        <w:lastRenderedPageBreak/>
        <w:t xml:space="preserve">(42% female, 57% male, 1% </w:t>
      </w:r>
      <w:r>
        <w:t>provided another gender identity</w:t>
      </w:r>
      <w:r w:rsidRPr="00AB0515">
        <w:t xml:space="preserve">), ranging in age from 19 to 79 </w:t>
      </w:r>
      <w:r>
        <w:t xml:space="preserve">years </w:t>
      </w:r>
      <w:r w:rsidRPr="00AB0515">
        <w:t>(mean = 39.7 years).</w:t>
      </w:r>
      <w:r>
        <w:rPr>
          <w:rStyle w:val="FootnoteReference"/>
        </w:rPr>
        <w:footnoteReference w:id="3"/>
      </w:r>
      <w:r w:rsidRPr="00AB0515">
        <w:t xml:space="preserve">  </w:t>
      </w:r>
    </w:p>
    <w:p w14:paraId="0743C64B" w14:textId="77777777" w:rsidR="004532C6" w:rsidRDefault="004532C6" w:rsidP="004532C6">
      <w:pPr>
        <w:spacing w:line="480" w:lineRule="auto"/>
        <w:rPr>
          <w:b/>
          <w:bCs/>
          <w:i/>
          <w:iCs/>
        </w:rPr>
      </w:pPr>
      <w:r>
        <w:rPr>
          <w:b/>
          <w:bCs/>
          <w:i/>
          <w:iCs/>
        </w:rPr>
        <w:t xml:space="preserve">COVID-19 Intensity </w:t>
      </w:r>
    </w:p>
    <w:p w14:paraId="4E1ACD6A" w14:textId="77777777" w:rsidR="004532C6" w:rsidRPr="00AB0515" w:rsidRDefault="004532C6" w:rsidP="004532C6">
      <w:pPr>
        <w:spacing w:line="480" w:lineRule="auto"/>
        <w:ind w:firstLine="720"/>
      </w:pPr>
      <w:r w:rsidRPr="00AB0515">
        <w:rPr>
          <w:i/>
          <w:iCs/>
        </w:rPr>
        <w:t xml:space="preserve"> </w:t>
      </w:r>
      <w:r w:rsidRPr="00AB0515">
        <w:t xml:space="preserve">We </w:t>
      </w:r>
      <w:r>
        <w:t>assessed actual intensity of the</w:t>
      </w:r>
      <w:r w:rsidRPr="00AB0515">
        <w:t xml:space="preserve"> </w:t>
      </w:r>
      <w:r>
        <w:t>COVID-19 outbreak at the time of data collection by collecting data from public health sources</w:t>
      </w:r>
      <w:r w:rsidRPr="00AB0515">
        <w:t xml:space="preserve"> </w:t>
      </w:r>
      <w:r>
        <w:t xml:space="preserve">on the actual numbers of cases and deaths linked to COVID-19 at the state level on the date that a participant completed the study </w:t>
      </w:r>
      <w:r w:rsidRPr="00AB0515">
        <w:t xml:space="preserve">(as reported by </w:t>
      </w:r>
      <w:r>
        <w:t xml:space="preserve">The </w:t>
      </w:r>
      <w:r w:rsidRPr="00AB0515">
        <w:t>New York Times</w:t>
      </w:r>
      <w:r>
        <w:t>, 2020b</w:t>
      </w:r>
      <w:r w:rsidRPr="00AB0515">
        <w:t>: https://github.com/nytimes/covid-19-data)</w:t>
      </w:r>
      <w:r>
        <w:t xml:space="preserve">. </w:t>
      </w:r>
      <w:r w:rsidRPr="00AB0515">
        <w:t xml:space="preserve">We focused </w:t>
      </w:r>
      <w:r>
        <w:t>our analysis of official reports at</w:t>
      </w:r>
      <w:r w:rsidRPr="00AB0515">
        <w:t xml:space="preserve"> the state level</w:t>
      </w:r>
      <w:r>
        <w:t>,</w:t>
      </w:r>
      <w:r w:rsidRPr="00AB0515">
        <w:t xml:space="preserve"> because </w:t>
      </w:r>
      <w:r>
        <w:t xml:space="preserve">participants’ survey responses </w:t>
      </w:r>
      <w:r w:rsidRPr="00AB0515">
        <w:t xml:space="preserve">were collected very soon after the COVID-19 outbreak began in the </w:t>
      </w:r>
      <w:r>
        <w:t>U.S.</w:t>
      </w:r>
      <w:r w:rsidRPr="00AB0515">
        <w:t>, when many cities or counties had no</w:t>
      </w:r>
      <w:r>
        <w:t xml:space="preserve"> officially</w:t>
      </w:r>
      <w:r w:rsidRPr="00AB0515">
        <w:t xml:space="preserve"> reported cases or deaths (whether due to a lack of actual cases or a lack of testing); thus, the most comprehensive local </w:t>
      </w:r>
      <w:r>
        <w:t xml:space="preserve">contextual </w:t>
      </w:r>
      <w:r w:rsidRPr="00AB0515">
        <w:t xml:space="preserve">data available for the largest number of participants was at the state level. </w:t>
      </w:r>
      <w:r>
        <w:t>Correspondingly, w</w:t>
      </w:r>
      <w:r w:rsidRPr="00202D21">
        <w:t xml:space="preserve">e assessed </w:t>
      </w:r>
      <w:r>
        <w:t xml:space="preserve">participants’ </w:t>
      </w:r>
      <w:r w:rsidRPr="00202D21">
        <w:t xml:space="preserve">subjective perceptions of the intensity of the COVID-19 outbreak by asking </w:t>
      </w:r>
      <w:r>
        <w:t xml:space="preserve">them </w:t>
      </w:r>
      <w:r w:rsidRPr="00202D21">
        <w:t>to estimate the number of cases and deaths linked to COVID-19 in their state.</w:t>
      </w:r>
      <w:r>
        <w:t xml:space="preserve"> We asked about cases and deaths separately given substantial variation in beliefs about the potential danger of COVID-19 infection—ranging from the belief that COVID-19 was no worse than the flu to the belief that COVID-19 is deadly (see Ni</w:t>
      </w:r>
      <w:r w:rsidRPr="004C2763">
        <w:t>ñ</w:t>
      </w:r>
      <w:r>
        <w:t xml:space="preserve">o et al., 2021 for discussion of factors that account for variation in COVID-19 risk assessment). Thus, participants’ estimates of COVID-19 cases might not indicate the same level of perceived threat as their estimates of COVID-19 deaths (but see Table 1 for evidence of moderate correlation, </w:t>
      </w:r>
      <w:r w:rsidRPr="009011CC">
        <w:rPr>
          <w:i/>
          <w:iCs/>
        </w:rPr>
        <w:t>r</w:t>
      </w:r>
      <w:r>
        <w:t xml:space="preserve"> = .41, between estimated cases and deaths). </w:t>
      </w:r>
    </w:p>
    <w:p w14:paraId="75472EC0" w14:textId="77777777" w:rsidR="004532C6" w:rsidRPr="00623743" w:rsidRDefault="004532C6" w:rsidP="004532C6">
      <w:pPr>
        <w:spacing w:line="480" w:lineRule="auto"/>
        <w:rPr>
          <w:b/>
          <w:bCs/>
        </w:rPr>
      </w:pPr>
      <w:r w:rsidRPr="00623743">
        <w:rPr>
          <w:b/>
          <w:bCs/>
          <w:i/>
          <w:iCs/>
        </w:rPr>
        <w:t>Prejudice toward Asia</w:t>
      </w:r>
      <w:r>
        <w:rPr>
          <w:b/>
          <w:bCs/>
          <w:i/>
          <w:iCs/>
        </w:rPr>
        <w:t xml:space="preserve">n and </w:t>
      </w:r>
      <w:r w:rsidRPr="00623743">
        <w:rPr>
          <w:b/>
          <w:bCs/>
          <w:i/>
          <w:iCs/>
        </w:rPr>
        <w:t>Black</w:t>
      </w:r>
      <w:r>
        <w:rPr>
          <w:b/>
          <w:bCs/>
          <w:i/>
          <w:iCs/>
        </w:rPr>
        <w:t xml:space="preserve"> </w:t>
      </w:r>
      <w:r w:rsidRPr="00623743">
        <w:rPr>
          <w:b/>
          <w:bCs/>
          <w:i/>
          <w:iCs/>
        </w:rPr>
        <w:t>people</w:t>
      </w:r>
    </w:p>
    <w:p w14:paraId="46D97462" w14:textId="77777777" w:rsidR="004532C6" w:rsidRDefault="004532C6" w:rsidP="004532C6">
      <w:pPr>
        <w:spacing w:line="480" w:lineRule="auto"/>
        <w:ind w:firstLine="720"/>
      </w:pPr>
      <w:r>
        <w:lastRenderedPageBreak/>
        <w:t>Distinct indicators of prejudice toward Asian people were used to assess desire for social distance from outgroup members, support for exclusionary travel policies, and negative affect toward outgroup members. Where possible, parallel measures were also used to assess prejudice toward Black people, to provide estimates of prejudice toward outgroup targets not explicitly linked to COVID-19; this procedure allowed us to examine whether COVID-19 intensity is uniquely related to anti-Asian prejudice, or whether it might be related to anti-Black prejudice as well.</w:t>
      </w:r>
      <w:r>
        <w:rPr>
          <w:rStyle w:val="FootnoteReference"/>
        </w:rPr>
        <w:footnoteReference w:id="4"/>
      </w:r>
    </w:p>
    <w:p w14:paraId="1F52BE87" w14:textId="77777777" w:rsidR="004532C6" w:rsidRDefault="004532C6" w:rsidP="004532C6">
      <w:pPr>
        <w:spacing w:line="480" w:lineRule="auto"/>
        <w:ind w:firstLine="720"/>
      </w:pPr>
      <w:r>
        <w:rPr>
          <w:i/>
        </w:rPr>
        <w:t>Desire for social distance</w:t>
      </w:r>
      <w:r>
        <w:t>. To assess how much participants wanted to avoid interaction with members of each target outgroup, participants completed two parallel versions of a 7-item social distance scale (Bogardus, 1933), one asking about Asian people and one about Black people. Sample items asked participants how willing they were “</w:t>
      </w:r>
      <w:r w:rsidRPr="00AB0515">
        <w:t>to accept an [Asian/</w:t>
      </w:r>
      <w:r>
        <w:t>Black</w:t>
      </w:r>
      <w:r w:rsidRPr="00AB0515">
        <w:t>] person as a coworker</w:t>
      </w:r>
      <w:r>
        <w:t>,</w:t>
      </w:r>
      <w:r w:rsidRPr="00AB0515">
        <w:t>” or “to live next door to an [Asian/</w:t>
      </w:r>
      <w:r>
        <w:t>Black</w:t>
      </w:r>
      <w:r w:rsidRPr="00AB0515">
        <w:t>] person”</w:t>
      </w:r>
      <w:r>
        <w:t xml:space="preserve">, with item responses ranging from “strongly agree” (1) to “strongly disagree” (7), such that a higher value indicated a greater desire for social distance from the target group (Asian people: </w:t>
      </w:r>
      <w:r w:rsidRPr="00340CC1">
        <w:rPr>
          <w:rFonts w:ascii="Symbol" w:hAnsi="Symbol"/>
        </w:rPr>
        <w:t></w:t>
      </w:r>
      <w:r>
        <w:t xml:space="preserve"> = .95; Black people: </w:t>
      </w:r>
      <w:r w:rsidRPr="00340CC1">
        <w:rPr>
          <w:rFonts w:ascii="Symbol" w:hAnsi="Symbol"/>
        </w:rPr>
        <w:t></w:t>
      </w:r>
      <w:r>
        <w:t xml:space="preserve"> = .95).</w:t>
      </w:r>
    </w:p>
    <w:p w14:paraId="4463FC3D" w14:textId="77777777" w:rsidR="004532C6" w:rsidRDefault="004532C6" w:rsidP="004532C6">
      <w:pPr>
        <w:spacing w:line="480" w:lineRule="auto"/>
        <w:ind w:firstLine="720"/>
        <w:rPr>
          <w:i/>
        </w:rPr>
      </w:pPr>
      <w:r w:rsidRPr="00C627ED">
        <w:rPr>
          <w:i/>
        </w:rPr>
        <w:t>Support for exclusionary polic</w:t>
      </w:r>
      <w:r w:rsidRPr="002D5EE2">
        <w:rPr>
          <w:i/>
        </w:rPr>
        <w:t>ies</w:t>
      </w:r>
      <w:r>
        <w:t>. To assess support for exclusionary policies, we first informed participants about an actual U.S. travel policy (i.e., “</w:t>
      </w:r>
      <w:r w:rsidRPr="00773030">
        <w:t>On February 2, 2020, in response to the spread of COVID-19, the United States government instituted travel restrictions for individuals traveling to and from China.</w:t>
      </w:r>
      <w:r>
        <w:t xml:space="preserve">”); participants were then asked how much they did or </w:t>
      </w:r>
      <w:r>
        <w:lastRenderedPageBreak/>
        <w:t xml:space="preserve">did not support this travel restriction on a 7-point scale, with item responses ranging from “do not support at all” (1) to “support completely” (7). </w:t>
      </w:r>
      <w:r w:rsidRPr="004C13C4">
        <w:t>Because official travel policies at the time were only issued for China and Europe</w:t>
      </w:r>
      <w:r>
        <w:t xml:space="preserve"> (see Supplemental Online Materials: SOM)</w:t>
      </w:r>
      <w:r w:rsidRPr="004C13C4">
        <w:t xml:space="preserve">, we did not include a parallel question about a </w:t>
      </w:r>
      <w:r w:rsidRPr="004C13C4">
        <w:rPr>
          <w:i/>
          <w:iCs/>
        </w:rPr>
        <w:t>hypothetical</w:t>
      </w:r>
      <w:r w:rsidRPr="004C13C4">
        <w:t xml:space="preserve"> travel policy from a predominantly Black country or continent.</w:t>
      </w:r>
      <w:r w:rsidRPr="004C13C4">
        <w:rPr>
          <w:vertAlign w:val="superscript"/>
        </w:rPr>
        <w:footnoteReference w:id="5"/>
      </w:r>
    </w:p>
    <w:p w14:paraId="4AD076AB" w14:textId="77777777" w:rsidR="004532C6" w:rsidRPr="00AB0515" w:rsidRDefault="004532C6" w:rsidP="004532C6">
      <w:pPr>
        <w:spacing w:line="480" w:lineRule="auto"/>
        <w:ind w:firstLine="720"/>
      </w:pPr>
      <w:r>
        <w:rPr>
          <w:i/>
        </w:rPr>
        <w:t>Negative a</w:t>
      </w:r>
      <w:r w:rsidRPr="00C627ED">
        <w:rPr>
          <w:i/>
        </w:rPr>
        <w:t>ffect</w:t>
      </w:r>
      <w:r>
        <w:t>. Participants were asked to respond to f</w:t>
      </w:r>
      <w:r w:rsidRPr="00AB0515">
        <w:t>eeling thermometers</w:t>
      </w:r>
      <w:r>
        <w:t xml:space="preserve"> in which they </w:t>
      </w:r>
      <w:r w:rsidRPr="00AB0515">
        <w:t>indicate</w:t>
      </w:r>
      <w:r>
        <w:t>d</w:t>
      </w:r>
      <w:r w:rsidRPr="00AB0515">
        <w:t xml:space="preserve"> “how warm or cold they felt toward [Asian/</w:t>
      </w:r>
      <w:r>
        <w:t>Black</w:t>
      </w:r>
      <w:r w:rsidRPr="00AB0515">
        <w:t>] people”; possible scores ranged from 0 (very cold) to 100 (very warm).</w:t>
      </w:r>
      <w:r>
        <w:t xml:space="preserve"> Participants’ feelings thermometer score in relation to each target group was </w:t>
      </w:r>
      <w:proofErr w:type="gramStart"/>
      <w:r>
        <w:t>reverse-scored</w:t>
      </w:r>
      <w:proofErr w:type="gramEnd"/>
      <w:r>
        <w:t xml:space="preserve"> by subtracting it from 100, so that a higher value would indicate feeling more cold (and thus less warm) toward the target group in question. This procedure allowed us to conduct more straightforward comparisons across prejudice measures, so that higher scores on all three prejudice measures would indicate greater prejudice.</w:t>
      </w:r>
      <w:r w:rsidRPr="00AB0515">
        <w:t xml:space="preserve"> </w:t>
      </w:r>
    </w:p>
    <w:p w14:paraId="3A65550A" w14:textId="77777777" w:rsidR="004532C6" w:rsidRPr="00623743" w:rsidRDefault="004532C6" w:rsidP="004532C6">
      <w:pPr>
        <w:spacing w:line="480" w:lineRule="auto"/>
        <w:rPr>
          <w:b/>
          <w:bCs/>
        </w:rPr>
      </w:pPr>
      <w:r>
        <w:rPr>
          <w:b/>
          <w:bCs/>
          <w:i/>
          <w:iCs/>
        </w:rPr>
        <w:t>C</w:t>
      </w:r>
      <w:r w:rsidRPr="00623743">
        <w:rPr>
          <w:b/>
          <w:bCs/>
          <w:i/>
          <w:iCs/>
        </w:rPr>
        <w:t>ontact with Asian</w:t>
      </w:r>
      <w:r>
        <w:rPr>
          <w:b/>
          <w:bCs/>
          <w:i/>
          <w:iCs/>
        </w:rPr>
        <w:t xml:space="preserve"> or Black</w:t>
      </w:r>
      <w:r w:rsidRPr="00623743">
        <w:rPr>
          <w:b/>
          <w:bCs/>
          <w:i/>
          <w:iCs/>
        </w:rPr>
        <w:t xml:space="preserve"> </w:t>
      </w:r>
      <w:r>
        <w:rPr>
          <w:b/>
          <w:bCs/>
          <w:i/>
          <w:iCs/>
        </w:rPr>
        <w:t>P</w:t>
      </w:r>
      <w:r w:rsidRPr="00623743">
        <w:rPr>
          <w:b/>
          <w:bCs/>
          <w:i/>
          <w:iCs/>
        </w:rPr>
        <w:t>eople</w:t>
      </w:r>
    </w:p>
    <w:p w14:paraId="5C7C2F15" w14:textId="77777777" w:rsidR="004532C6" w:rsidRPr="00AB0515" w:rsidRDefault="004532C6" w:rsidP="004532C6">
      <w:pPr>
        <w:spacing w:line="480" w:lineRule="auto"/>
        <w:ind w:firstLine="720"/>
      </w:pPr>
      <w:r w:rsidRPr="00C81362">
        <w:t>In two</w:t>
      </w:r>
      <w:r>
        <w:t xml:space="preserve"> sets of two</w:t>
      </w:r>
      <w:r w:rsidRPr="00C81362">
        <w:t xml:space="preserve"> separate questions, participants were asked </w:t>
      </w:r>
      <w:r>
        <w:t xml:space="preserve">to report the </w:t>
      </w:r>
      <w:r w:rsidRPr="00C81362">
        <w:t>number of Asian</w:t>
      </w:r>
      <w:r>
        <w:t xml:space="preserve"> </w:t>
      </w:r>
      <w:r w:rsidRPr="00C81362">
        <w:t>friends and acquaintances they have</w:t>
      </w:r>
      <w:r>
        <w:t xml:space="preserve">, as well as the number of Black friends </w:t>
      </w:r>
      <w:r w:rsidRPr="00C81362">
        <w:t>and acquaintances they have</w:t>
      </w:r>
      <w:r>
        <w:t>, on a scale from “0” to “10 or more”. W</w:t>
      </w:r>
      <w:r w:rsidRPr="00C81362">
        <w:t>e summed participants’ responses across the “friend” and “acquaintance</w:t>
      </w:r>
      <w:r w:rsidRPr="00AB0515">
        <w:t>” questions</w:t>
      </w:r>
      <w:r>
        <w:t xml:space="preserve"> for each racial outgroup separately to create an overall contact score for each racial outgroup that ranged from 0 to 20. </w:t>
      </w:r>
    </w:p>
    <w:p w14:paraId="2327194A" w14:textId="77777777" w:rsidR="004532C6" w:rsidRPr="000B1D90" w:rsidRDefault="004532C6" w:rsidP="004532C6">
      <w:pPr>
        <w:spacing w:line="480" w:lineRule="auto"/>
        <w:ind w:firstLine="720"/>
      </w:pPr>
      <w:r>
        <w:lastRenderedPageBreak/>
        <w:t xml:space="preserve">In addition, given that greater levels of intergroup contact are likely to occur in contexts with greater proportions of outgroup members (Pettigrew et al., 2010; Schlueter &amp; Scheepers, 2010), and greater proportions of outgroup members may in and of itself serve as a form of intergroup threat (e.g., Quillian, 1995), we gathered estimates of group proportions using the 2018 Community Survey (from Rizzo et al., 2020), </w:t>
      </w:r>
      <w:r w:rsidRPr="00AB0515">
        <w:t xml:space="preserve">corresponding with participants’ residential ZIP code. </w:t>
      </w:r>
      <w:r>
        <w:t>For example, the p</w:t>
      </w:r>
      <w:r w:rsidRPr="00AB0515">
        <w:t xml:space="preserve">roportion </w:t>
      </w:r>
      <w:r>
        <w:t xml:space="preserve">of </w:t>
      </w:r>
      <w:r w:rsidRPr="00AB0515">
        <w:t xml:space="preserve">Asian </w:t>
      </w:r>
      <w:r>
        <w:t xml:space="preserve">residents in each participant’s neighborhood </w:t>
      </w:r>
      <w:r w:rsidRPr="00AB0515">
        <w:t xml:space="preserve">was calculated by taking the total number of residents in each participant’s ZIP code who self-identified as </w:t>
      </w:r>
      <w:proofErr w:type="gramStart"/>
      <w:r w:rsidRPr="00AB0515">
        <w:t>Asian, and</w:t>
      </w:r>
      <w:proofErr w:type="gramEnd"/>
      <w:r w:rsidRPr="00AB0515">
        <w:t xml:space="preserve"> dividing this number by the total number of residents in that ZIP code. </w:t>
      </w:r>
      <w:r>
        <w:t xml:space="preserve">This measure of Asian neighborhood proportion was created for use as a control variable, </w:t>
      </w:r>
      <w:proofErr w:type="gramStart"/>
      <w:r>
        <w:t>in order to</w:t>
      </w:r>
      <w:proofErr w:type="gramEnd"/>
      <w:r>
        <w:t xml:space="preserve"> isolate the role of contact with Asian people in data analysis. We created a comparable variable to capture neighborhood proportion of Black people as well.</w:t>
      </w:r>
    </w:p>
    <w:p w14:paraId="2E01EB80" w14:textId="77777777" w:rsidR="004532C6" w:rsidRPr="00AB0515" w:rsidRDefault="004532C6" w:rsidP="004532C6">
      <w:pPr>
        <w:spacing w:line="480" w:lineRule="auto"/>
        <w:jc w:val="center"/>
        <w:rPr>
          <w:i/>
          <w:iCs/>
        </w:rPr>
      </w:pPr>
      <w:r w:rsidRPr="00AB0515">
        <w:rPr>
          <w:b/>
          <w:bCs/>
        </w:rPr>
        <w:t>Data Analysis Plan</w:t>
      </w:r>
    </w:p>
    <w:p w14:paraId="1AB44925" w14:textId="77777777" w:rsidR="004532C6" w:rsidRDefault="004532C6" w:rsidP="004532C6">
      <w:pPr>
        <w:spacing w:line="480" w:lineRule="auto"/>
        <w:ind w:firstLine="720"/>
      </w:pPr>
      <w:r>
        <w:t>To examine whether COVID-19 intensity was associated with specific indicators of prejudice, and whether any relations among these variables were moderated by contact with the relevant racial outgroup, w</w:t>
      </w:r>
      <w:r w:rsidRPr="00AB0515">
        <w:t xml:space="preserve">e analyzed our data </w:t>
      </w:r>
      <w:r>
        <w:t xml:space="preserve">using linear regression </w:t>
      </w:r>
      <w:r w:rsidRPr="00AB0515">
        <w:t>in R</w:t>
      </w:r>
      <w:r>
        <w:t xml:space="preserve"> </w:t>
      </w:r>
      <w:r w:rsidRPr="00F5417F">
        <w:rPr>
          <w:color w:val="000000"/>
        </w:rPr>
        <w:t>(version 3.6.3, R Core Team, 2020)</w:t>
      </w:r>
      <w:r w:rsidRPr="00AB0515">
        <w:t xml:space="preserve"> specifying a </w:t>
      </w:r>
      <w:r>
        <w:t>G</w:t>
      </w:r>
      <w:r w:rsidRPr="00AB0515">
        <w:t xml:space="preserve">aussian distribution </w:t>
      </w:r>
      <w:r>
        <w:t xml:space="preserve">in </w:t>
      </w:r>
      <w:r w:rsidRPr="00AB0515">
        <w:t>the lme4 package (</w:t>
      </w:r>
      <w:r w:rsidRPr="00AB0515">
        <w:rPr>
          <w:color w:val="222222"/>
          <w:highlight w:val="white"/>
        </w:rPr>
        <w:t>Bates et al., 2015</w:t>
      </w:r>
      <w:r w:rsidRPr="00AB0515">
        <w:t xml:space="preserve">). </w:t>
      </w:r>
      <w:r>
        <w:t>All</w:t>
      </w:r>
      <w:r w:rsidRPr="00AB0515">
        <w:t xml:space="preserve"> predictor variables were standardized prior to analyses.</w:t>
      </w:r>
      <w:r>
        <w:t xml:space="preserve"> We report all parameter estimates and </w:t>
      </w:r>
      <w:r w:rsidRPr="00551E9C">
        <w:rPr>
          <w:i/>
        </w:rPr>
        <w:t>p</w:t>
      </w:r>
      <w:r>
        <w:t xml:space="preserve">-values in Table 2 (anti-Asian prejudice) and Table 3 (anti-Black prejudice), and we interpret and discuss any </w:t>
      </w:r>
      <w:r w:rsidRPr="00551E9C">
        <w:rPr>
          <w:i/>
        </w:rPr>
        <w:t>p</w:t>
      </w:r>
      <w:r>
        <w:t xml:space="preserve">-value less than .05, which we consider to be a statistically significant result. Table 1 provides descriptive statistics and correlations between key variables. </w:t>
      </w:r>
      <w:r w:rsidRPr="00E64A68">
        <w:t>This study design</w:t>
      </w:r>
      <w:r>
        <w:t>, hypotheses,</w:t>
      </w:r>
      <w:r w:rsidRPr="00E64A68">
        <w:t xml:space="preserve"> and analytic plan were pre-registered on Open Science Framework (OSF: </w:t>
      </w:r>
      <w:hyperlink r:id="rId9" w:history="1">
        <w:r w:rsidRPr="00DE404D">
          <w:rPr>
            <w:rStyle w:val="Hyperlink"/>
          </w:rPr>
          <w:t>https://osf.io/d27kc/?view_only=697abf528b274384bed9fd1213c40eac</w:t>
        </w:r>
      </w:hyperlink>
      <w:r w:rsidRPr="00E64A68">
        <w:t>)</w:t>
      </w:r>
      <w:r w:rsidRPr="00DE404D">
        <w:t>.</w:t>
      </w:r>
      <w:r>
        <w:rPr>
          <w:rStyle w:val="FootnoteReference"/>
        </w:rPr>
        <w:footnoteReference w:id="6"/>
      </w:r>
    </w:p>
    <w:p w14:paraId="02BF39C8" w14:textId="2BDD82E6" w:rsidR="00A570B0" w:rsidRDefault="000D0C3A" w:rsidP="00A570B0">
      <w:pPr>
        <w:spacing w:line="480" w:lineRule="auto"/>
        <w:ind w:firstLine="720"/>
        <w:sectPr w:rsidR="00A570B0" w:rsidSect="000D0C3A">
          <w:type w:val="continuous"/>
          <w:pgSz w:w="12240" w:h="15840"/>
          <w:pgMar w:top="1440" w:right="1440" w:bottom="1440" w:left="1440" w:header="720" w:footer="720" w:gutter="0"/>
          <w:cols w:space="720"/>
          <w:docGrid w:linePitch="360"/>
        </w:sectPr>
      </w:pPr>
      <w:r>
        <w:lastRenderedPageBreak/>
        <w:t xml:space="preserve"> </w:t>
      </w:r>
      <w:r w:rsidR="00A570B0">
        <w:br w:type="page"/>
      </w:r>
    </w:p>
    <w:p w14:paraId="790325D1" w14:textId="1BD62E69" w:rsidR="00A570B0" w:rsidRPr="0016151D" w:rsidRDefault="00A570B0" w:rsidP="00A570B0">
      <w:pPr>
        <w:widowControl w:val="0"/>
        <w:autoSpaceDE w:val="0"/>
        <w:autoSpaceDN w:val="0"/>
        <w:adjustRightInd w:val="0"/>
        <w:rPr>
          <w:b/>
          <w:bCs/>
        </w:rPr>
      </w:pPr>
      <w:r w:rsidRPr="0016151D">
        <w:rPr>
          <w:b/>
          <w:bCs/>
        </w:rPr>
        <w:lastRenderedPageBreak/>
        <w:t xml:space="preserve">Table 1 </w:t>
      </w:r>
    </w:p>
    <w:p w14:paraId="08CEC0E2" w14:textId="77777777" w:rsidR="00A570B0" w:rsidRPr="0016151D" w:rsidRDefault="00A570B0" w:rsidP="00A570B0">
      <w:pPr>
        <w:widowControl w:val="0"/>
        <w:autoSpaceDE w:val="0"/>
        <w:autoSpaceDN w:val="0"/>
        <w:adjustRightInd w:val="0"/>
      </w:pPr>
      <w:r w:rsidRPr="0016151D">
        <w:rPr>
          <w:i/>
          <w:iCs/>
        </w:rPr>
        <w:t>Means, standard deviations, and correlations with confidence intervals</w:t>
      </w:r>
      <w:r>
        <w:rPr>
          <w:i/>
          <w:iCs/>
        </w:rPr>
        <w:t>.</w:t>
      </w:r>
    </w:p>
    <w:tbl>
      <w:tblPr>
        <w:tblW w:w="14200" w:type="dxa"/>
        <w:tblInd w:w="-630" w:type="dxa"/>
        <w:tblLayout w:type="fixed"/>
        <w:tblCellMar>
          <w:left w:w="100" w:type="dxa"/>
          <w:right w:w="100" w:type="dxa"/>
        </w:tblCellMar>
        <w:tblLook w:val="0000" w:firstRow="0" w:lastRow="0" w:firstColumn="0" w:lastColumn="0" w:noHBand="0" w:noVBand="0"/>
      </w:tblPr>
      <w:tblGrid>
        <w:gridCol w:w="2610"/>
        <w:gridCol w:w="900"/>
        <w:gridCol w:w="630"/>
        <w:gridCol w:w="630"/>
        <w:gridCol w:w="778"/>
        <w:gridCol w:w="821"/>
        <w:gridCol w:w="810"/>
        <w:gridCol w:w="810"/>
        <w:gridCol w:w="810"/>
        <w:gridCol w:w="763"/>
        <w:gridCol w:w="778"/>
        <w:gridCol w:w="778"/>
        <w:gridCol w:w="778"/>
        <w:gridCol w:w="778"/>
        <w:gridCol w:w="763"/>
        <w:gridCol w:w="763"/>
      </w:tblGrid>
      <w:tr w:rsidR="00723107" w:rsidRPr="00DF32B6" w14:paraId="61DC7CC4" w14:textId="77777777" w:rsidTr="001B28D1">
        <w:tc>
          <w:tcPr>
            <w:tcW w:w="2610" w:type="dxa"/>
            <w:tcBorders>
              <w:top w:val="single" w:sz="6" w:space="0" w:color="auto"/>
              <w:left w:val="nil"/>
              <w:bottom w:val="nil"/>
              <w:right w:val="nil"/>
            </w:tcBorders>
            <w:vAlign w:val="center"/>
          </w:tcPr>
          <w:p w14:paraId="1A272498" w14:textId="77777777" w:rsidR="00723107" w:rsidRPr="00DF32B6" w:rsidRDefault="00723107" w:rsidP="001B28D1">
            <w:pPr>
              <w:widowControl w:val="0"/>
              <w:autoSpaceDE w:val="0"/>
              <w:autoSpaceDN w:val="0"/>
              <w:adjustRightInd w:val="0"/>
              <w:rPr>
                <w:sz w:val="16"/>
                <w:szCs w:val="16"/>
              </w:rPr>
            </w:pPr>
            <w:r w:rsidRPr="00DF32B6">
              <w:rPr>
                <w:sz w:val="16"/>
                <w:szCs w:val="16"/>
              </w:rPr>
              <w:t>Variable</w:t>
            </w:r>
          </w:p>
        </w:tc>
        <w:tc>
          <w:tcPr>
            <w:tcW w:w="900" w:type="dxa"/>
            <w:tcBorders>
              <w:top w:val="single" w:sz="6" w:space="0" w:color="auto"/>
              <w:left w:val="nil"/>
              <w:bottom w:val="nil"/>
              <w:right w:val="nil"/>
            </w:tcBorders>
            <w:vAlign w:val="center"/>
          </w:tcPr>
          <w:p w14:paraId="6AB3A672" w14:textId="77777777" w:rsidR="00723107" w:rsidRPr="00DF32B6" w:rsidRDefault="00723107" w:rsidP="001B28D1">
            <w:pPr>
              <w:widowControl w:val="0"/>
              <w:autoSpaceDE w:val="0"/>
              <w:autoSpaceDN w:val="0"/>
              <w:adjustRightInd w:val="0"/>
              <w:jc w:val="center"/>
              <w:rPr>
                <w:i/>
                <w:iCs/>
                <w:sz w:val="16"/>
                <w:szCs w:val="16"/>
              </w:rPr>
            </w:pPr>
            <w:r>
              <w:rPr>
                <w:i/>
                <w:iCs/>
                <w:sz w:val="16"/>
                <w:szCs w:val="16"/>
              </w:rPr>
              <w:t>Range</w:t>
            </w:r>
          </w:p>
        </w:tc>
        <w:tc>
          <w:tcPr>
            <w:tcW w:w="630" w:type="dxa"/>
            <w:tcBorders>
              <w:top w:val="single" w:sz="6" w:space="0" w:color="auto"/>
              <w:left w:val="nil"/>
              <w:bottom w:val="nil"/>
              <w:right w:val="nil"/>
            </w:tcBorders>
            <w:vAlign w:val="center"/>
          </w:tcPr>
          <w:p w14:paraId="09054B58" w14:textId="77777777" w:rsidR="00723107" w:rsidRPr="00DF32B6" w:rsidRDefault="00723107" w:rsidP="001B28D1">
            <w:pPr>
              <w:widowControl w:val="0"/>
              <w:autoSpaceDE w:val="0"/>
              <w:autoSpaceDN w:val="0"/>
              <w:adjustRightInd w:val="0"/>
              <w:jc w:val="center"/>
              <w:rPr>
                <w:sz w:val="16"/>
                <w:szCs w:val="16"/>
              </w:rPr>
            </w:pPr>
            <w:r w:rsidRPr="00DF32B6">
              <w:rPr>
                <w:i/>
                <w:iCs/>
                <w:sz w:val="16"/>
                <w:szCs w:val="16"/>
              </w:rPr>
              <w:t>M</w:t>
            </w:r>
          </w:p>
        </w:tc>
        <w:tc>
          <w:tcPr>
            <w:tcW w:w="630" w:type="dxa"/>
            <w:tcBorders>
              <w:top w:val="single" w:sz="6" w:space="0" w:color="auto"/>
              <w:left w:val="nil"/>
              <w:bottom w:val="nil"/>
              <w:right w:val="nil"/>
            </w:tcBorders>
            <w:vAlign w:val="center"/>
          </w:tcPr>
          <w:p w14:paraId="2B281FF9" w14:textId="77777777" w:rsidR="00723107" w:rsidRPr="00DF32B6" w:rsidRDefault="00723107" w:rsidP="001B28D1">
            <w:pPr>
              <w:widowControl w:val="0"/>
              <w:autoSpaceDE w:val="0"/>
              <w:autoSpaceDN w:val="0"/>
              <w:adjustRightInd w:val="0"/>
              <w:jc w:val="center"/>
              <w:rPr>
                <w:sz w:val="16"/>
                <w:szCs w:val="16"/>
              </w:rPr>
            </w:pPr>
            <w:r w:rsidRPr="00DF32B6">
              <w:rPr>
                <w:i/>
                <w:iCs/>
                <w:sz w:val="16"/>
                <w:szCs w:val="16"/>
              </w:rPr>
              <w:t>SD</w:t>
            </w:r>
          </w:p>
        </w:tc>
        <w:tc>
          <w:tcPr>
            <w:tcW w:w="778" w:type="dxa"/>
            <w:tcBorders>
              <w:top w:val="single" w:sz="6" w:space="0" w:color="auto"/>
              <w:left w:val="nil"/>
              <w:bottom w:val="nil"/>
              <w:right w:val="nil"/>
            </w:tcBorders>
            <w:vAlign w:val="center"/>
          </w:tcPr>
          <w:p w14:paraId="3D5F655B" w14:textId="77777777" w:rsidR="00723107" w:rsidRPr="00DF32B6" w:rsidRDefault="00723107" w:rsidP="001B28D1">
            <w:pPr>
              <w:widowControl w:val="0"/>
              <w:autoSpaceDE w:val="0"/>
              <w:autoSpaceDN w:val="0"/>
              <w:adjustRightInd w:val="0"/>
              <w:jc w:val="center"/>
              <w:rPr>
                <w:sz w:val="16"/>
                <w:szCs w:val="16"/>
              </w:rPr>
            </w:pPr>
            <w:r w:rsidRPr="00DF32B6">
              <w:rPr>
                <w:sz w:val="16"/>
                <w:szCs w:val="16"/>
              </w:rPr>
              <w:t>1</w:t>
            </w:r>
          </w:p>
        </w:tc>
        <w:tc>
          <w:tcPr>
            <w:tcW w:w="821" w:type="dxa"/>
            <w:tcBorders>
              <w:top w:val="single" w:sz="6" w:space="0" w:color="auto"/>
              <w:left w:val="nil"/>
              <w:bottom w:val="nil"/>
              <w:right w:val="nil"/>
            </w:tcBorders>
            <w:vAlign w:val="center"/>
          </w:tcPr>
          <w:p w14:paraId="0FC01BFE" w14:textId="77777777" w:rsidR="00723107" w:rsidRPr="00DF32B6" w:rsidRDefault="00723107" w:rsidP="001B28D1">
            <w:pPr>
              <w:widowControl w:val="0"/>
              <w:autoSpaceDE w:val="0"/>
              <w:autoSpaceDN w:val="0"/>
              <w:adjustRightInd w:val="0"/>
              <w:jc w:val="center"/>
              <w:rPr>
                <w:sz w:val="16"/>
                <w:szCs w:val="16"/>
              </w:rPr>
            </w:pPr>
            <w:r w:rsidRPr="00DF32B6">
              <w:rPr>
                <w:sz w:val="16"/>
                <w:szCs w:val="16"/>
              </w:rPr>
              <w:t>2</w:t>
            </w:r>
          </w:p>
        </w:tc>
        <w:tc>
          <w:tcPr>
            <w:tcW w:w="810" w:type="dxa"/>
            <w:tcBorders>
              <w:top w:val="single" w:sz="6" w:space="0" w:color="auto"/>
              <w:left w:val="nil"/>
              <w:bottom w:val="nil"/>
              <w:right w:val="nil"/>
            </w:tcBorders>
            <w:vAlign w:val="center"/>
          </w:tcPr>
          <w:p w14:paraId="57FEA122" w14:textId="77777777" w:rsidR="00723107" w:rsidRPr="00DF32B6" w:rsidRDefault="00723107" w:rsidP="001B28D1">
            <w:pPr>
              <w:widowControl w:val="0"/>
              <w:autoSpaceDE w:val="0"/>
              <w:autoSpaceDN w:val="0"/>
              <w:adjustRightInd w:val="0"/>
              <w:jc w:val="center"/>
              <w:rPr>
                <w:sz w:val="16"/>
                <w:szCs w:val="16"/>
              </w:rPr>
            </w:pPr>
            <w:r w:rsidRPr="00DF32B6">
              <w:rPr>
                <w:sz w:val="16"/>
                <w:szCs w:val="16"/>
              </w:rPr>
              <w:t>3</w:t>
            </w:r>
          </w:p>
        </w:tc>
        <w:tc>
          <w:tcPr>
            <w:tcW w:w="810" w:type="dxa"/>
            <w:tcBorders>
              <w:top w:val="single" w:sz="6" w:space="0" w:color="auto"/>
              <w:left w:val="nil"/>
              <w:bottom w:val="nil"/>
              <w:right w:val="nil"/>
            </w:tcBorders>
            <w:vAlign w:val="center"/>
          </w:tcPr>
          <w:p w14:paraId="5E788897" w14:textId="77777777" w:rsidR="00723107" w:rsidRPr="00DF32B6" w:rsidRDefault="00723107" w:rsidP="001B28D1">
            <w:pPr>
              <w:widowControl w:val="0"/>
              <w:autoSpaceDE w:val="0"/>
              <w:autoSpaceDN w:val="0"/>
              <w:adjustRightInd w:val="0"/>
              <w:jc w:val="center"/>
              <w:rPr>
                <w:sz w:val="16"/>
                <w:szCs w:val="16"/>
              </w:rPr>
            </w:pPr>
            <w:r w:rsidRPr="00DF32B6">
              <w:rPr>
                <w:sz w:val="16"/>
                <w:szCs w:val="16"/>
              </w:rPr>
              <w:t>4</w:t>
            </w:r>
          </w:p>
        </w:tc>
        <w:tc>
          <w:tcPr>
            <w:tcW w:w="810" w:type="dxa"/>
            <w:tcBorders>
              <w:top w:val="single" w:sz="6" w:space="0" w:color="auto"/>
              <w:left w:val="nil"/>
              <w:bottom w:val="nil"/>
              <w:right w:val="nil"/>
            </w:tcBorders>
            <w:vAlign w:val="center"/>
          </w:tcPr>
          <w:p w14:paraId="511CF0A1" w14:textId="77777777" w:rsidR="00723107" w:rsidRPr="00DF32B6" w:rsidRDefault="00723107" w:rsidP="001B28D1">
            <w:pPr>
              <w:widowControl w:val="0"/>
              <w:autoSpaceDE w:val="0"/>
              <w:autoSpaceDN w:val="0"/>
              <w:adjustRightInd w:val="0"/>
              <w:jc w:val="center"/>
              <w:rPr>
                <w:sz w:val="16"/>
                <w:szCs w:val="16"/>
              </w:rPr>
            </w:pPr>
            <w:r w:rsidRPr="00DF32B6">
              <w:rPr>
                <w:sz w:val="16"/>
                <w:szCs w:val="16"/>
              </w:rPr>
              <w:t>5</w:t>
            </w:r>
          </w:p>
        </w:tc>
        <w:tc>
          <w:tcPr>
            <w:tcW w:w="763" w:type="dxa"/>
            <w:tcBorders>
              <w:top w:val="single" w:sz="6" w:space="0" w:color="auto"/>
              <w:left w:val="nil"/>
              <w:bottom w:val="nil"/>
              <w:right w:val="nil"/>
            </w:tcBorders>
            <w:vAlign w:val="center"/>
          </w:tcPr>
          <w:p w14:paraId="5E484048" w14:textId="77777777" w:rsidR="00723107" w:rsidRPr="00DF32B6" w:rsidRDefault="00723107" w:rsidP="001B28D1">
            <w:pPr>
              <w:widowControl w:val="0"/>
              <w:autoSpaceDE w:val="0"/>
              <w:autoSpaceDN w:val="0"/>
              <w:adjustRightInd w:val="0"/>
              <w:jc w:val="center"/>
              <w:rPr>
                <w:sz w:val="16"/>
                <w:szCs w:val="16"/>
              </w:rPr>
            </w:pPr>
            <w:r w:rsidRPr="00DF32B6">
              <w:rPr>
                <w:sz w:val="16"/>
                <w:szCs w:val="16"/>
              </w:rPr>
              <w:t>6</w:t>
            </w:r>
          </w:p>
        </w:tc>
        <w:tc>
          <w:tcPr>
            <w:tcW w:w="778" w:type="dxa"/>
            <w:tcBorders>
              <w:top w:val="single" w:sz="6" w:space="0" w:color="auto"/>
              <w:left w:val="nil"/>
              <w:bottom w:val="nil"/>
              <w:right w:val="nil"/>
            </w:tcBorders>
            <w:vAlign w:val="center"/>
          </w:tcPr>
          <w:p w14:paraId="14D6E44C" w14:textId="77777777" w:rsidR="00723107" w:rsidRPr="00DF32B6" w:rsidRDefault="00723107" w:rsidP="001B28D1">
            <w:pPr>
              <w:widowControl w:val="0"/>
              <w:autoSpaceDE w:val="0"/>
              <w:autoSpaceDN w:val="0"/>
              <w:adjustRightInd w:val="0"/>
              <w:jc w:val="center"/>
              <w:rPr>
                <w:sz w:val="16"/>
                <w:szCs w:val="16"/>
              </w:rPr>
            </w:pPr>
            <w:r w:rsidRPr="00DF32B6">
              <w:rPr>
                <w:sz w:val="16"/>
                <w:szCs w:val="16"/>
              </w:rPr>
              <w:t>7</w:t>
            </w:r>
          </w:p>
        </w:tc>
        <w:tc>
          <w:tcPr>
            <w:tcW w:w="778" w:type="dxa"/>
            <w:tcBorders>
              <w:top w:val="single" w:sz="6" w:space="0" w:color="auto"/>
              <w:left w:val="nil"/>
              <w:bottom w:val="nil"/>
              <w:right w:val="nil"/>
            </w:tcBorders>
            <w:vAlign w:val="center"/>
          </w:tcPr>
          <w:p w14:paraId="1300FECB" w14:textId="77777777" w:rsidR="00723107" w:rsidRPr="00DF32B6" w:rsidRDefault="00723107" w:rsidP="001B28D1">
            <w:pPr>
              <w:widowControl w:val="0"/>
              <w:autoSpaceDE w:val="0"/>
              <w:autoSpaceDN w:val="0"/>
              <w:adjustRightInd w:val="0"/>
              <w:jc w:val="center"/>
              <w:rPr>
                <w:sz w:val="16"/>
                <w:szCs w:val="16"/>
              </w:rPr>
            </w:pPr>
            <w:r w:rsidRPr="00DF32B6">
              <w:rPr>
                <w:sz w:val="16"/>
                <w:szCs w:val="16"/>
              </w:rPr>
              <w:t>8</w:t>
            </w:r>
          </w:p>
        </w:tc>
        <w:tc>
          <w:tcPr>
            <w:tcW w:w="778" w:type="dxa"/>
            <w:tcBorders>
              <w:top w:val="single" w:sz="6" w:space="0" w:color="auto"/>
              <w:left w:val="nil"/>
              <w:bottom w:val="nil"/>
              <w:right w:val="nil"/>
            </w:tcBorders>
            <w:vAlign w:val="center"/>
          </w:tcPr>
          <w:p w14:paraId="283B7AA7" w14:textId="77777777" w:rsidR="00723107" w:rsidRPr="00DF32B6" w:rsidRDefault="00723107" w:rsidP="001B28D1">
            <w:pPr>
              <w:widowControl w:val="0"/>
              <w:autoSpaceDE w:val="0"/>
              <w:autoSpaceDN w:val="0"/>
              <w:adjustRightInd w:val="0"/>
              <w:jc w:val="center"/>
              <w:rPr>
                <w:sz w:val="16"/>
                <w:szCs w:val="16"/>
              </w:rPr>
            </w:pPr>
            <w:r w:rsidRPr="00DF32B6">
              <w:rPr>
                <w:sz w:val="16"/>
                <w:szCs w:val="16"/>
              </w:rPr>
              <w:t>9</w:t>
            </w:r>
          </w:p>
        </w:tc>
        <w:tc>
          <w:tcPr>
            <w:tcW w:w="778" w:type="dxa"/>
            <w:tcBorders>
              <w:top w:val="single" w:sz="6" w:space="0" w:color="auto"/>
              <w:left w:val="nil"/>
              <w:bottom w:val="nil"/>
              <w:right w:val="nil"/>
            </w:tcBorders>
            <w:vAlign w:val="center"/>
          </w:tcPr>
          <w:p w14:paraId="0CDD2865" w14:textId="77777777" w:rsidR="00723107" w:rsidRPr="00DF32B6" w:rsidRDefault="00723107" w:rsidP="001B28D1">
            <w:pPr>
              <w:widowControl w:val="0"/>
              <w:autoSpaceDE w:val="0"/>
              <w:autoSpaceDN w:val="0"/>
              <w:adjustRightInd w:val="0"/>
              <w:jc w:val="center"/>
              <w:rPr>
                <w:sz w:val="16"/>
                <w:szCs w:val="16"/>
              </w:rPr>
            </w:pPr>
            <w:r w:rsidRPr="00DF32B6">
              <w:rPr>
                <w:sz w:val="16"/>
                <w:szCs w:val="16"/>
              </w:rPr>
              <w:t>10</w:t>
            </w:r>
          </w:p>
        </w:tc>
        <w:tc>
          <w:tcPr>
            <w:tcW w:w="763" w:type="dxa"/>
            <w:tcBorders>
              <w:top w:val="single" w:sz="6" w:space="0" w:color="auto"/>
              <w:left w:val="nil"/>
              <w:bottom w:val="nil"/>
              <w:right w:val="nil"/>
            </w:tcBorders>
            <w:vAlign w:val="center"/>
          </w:tcPr>
          <w:p w14:paraId="1B63685C" w14:textId="77777777" w:rsidR="00723107" w:rsidRPr="00DF32B6" w:rsidRDefault="00723107" w:rsidP="001B28D1">
            <w:pPr>
              <w:widowControl w:val="0"/>
              <w:autoSpaceDE w:val="0"/>
              <w:autoSpaceDN w:val="0"/>
              <w:adjustRightInd w:val="0"/>
              <w:jc w:val="center"/>
              <w:rPr>
                <w:sz w:val="16"/>
                <w:szCs w:val="16"/>
              </w:rPr>
            </w:pPr>
            <w:r w:rsidRPr="00DF32B6">
              <w:rPr>
                <w:sz w:val="16"/>
                <w:szCs w:val="16"/>
              </w:rPr>
              <w:t>11</w:t>
            </w:r>
          </w:p>
        </w:tc>
        <w:tc>
          <w:tcPr>
            <w:tcW w:w="763" w:type="dxa"/>
            <w:tcBorders>
              <w:top w:val="single" w:sz="6" w:space="0" w:color="auto"/>
              <w:left w:val="nil"/>
              <w:bottom w:val="nil"/>
              <w:right w:val="nil"/>
            </w:tcBorders>
            <w:vAlign w:val="center"/>
          </w:tcPr>
          <w:p w14:paraId="4FA757B4" w14:textId="77777777" w:rsidR="00723107" w:rsidRPr="00DF32B6" w:rsidRDefault="00723107" w:rsidP="001B28D1">
            <w:pPr>
              <w:widowControl w:val="0"/>
              <w:autoSpaceDE w:val="0"/>
              <w:autoSpaceDN w:val="0"/>
              <w:adjustRightInd w:val="0"/>
              <w:jc w:val="center"/>
              <w:rPr>
                <w:sz w:val="16"/>
                <w:szCs w:val="16"/>
              </w:rPr>
            </w:pPr>
            <w:r w:rsidRPr="00DF32B6">
              <w:rPr>
                <w:sz w:val="16"/>
                <w:szCs w:val="16"/>
              </w:rPr>
              <w:t>12</w:t>
            </w:r>
          </w:p>
        </w:tc>
      </w:tr>
      <w:tr w:rsidR="00723107" w:rsidRPr="00DF32B6" w14:paraId="4B9F4F70" w14:textId="77777777" w:rsidTr="001B28D1">
        <w:tc>
          <w:tcPr>
            <w:tcW w:w="2610" w:type="dxa"/>
            <w:tcBorders>
              <w:top w:val="nil"/>
              <w:left w:val="nil"/>
              <w:bottom w:val="nil"/>
              <w:right w:val="nil"/>
            </w:tcBorders>
            <w:vAlign w:val="center"/>
          </w:tcPr>
          <w:p w14:paraId="62AB4604" w14:textId="77777777" w:rsidR="00723107" w:rsidRPr="006E135C" w:rsidRDefault="00723107" w:rsidP="001B28D1">
            <w:pPr>
              <w:rPr>
                <w:sz w:val="16"/>
                <w:szCs w:val="16"/>
              </w:rPr>
            </w:pPr>
            <w:r w:rsidRPr="006E135C">
              <w:rPr>
                <w:sz w:val="16"/>
                <w:szCs w:val="16"/>
              </w:rPr>
              <w:t>1. Desire for social distance from Asian people</w:t>
            </w:r>
          </w:p>
        </w:tc>
        <w:tc>
          <w:tcPr>
            <w:tcW w:w="900" w:type="dxa"/>
            <w:tcBorders>
              <w:top w:val="nil"/>
              <w:left w:val="nil"/>
              <w:bottom w:val="nil"/>
              <w:right w:val="nil"/>
            </w:tcBorders>
            <w:vAlign w:val="center"/>
          </w:tcPr>
          <w:p w14:paraId="5FA9E6FC"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Pr>
                <w:sz w:val="14"/>
                <w:szCs w:val="14"/>
              </w:rPr>
              <w:t>1 - 7</w:t>
            </w:r>
          </w:p>
        </w:tc>
        <w:tc>
          <w:tcPr>
            <w:tcW w:w="630" w:type="dxa"/>
            <w:tcBorders>
              <w:top w:val="nil"/>
              <w:left w:val="nil"/>
              <w:bottom w:val="nil"/>
              <w:right w:val="nil"/>
            </w:tcBorders>
            <w:vAlign w:val="center"/>
          </w:tcPr>
          <w:p w14:paraId="140F4218"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1.79</w:t>
            </w:r>
          </w:p>
        </w:tc>
        <w:tc>
          <w:tcPr>
            <w:tcW w:w="630" w:type="dxa"/>
            <w:tcBorders>
              <w:top w:val="nil"/>
              <w:left w:val="nil"/>
              <w:bottom w:val="nil"/>
              <w:right w:val="nil"/>
            </w:tcBorders>
            <w:vAlign w:val="center"/>
          </w:tcPr>
          <w:p w14:paraId="28673F74"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1.12</w:t>
            </w:r>
          </w:p>
        </w:tc>
        <w:tc>
          <w:tcPr>
            <w:tcW w:w="778" w:type="dxa"/>
            <w:tcBorders>
              <w:top w:val="nil"/>
              <w:left w:val="nil"/>
              <w:bottom w:val="nil"/>
              <w:right w:val="nil"/>
            </w:tcBorders>
            <w:vAlign w:val="center"/>
          </w:tcPr>
          <w:p w14:paraId="1BFA097A"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821" w:type="dxa"/>
            <w:tcBorders>
              <w:top w:val="nil"/>
              <w:left w:val="nil"/>
              <w:bottom w:val="nil"/>
              <w:right w:val="nil"/>
            </w:tcBorders>
            <w:vAlign w:val="center"/>
          </w:tcPr>
          <w:p w14:paraId="624A59F8"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810" w:type="dxa"/>
            <w:tcBorders>
              <w:top w:val="nil"/>
              <w:left w:val="nil"/>
              <w:bottom w:val="nil"/>
              <w:right w:val="nil"/>
            </w:tcBorders>
            <w:vAlign w:val="center"/>
          </w:tcPr>
          <w:p w14:paraId="596A7854"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810" w:type="dxa"/>
            <w:tcBorders>
              <w:top w:val="nil"/>
              <w:left w:val="nil"/>
              <w:bottom w:val="nil"/>
              <w:right w:val="nil"/>
            </w:tcBorders>
            <w:vAlign w:val="center"/>
          </w:tcPr>
          <w:p w14:paraId="6497044E"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810" w:type="dxa"/>
            <w:tcBorders>
              <w:top w:val="nil"/>
              <w:left w:val="nil"/>
              <w:bottom w:val="nil"/>
              <w:right w:val="nil"/>
            </w:tcBorders>
            <w:vAlign w:val="center"/>
          </w:tcPr>
          <w:p w14:paraId="108D23B8"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119FF53B"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408F926E"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5EF15010"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6A99684D"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1A4340CB"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21197806"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691E5492"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r>
      <w:tr w:rsidR="00723107" w:rsidRPr="00DF32B6" w14:paraId="1C6F2209" w14:textId="77777777" w:rsidTr="001B28D1">
        <w:tc>
          <w:tcPr>
            <w:tcW w:w="2610" w:type="dxa"/>
            <w:tcBorders>
              <w:top w:val="nil"/>
              <w:left w:val="nil"/>
              <w:bottom w:val="nil"/>
              <w:right w:val="nil"/>
            </w:tcBorders>
            <w:vAlign w:val="center"/>
          </w:tcPr>
          <w:p w14:paraId="39B752D4" w14:textId="77777777" w:rsidR="00723107" w:rsidRPr="006E135C" w:rsidRDefault="00723107" w:rsidP="001B28D1">
            <w:pPr>
              <w:widowControl w:val="0"/>
              <w:autoSpaceDE w:val="0"/>
              <w:autoSpaceDN w:val="0"/>
              <w:adjustRightInd w:val="0"/>
              <w:rPr>
                <w:sz w:val="16"/>
                <w:szCs w:val="16"/>
              </w:rPr>
            </w:pPr>
            <w:r w:rsidRPr="006E135C">
              <w:rPr>
                <w:sz w:val="16"/>
                <w:szCs w:val="16"/>
              </w:rPr>
              <w:t>2. Support for exclusionary anti-Asian travel policy</w:t>
            </w:r>
          </w:p>
        </w:tc>
        <w:tc>
          <w:tcPr>
            <w:tcW w:w="900" w:type="dxa"/>
            <w:tcBorders>
              <w:top w:val="nil"/>
              <w:left w:val="nil"/>
              <w:bottom w:val="nil"/>
              <w:right w:val="nil"/>
            </w:tcBorders>
            <w:vAlign w:val="center"/>
          </w:tcPr>
          <w:p w14:paraId="48F1725F"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Pr>
                <w:sz w:val="14"/>
                <w:szCs w:val="14"/>
              </w:rPr>
              <w:t>1 - 7</w:t>
            </w:r>
          </w:p>
        </w:tc>
        <w:tc>
          <w:tcPr>
            <w:tcW w:w="630" w:type="dxa"/>
            <w:tcBorders>
              <w:top w:val="nil"/>
              <w:left w:val="nil"/>
              <w:bottom w:val="nil"/>
              <w:right w:val="nil"/>
            </w:tcBorders>
            <w:vAlign w:val="center"/>
          </w:tcPr>
          <w:p w14:paraId="71BD7ACE"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6.09</w:t>
            </w:r>
          </w:p>
        </w:tc>
        <w:tc>
          <w:tcPr>
            <w:tcW w:w="630" w:type="dxa"/>
            <w:tcBorders>
              <w:top w:val="nil"/>
              <w:left w:val="nil"/>
              <w:bottom w:val="nil"/>
              <w:right w:val="nil"/>
            </w:tcBorders>
            <w:vAlign w:val="center"/>
          </w:tcPr>
          <w:p w14:paraId="0D1D17F1"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1.35</w:t>
            </w:r>
          </w:p>
        </w:tc>
        <w:tc>
          <w:tcPr>
            <w:tcW w:w="778" w:type="dxa"/>
            <w:tcBorders>
              <w:top w:val="nil"/>
              <w:left w:val="nil"/>
              <w:bottom w:val="nil"/>
              <w:right w:val="nil"/>
            </w:tcBorders>
            <w:vAlign w:val="center"/>
          </w:tcPr>
          <w:p w14:paraId="302C29A1"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-.08</w:t>
            </w:r>
          </w:p>
        </w:tc>
        <w:tc>
          <w:tcPr>
            <w:tcW w:w="821" w:type="dxa"/>
            <w:tcBorders>
              <w:top w:val="nil"/>
              <w:left w:val="nil"/>
              <w:bottom w:val="nil"/>
              <w:right w:val="nil"/>
            </w:tcBorders>
            <w:vAlign w:val="center"/>
          </w:tcPr>
          <w:p w14:paraId="2945DE5B"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810" w:type="dxa"/>
            <w:tcBorders>
              <w:top w:val="nil"/>
              <w:left w:val="nil"/>
              <w:bottom w:val="nil"/>
              <w:right w:val="nil"/>
            </w:tcBorders>
            <w:vAlign w:val="center"/>
          </w:tcPr>
          <w:p w14:paraId="78700CDE"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810" w:type="dxa"/>
            <w:tcBorders>
              <w:top w:val="nil"/>
              <w:left w:val="nil"/>
              <w:bottom w:val="nil"/>
              <w:right w:val="nil"/>
            </w:tcBorders>
            <w:vAlign w:val="center"/>
          </w:tcPr>
          <w:p w14:paraId="7DAA893F"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810" w:type="dxa"/>
            <w:tcBorders>
              <w:top w:val="nil"/>
              <w:left w:val="nil"/>
              <w:bottom w:val="nil"/>
              <w:right w:val="nil"/>
            </w:tcBorders>
            <w:vAlign w:val="center"/>
          </w:tcPr>
          <w:p w14:paraId="1260259C"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0D8F7E8F"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54F6DFDB"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1DF6BF55"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1E16F380"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7188443F"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13AF216C"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40A1DB84"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r>
      <w:tr w:rsidR="00723107" w:rsidRPr="00DF32B6" w14:paraId="0D92A892" w14:textId="77777777" w:rsidTr="001B28D1">
        <w:tc>
          <w:tcPr>
            <w:tcW w:w="2610" w:type="dxa"/>
            <w:tcBorders>
              <w:top w:val="nil"/>
              <w:left w:val="nil"/>
              <w:bottom w:val="nil"/>
              <w:right w:val="nil"/>
            </w:tcBorders>
            <w:vAlign w:val="center"/>
          </w:tcPr>
          <w:p w14:paraId="6E7966E5" w14:textId="77777777" w:rsidR="00723107" w:rsidRPr="006E135C" w:rsidRDefault="00723107" w:rsidP="001B28D1">
            <w:pPr>
              <w:widowControl w:val="0"/>
              <w:autoSpaceDE w:val="0"/>
              <w:autoSpaceDN w:val="0"/>
              <w:adjustRightInd w:val="0"/>
              <w:rPr>
                <w:sz w:val="16"/>
                <w:szCs w:val="16"/>
              </w:rPr>
            </w:pPr>
            <w:r w:rsidRPr="006E135C">
              <w:rPr>
                <w:sz w:val="16"/>
                <w:szCs w:val="16"/>
              </w:rPr>
              <w:t xml:space="preserve"> </w:t>
            </w:r>
          </w:p>
        </w:tc>
        <w:tc>
          <w:tcPr>
            <w:tcW w:w="900" w:type="dxa"/>
            <w:tcBorders>
              <w:top w:val="nil"/>
              <w:left w:val="nil"/>
              <w:bottom w:val="nil"/>
              <w:right w:val="nil"/>
            </w:tcBorders>
            <w:vAlign w:val="center"/>
          </w:tcPr>
          <w:p w14:paraId="426D3ECD"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630" w:type="dxa"/>
            <w:tcBorders>
              <w:top w:val="nil"/>
              <w:left w:val="nil"/>
              <w:bottom w:val="nil"/>
              <w:right w:val="nil"/>
            </w:tcBorders>
            <w:vAlign w:val="center"/>
          </w:tcPr>
          <w:p w14:paraId="740F0F9E"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630" w:type="dxa"/>
            <w:tcBorders>
              <w:top w:val="nil"/>
              <w:left w:val="nil"/>
              <w:bottom w:val="nil"/>
              <w:right w:val="nil"/>
            </w:tcBorders>
            <w:vAlign w:val="center"/>
          </w:tcPr>
          <w:p w14:paraId="00D715BE"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5669B885"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[-.16, .00]</w:t>
            </w:r>
          </w:p>
        </w:tc>
        <w:tc>
          <w:tcPr>
            <w:tcW w:w="821" w:type="dxa"/>
            <w:tcBorders>
              <w:top w:val="nil"/>
              <w:left w:val="nil"/>
              <w:bottom w:val="nil"/>
              <w:right w:val="nil"/>
            </w:tcBorders>
            <w:vAlign w:val="center"/>
          </w:tcPr>
          <w:p w14:paraId="30D89D63"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810" w:type="dxa"/>
            <w:tcBorders>
              <w:top w:val="nil"/>
              <w:left w:val="nil"/>
              <w:bottom w:val="nil"/>
              <w:right w:val="nil"/>
            </w:tcBorders>
            <w:vAlign w:val="center"/>
          </w:tcPr>
          <w:p w14:paraId="011AA075"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810" w:type="dxa"/>
            <w:tcBorders>
              <w:top w:val="nil"/>
              <w:left w:val="nil"/>
              <w:bottom w:val="nil"/>
              <w:right w:val="nil"/>
            </w:tcBorders>
            <w:vAlign w:val="center"/>
          </w:tcPr>
          <w:p w14:paraId="758A5289"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810" w:type="dxa"/>
            <w:tcBorders>
              <w:top w:val="nil"/>
              <w:left w:val="nil"/>
              <w:bottom w:val="nil"/>
              <w:right w:val="nil"/>
            </w:tcBorders>
            <w:vAlign w:val="center"/>
          </w:tcPr>
          <w:p w14:paraId="568D4E27"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05FC0144"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2FC9520A"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595D1649"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632CC163"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4703EF1F"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7CF95146"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03AFE28B"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r>
      <w:tr w:rsidR="00723107" w:rsidRPr="00DF32B6" w14:paraId="727FCA07" w14:textId="77777777" w:rsidTr="001B28D1">
        <w:tc>
          <w:tcPr>
            <w:tcW w:w="2610" w:type="dxa"/>
            <w:tcBorders>
              <w:top w:val="nil"/>
              <w:left w:val="nil"/>
              <w:bottom w:val="nil"/>
              <w:right w:val="nil"/>
            </w:tcBorders>
            <w:vAlign w:val="center"/>
          </w:tcPr>
          <w:p w14:paraId="4E5993BF" w14:textId="77777777" w:rsidR="00723107" w:rsidRPr="006E135C" w:rsidRDefault="00723107" w:rsidP="001B28D1">
            <w:pPr>
              <w:widowControl w:val="0"/>
              <w:autoSpaceDE w:val="0"/>
              <w:autoSpaceDN w:val="0"/>
              <w:adjustRightInd w:val="0"/>
              <w:rPr>
                <w:sz w:val="16"/>
                <w:szCs w:val="16"/>
              </w:rPr>
            </w:pPr>
            <w:r w:rsidRPr="006E135C">
              <w:rPr>
                <w:sz w:val="16"/>
                <w:szCs w:val="16"/>
              </w:rPr>
              <w:t>3. Negative affect toward Asian people</w:t>
            </w:r>
          </w:p>
        </w:tc>
        <w:tc>
          <w:tcPr>
            <w:tcW w:w="900" w:type="dxa"/>
            <w:tcBorders>
              <w:top w:val="nil"/>
              <w:left w:val="nil"/>
              <w:bottom w:val="nil"/>
              <w:right w:val="nil"/>
            </w:tcBorders>
            <w:vAlign w:val="center"/>
          </w:tcPr>
          <w:p w14:paraId="5D85F4C1"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Pr>
                <w:sz w:val="14"/>
                <w:szCs w:val="14"/>
              </w:rPr>
              <w:t>0 - 100</w:t>
            </w:r>
          </w:p>
        </w:tc>
        <w:tc>
          <w:tcPr>
            <w:tcW w:w="630" w:type="dxa"/>
            <w:tcBorders>
              <w:top w:val="nil"/>
              <w:left w:val="nil"/>
              <w:bottom w:val="nil"/>
              <w:right w:val="nil"/>
            </w:tcBorders>
            <w:vAlign w:val="center"/>
          </w:tcPr>
          <w:p w14:paraId="770B7F4E"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29.63</w:t>
            </w:r>
          </w:p>
        </w:tc>
        <w:tc>
          <w:tcPr>
            <w:tcW w:w="630" w:type="dxa"/>
            <w:tcBorders>
              <w:top w:val="nil"/>
              <w:left w:val="nil"/>
              <w:bottom w:val="nil"/>
              <w:right w:val="nil"/>
            </w:tcBorders>
            <w:vAlign w:val="center"/>
          </w:tcPr>
          <w:p w14:paraId="0F1FC275"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22.58</w:t>
            </w:r>
          </w:p>
        </w:tc>
        <w:tc>
          <w:tcPr>
            <w:tcW w:w="778" w:type="dxa"/>
            <w:tcBorders>
              <w:top w:val="nil"/>
              <w:left w:val="nil"/>
              <w:bottom w:val="nil"/>
              <w:right w:val="nil"/>
            </w:tcBorders>
            <w:vAlign w:val="center"/>
          </w:tcPr>
          <w:p w14:paraId="5073C45D"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.54**</w:t>
            </w:r>
          </w:p>
        </w:tc>
        <w:tc>
          <w:tcPr>
            <w:tcW w:w="821" w:type="dxa"/>
            <w:tcBorders>
              <w:top w:val="nil"/>
              <w:left w:val="nil"/>
              <w:bottom w:val="nil"/>
              <w:right w:val="nil"/>
            </w:tcBorders>
            <w:vAlign w:val="center"/>
          </w:tcPr>
          <w:p w14:paraId="04411707"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-.08</w:t>
            </w:r>
          </w:p>
        </w:tc>
        <w:tc>
          <w:tcPr>
            <w:tcW w:w="810" w:type="dxa"/>
            <w:tcBorders>
              <w:top w:val="nil"/>
              <w:left w:val="nil"/>
              <w:bottom w:val="nil"/>
              <w:right w:val="nil"/>
            </w:tcBorders>
            <w:vAlign w:val="center"/>
          </w:tcPr>
          <w:p w14:paraId="501D28F4"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810" w:type="dxa"/>
            <w:tcBorders>
              <w:top w:val="nil"/>
              <w:left w:val="nil"/>
              <w:bottom w:val="nil"/>
              <w:right w:val="nil"/>
            </w:tcBorders>
            <w:vAlign w:val="center"/>
          </w:tcPr>
          <w:p w14:paraId="09B90870"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810" w:type="dxa"/>
            <w:tcBorders>
              <w:top w:val="nil"/>
              <w:left w:val="nil"/>
              <w:bottom w:val="nil"/>
              <w:right w:val="nil"/>
            </w:tcBorders>
            <w:vAlign w:val="center"/>
          </w:tcPr>
          <w:p w14:paraId="1A856477"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0A6BF06A"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69F2DB69"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24D8413C"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174B5877"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408D9383"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1260F0F8"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2C090E8C"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r>
      <w:tr w:rsidR="00723107" w:rsidRPr="00DF32B6" w14:paraId="6F150627" w14:textId="77777777" w:rsidTr="001B28D1">
        <w:tc>
          <w:tcPr>
            <w:tcW w:w="2610" w:type="dxa"/>
            <w:tcBorders>
              <w:top w:val="nil"/>
              <w:left w:val="nil"/>
              <w:bottom w:val="nil"/>
              <w:right w:val="nil"/>
            </w:tcBorders>
            <w:vAlign w:val="center"/>
          </w:tcPr>
          <w:p w14:paraId="2B765F16" w14:textId="77777777" w:rsidR="00723107" w:rsidRPr="006E135C" w:rsidRDefault="00723107" w:rsidP="001B28D1">
            <w:pPr>
              <w:widowControl w:val="0"/>
              <w:autoSpaceDE w:val="0"/>
              <w:autoSpaceDN w:val="0"/>
              <w:adjustRightInd w:val="0"/>
              <w:rPr>
                <w:sz w:val="16"/>
                <w:szCs w:val="16"/>
              </w:rPr>
            </w:pPr>
            <w:r w:rsidRPr="006E135C">
              <w:rPr>
                <w:sz w:val="16"/>
                <w:szCs w:val="16"/>
              </w:rPr>
              <w:t xml:space="preserve"> </w:t>
            </w:r>
          </w:p>
        </w:tc>
        <w:tc>
          <w:tcPr>
            <w:tcW w:w="900" w:type="dxa"/>
            <w:tcBorders>
              <w:top w:val="nil"/>
              <w:left w:val="nil"/>
              <w:bottom w:val="nil"/>
              <w:right w:val="nil"/>
            </w:tcBorders>
            <w:vAlign w:val="center"/>
          </w:tcPr>
          <w:p w14:paraId="772AA23C"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630" w:type="dxa"/>
            <w:tcBorders>
              <w:top w:val="nil"/>
              <w:left w:val="nil"/>
              <w:bottom w:val="nil"/>
              <w:right w:val="nil"/>
            </w:tcBorders>
            <w:vAlign w:val="center"/>
          </w:tcPr>
          <w:p w14:paraId="399ED06F"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630" w:type="dxa"/>
            <w:tcBorders>
              <w:top w:val="nil"/>
              <w:left w:val="nil"/>
              <w:bottom w:val="nil"/>
              <w:right w:val="nil"/>
            </w:tcBorders>
            <w:vAlign w:val="center"/>
          </w:tcPr>
          <w:p w14:paraId="1CAEF6E3"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7F421DA8"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[.48, .59]</w:t>
            </w:r>
          </w:p>
        </w:tc>
        <w:tc>
          <w:tcPr>
            <w:tcW w:w="821" w:type="dxa"/>
            <w:tcBorders>
              <w:top w:val="nil"/>
              <w:left w:val="nil"/>
              <w:bottom w:val="nil"/>
              <w:right w:val="nil"/>
            </w:tcBorders>
            <w:vAlign w:val="center"/>
          </w:tcPr>
          <w:p w14:paraId="2678A2E7"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[-.16, .00]</w:t>
            </w:r>
          </w:p>
        </w:tc>
        <w:tc>
          <w:tcPr>
            <w:tcW w:w="810" w:type="dxa"/>
            <w:tcBorders>
              <w:top w:val="nil"/>
              <w:left w:val="nil"/>
              <w:bottom w:val="nil"/>
              <w:right w:val="nil"/>
            </w:tcBorders>
            <w:vAlign w:val="center"/>
          </w:tcPr>
          <w:p w14:paraId="7D0E4EE8"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810" w:type="dxa"/>
            <w:tcBorders>
              <w:top w:val="nil"/>
              <w:left w:val="nil"/>
              <w:bottom w:val="nil"/>
              <w:right w:val="nil"/>
            </w:tcBorders>
            <w:vAlign w:val="center"/>
          </w:tcPr>
          <w:p w14:paraId="28F61611"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810" w:type="dxa"/>
            <w:tcBorders>
              <w:top w:val="nil"/>
              <w:left w:val="nil"/>
              <w:bottom w:val="nil"/>
              <w:right w:val="nil"/>
            </w:tcBorders>
            <w:vAlign w:val="center"/>
          </w:tcPr>
          <w:p w14:paraId="03B9405A"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74E67CAE"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494A240F"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3C562F3D"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515EFE31"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444A7F22"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78FC1350"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797DEDB4"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r>
      <w:tr w:rsidR="00723107" w:rsidRPr="00DF32B6" w14:paraId="6359D7BF" w14:textId="77777777" w:rsidTr="001B28D1">
        <w:tc>
          <w:tcPr>
            <w:tcW w:w="2610" w:type="dxa"/>
            <w:tcBorders>
              <w:top w:val="nil"/>
              <w:left w:val="nil"/>
              <w:bottom w:val="nil"/>
              <w:right w:val="nil"/>
            </w:tcBorders>
            <w:vAlign w:val="center"/>
          </w:tcPr>
          <w:p w14:paraId="1499F870" w14:textId="77777777" w:rsidR="00723107" w:rsidRPr="006E135C" w:rsidRDefault="00723107" w:rsidP="001B28D1">
            <w:pPr>
              <w:widowControl w:val="0"/>
              <w:autoSpaceDE w:val="0"/>
              <w:autoSpaceDN w:val="0"/>
              <w:adjustRightInd w:val="0"/>
              <w:rPr>
                <w:sz w:val="16"/>
                <w:szCs w:val="16"/>
              </w:rPr>
            </w:pPr>
            <w:r w:rsidRPr="006E135C">
              <w:rPr>
                <w:sz w:val="16"/>
                <w:szCs w:val="16"/>
              </w:rPr>
              <w:t>4. Desire for social distance from Black people</w:t>
            </w:r>
          </w:p>
        </w:tc>
        <w:tc>
          <w:tcPr>
            <w:tcW w:w="900" w:type="dxa"/>
            <w:tcBorders>
              <w:top w:val="nil"/>
              <w:left w:val="nil"/>
              <w:bottom w:val="nil"/>
              <w:right w:val="nil"/>
            </w:tcBorders>
            <w:vAlign w:val="center"/>
          </w:tcPr>
          <w:p w14:paraId="71DC944F"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Pr>
                <w:sz w:val="14"/>
                <w:szCs w:val="14"/>
              </w:rPr>
              <w:t>1 - 7</w:t>
            </w:r>
          </w:p>
        </w:tc>
        <w:tc>
          <w:tcPr>
            <w:tcW w:w="630" w:type="dxa"/>
            <w:tcBorders>
              <w:top w:val="nil"/>
              <w:left w:val="nil"/>
              <w:bottom w:val="nil"/>
              <w:right w:val="nil"/>
            </w:tcBorders>
            <w:vAlign w:val="center"/>
          </w:tcPr>
          <w:p w14:paraId="3632A0AC"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1.75</w:t>
            </w:r>
          </w:p>
        </w:tc>
        <w:tc>
          <w:tcPr>
            <w:tcW w:w="630" w:type="dxa"/>
            <w:tcBorders>
              <w:top w:val="nil"/>
              <w:left w:val="nil"/>
              <w:bottom w:val="nil"/>
              <w:right w:val="nil"/>
            </w:tcBorders>
            <w:vAlign w:val="center"/>
          </w:tcPr>
          <w:p w14:paraId="4F4AB7A2"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1.11</w:t>
            </w:r>
          </w:p>
        </w:tc>
        <w:tc>
          <w:tcPr>
            <w:tcW w:w="778" w:type="dxa"/>
            <w:tcBorders>
              <w:top w:val="nil"/>
              <w:left w:val="nil"/>
              <w:bottom w:val="nil"/>
              <w:right w:val="nil"/>
            </w:tcBorders>
            <w:vAlign w:val="center"/>
          </w:tcPr>
          <w:p w14:paraId="007390D5"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.72**</w:t>
            </w:r>
          </w:p>
        </w:tc>
        <w:tc>
          <w:tcPr>
            <w:tcW w:w="821" w:type="dxa"/>
            <w:tcBorders>
              <w:top w:val="nil"/>
              <w:left w:val="nil"/>
              <w:bottom w:val="nil"/>
              <w:right w:val="nil"/>
            </w:tcBorders>
            <w:vAlign w:val="center"/>
          </w:tcPr>
          <w:p w14:paraId="6C87D9B9"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-.04</w:t>
            </w:r>
          </w:p>
        </w:tc>
        <w:tc>
          <w:tcPr>
            <w:tcW w:w="810" w:type="dxa"/>
            <w:tcBorders>
              <w:top w:val="nil"/>
              <w:left w:val="nil"/>
              <w:bottom w:val="nil"/>
              <w:right w:val="nil"/>
            </w:tcBorders>
            <w:vAlign w:val="center"/>
          </w:tcPr>
          <w:p w14:paraId="32B87DB4"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.38**</w:t>
            </w:r>
          </w:p>
        </w:tc>
        <w:tc>
          <w:tcPr>
            <w:tcW w:w="810" w:type="dxa"/>
            <w:tcBorders>
              <w:top w:val="nil"/>
              <w:left w:val="nil"/>
              <w:bottom w:val="nil"/>
              <w:right w:val="nil"/>
            </w:tcBorders>
            <w:vAlign w:val="center"/>
          </w:tcPr>
          <w:p w14:paraId="6ABB2C31"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810" w:type="dxa"/>
            <w:tcBorders>
              <w:top w:val="nil"/>
              <w:left w:val="nil"/>
              <w:bottom w:val="nil"/>
              <w:right w:val="nil"/>
            </w:tcBorders>
            <w:vAlign w:val="center"/>
          </w:tcPr>
          <w:p w14:paraId="299B50C8"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4676E199"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59B9755C"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3AD82EE7"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128C1DA7"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245A38F5"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3447C5B4"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407854CB"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r>
      <w:tr w:rsidR="00723107" w:rsidRPr="00DF32B6" w14:paraId="3B33C3D4" w14:textId="77777777" w:rsidTr="001B28D1">
        <w:tc>
          <w:tcPr>
            <w:tcW w:w="2610" w:type="dxa"/>
            <w:tcBorders>
              <w:top w:val="nil"/>
              <w:left w:val="nil"/>
              <w:bottom w:val="nil"/>
              <w:right w:val="nil"/>
            </w:tcBorders>
            <w:vAlign w:val="center"/>
          </w:tcPr>
          <w:p w14:paraId="08B698BA" w14:textId="77777777" w:rsidR="00723107" w:rsidRPr="006E135C" w:rsidRDefault="00723107" w:rsidP="001B28D1">
            <w:pPr>
              <w:widowControl w:val="0"/>
              <w:autoSpaceDE w:val="0"/>
              <w:autoSpaceDN w:val="0"/>
              <w:adjustRightInd w:val="0"/>
              <w:rPr>
                <w:sz w:val="16"/>
                <w:szCs w:val="16"/>
              </w:rPr>
            </w:pPr>
            <w:r w:rsidRPr="006E135C">
              <w:rPr>
                <w:sz w:val="16"/>
                <w:szCs w:val="16"/>
              </w:rPr>
              <w:t xml:space="preserve"> </w:t>
            </w:r>
          </w:p>
        </w:tc>
        <w:tc>
          <w:tcPr>
            <w:tcW w:w="900" w:type="dxa"/>
            <w:tcBorders>
              <w:top w:val="nil"/>
              <w:left w:val="nil"/>
              <w:bottom w:val="nil"/>
              <w:right w:val="nil"/>
            </w:tcBorders>
            <w:vAlign w:val="center"/>
          </w:tcPr>
          <w:p w14:paraId="600DBEFB"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630" w:type="dxa"/>
            <w:tcBorders>
              <w:top w:val="nil"/>
              <w:left w:val="nil"/>
              <w:bottom w:val="nil"/>
              <w:right w:val="nil"/>
            </w:tcBorders>
            <w:vAlign w:val="center"/>
          </w:tcPr>
          <w:p w14:paraId="0A6491DB"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630" w:type="dxa"/>
            <w:tcBorders>
              <w:top w:val="nil"/>
              <w:left w:val="nil"/>
              <w:bottom w:val="nil"/>
              <w:right w:val="nil"/>
            </w:tcBorders>
            <w:vAlign w:val="center"/>
          </w:tcPr>
          <w:p w14:paraId="4F3C3CE6"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54F92230"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[.67, .75]</w:t>
            </w:r>
          </w:p>
        </w:tc>
        <w:tc>
          <w:tcPr>
            <w:tcW w:w="821" w:type="dxa"/>
            <w:tcBorders>
              <w:top w:val="nil"/>
              <w:left w:val="nil"/>
              <w:bottom w:val="nil"/>
              <w:right w:val="nil"/>
            </w:tcBorders>
            <w:vAlign w:val="center"/>
          </w:tcPr>
          <w:p w14:paraId="74A17515"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[-.12, .04]</w:t>
            </w:r>
          </w:p>
        </w:tc>
        <w:tc>
          <w:tcPr>
            <w:tcW w:w="810" w:type="dxa"/>
            <w:tcBorders>
              <w:top w:val="nil"/>
              <w:left w:val="nil"/>
              <w:bottom w:val="nil"/>
              <w:right w:val="nil"/>
            </w:tcBorders>
            <w:vAlign w:val="center"/>
          </w:tcPr>
          <w:p w14:paraId="7115AB2D"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[.31, .45]</w:t>
            </w:r>
          </w:p>
        </w:tc>
        <w:tc>
          <w:tcPr>
            <w:tcW w:w="810" w:type="dxa"/>
            <w:tcBorders>
              <w:top w:val="nil"/>
              <w:left w:val="nil"/>
              <w:bottom w:val="nil"/>
              <w:right w:val="nil"/>
            </w:tcBorders>
            <w:vAlign w:val="center"/>
          </w:tcPr>
          <w:p w14:paraId="6754C39F"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810" w:type="dxa"/>
            <w:tcBorders>
              <w:top w:val="nil"/>
              <w:left w:val="nil"/>
              <w:bottom w:val="nil"/>
              <w:right w:val="nil"/>
            </w:tcBorders>
            <w:vAlign w:val="center"/>
          </w:tcPr>
          <w:p w14:paraId="39E1A8B8"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21125B49"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5844BB16"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5FCA2457"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68E10647"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1BBAC87B"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67A9E5BB"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7BDF28F9"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r>
      <w:tr w:rsidR="00723107" w:rsidRPr="00DF32B6" w14:paraId="7B5A3679" w14:textId="77777777" w:rsidTr="001B28D1">
        <w:tc>
          <w:tcPr>
            <w:tcW w:w="2610" w:type="dxa"/>
            <w:tcBorders>
              <w:top w:val="nil"/>
              <w:left w:val="nil"/>
              <w:bottom w:val="nil"/>
              <w:right w:val="nil"/>
            </w:tcBorders>
            <w:vAlign w:val="center"/>
          </w:tcPr>
          <w:p w14:paraId="4BEC8118" w14:textId="77777777" w:rsidR="00723107" w:rsidRPr="006E135C" w:rsidRDefault="00723107" w:rsidP="001B28D1">
            <w:pPr>
              <w:widowControl w:val="0"/>
              <w:autoSpaceDE w:val="0"/>
              <w:autoSpaceDN w:val="0"/>
              <w:adjustRightInd w:val="0"/>
              <w:rPr>
                <w:sz w:val="16"/>
                <w:szCs w:val="16"/>
              </w:rPr>
            </w:pPr>
            <w:r w:rsidRPr="006E135C">
              <w:rPr>
                <w:sz w:val="16"/>
                <w:szCs w:val="16"/>
              </w:rPr>
              <w:t>5. Negative affect toward Black people</w:t>
            </w:r>
          </w:p>
        </w:tc>
        <w:tc>
          <w:tcPr>
            <w:tcW w:w="900" w:type="dxa"/>
            <w:tcBorders>
              <w:top w:val="nil"/>
              <w:left w:val="nil"/>
              <w:bottom w:val="nil"/>
              <w:right w:val="nil"/>
            </w:tcBorders>
            <w:vAlign w:val="center"/>
          </w:tcPr>
          <w:p w14:paraId="4B2150D5"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Pr>
                <w:sz w:val="14"/>
                <w:szCs w:val="14"/>
              </w:rPr>
              <w:t>0 - 100</w:t>
            </w:r>
          </w:p>
        </w:tc>
        <w:tc>
          <w:tcPr>
            <w:tcW w:w="630" w:type="dxa"/>
            <w:tcBorders>
              <w:top w:val="nil"/>
              <w:left w:val="nil"/>
              <w:bottom w:val="nil"/>
              <w:right w:val="nil"/>
            </w:tcBorders>
            <w:vAlign w:val="center"/>
          </w:tcPr>
          <w:p w14:paraId="5826D06C"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30.35</w:t>
            </w:r>
          </w:p>
        </w:tc>
        <w:tc>
          <w:tcPr>
            <w:tcW w:w="630" w:type="dxa"/>
            <w:tcBorders>
              <w:top w:val="nil"/>
              <w:left w:val="nil"/>
              <w:bottom w:val="nil"/>
              <w:right w:val="nil"/>
            </w:tcBorders>
            <w:vAlign w:val="center"/>
          </w:tcPr>
          <w:p w14:paraId="64169F4A"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23.36</w:t>
            </w:r>
          </w:p>
        </w:tc>
        <w:tc>
          <w:tcPr>
            <w:tcW w:w="778" w:type="dxa"/>
            <w:tcBorders>
              <w:top w:val="nil"/>
              <w:left w:val="nil"/>
              <w:bottom w:val="nil"/>
              <w:right w:val="nil"/>
            </w:tcBorders>
            <w:vAlign w:val="center"/>
          </w:tcPr>
          <w:p w14:paraId="52E9D4D7"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.37**</w:t>
            </w:r>
          </w:p>
        </w:tc>
        <w:tc>
          <w:tcPr>
            <w:tcW w:w="821" w:type="dxa"/>
            <w:tcBorders>
              <w:top w:val="nil"/>
              <w:left w:val="nil"/>
              <w:bottom w:val="nil"/>
              <w:right w:val="nil"/>
            </w:tcBorders>
            <w:vAlign w:val="center"/>
          </w:tcPr>
          <w:p w14:paraId="6F9718B7"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-.06</w:t>
            </w:r>
          </w:p>
        </w:tc>
        <w:tc>
          <w:tcPr>
            <w:tcW w:w="810" w:type="dxa"/>
            <w:tcBorders>
              <w:top w:val="nil"/>
              <w:left w:val="nil"/>
              <w:bottom w:val="nil"/>
              <w:right w:val="nil"/>
            </w:tcBorders>
            <w:vAlign w:val="center"/>
          </w:tcPr>
          <w:p w14:paraId="129C11CE"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.79**</w:t>
            </w:r>
          </w:p>
        </w:tc>
        <w:tc>
          <w:tcPr>
            <w:tcW w:w="810" w:type="dxa"/>
            <w:tcBorders>
              <w:top w:val="nil"/>
              <w:left w:val="nil"/>
              <w:bottom w:val="nil"/>
              <w:right w:val="nil"/>
            </w:tcBorders>
            <w:vAlign w:val="center"/>
          </w:tcPr>
          <w:p w14:paraId="0863BFEA"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.50**</w:t>
            </w:r>
          </w:p>
        </w:tc>
        <w:tc>
          <w:tcPr>
            <w:tcW w:w="810" w:type="dxa"/>
            <w:tcBorders>
              <w:top w:val="nil"/>
              <w:left w:val="nil"/>
              <w:bottom w:val="nil"/>
              <w:right w:val="nil"/>
            </w:tcBorders>
            <w:vAlign w:val="center"/>
          </w:tcPr>
          <w:p w14:paraId="75C630B2"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4F4721D0"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76E8F9DB"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62C649D5"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6C0B5335"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09840880"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2946CDE0"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1C54C6C5"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r>
      <w:tr w:rsidR="00723107" w:rsidRPr="00DF32B6" w14:paraId="68655CDA" w14:textId="77777777" w:rsidTr="001B28D1">
        <w:tc>
          <w:tcPr>
            <w:tcW w:w="2610" w:type="dxa"/>
            <w:tcBorders>
              <w:top w:val="nil"/>
              <w:left w:val="nil"/>
              <w:bottom w:val="nil"/>
              <w:right w:val="nil"/>
            </w:tcBorders>
            <w:vAlign w:val="center"/>
          </w:tcPr>
          <w:p w14:paraId="4EE8C807" w14:textId="77777777" w:rsidR="00723107" w:rsidRPr="006E135C" w:rsidRDefault="00723107" w:rsidP="001B28D1">
            <w:pPr>
              <w:widowControl w:val="0"/>
              <w:autoSpaceDE w:val="0"/>
              <w:autoSpaceDN w:val="0"/>
              <w:adjustRightInd w:val="0"/>
              <w:rPr>
                <w:sz w:val="16"/>
                <w:szCs w:val="16"/>
              </w:rPr>
            </w:pPr>
            <w:r w:rsidRPr="006E135C">
              <w:rPr>
                <w:sz w:val="16"/>
                <w:szCs w:val="16"/>
              </w:rPr>
              <w:t xml:space="preserve"> </w:t>
            </w:r>
          </w:p>
        </w:tc>
        <w:tc>
          <w:tcPr>
            <w:tcW w:w="900" w:type="dxa"/>
            <w:tcBorders>
              <w:top w:val="nil"/>
              <w:left w:val="nil"/>
              <w:bottom w:val="nil"/>
              <w:right w:val="nil"/>
            </w:tcBorders>
            <w:vAlign w:val="center"/>
          </w:tcPr>
          <w:p w14:paraId="534E88FC"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630" w:type="dxa"/>
            <w:tcBorders>
              <w:top w:val="nil"/>
              <w:left w:val="nil"/>
              <w:bottom w:val="nil"/>
              <w:right w:val="nil"/>
            </w:tcBorders>
            <w:vAlign w:val="center"/>
          </w:tcPr>
          <w:p w14:paraId="06EA2097"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630" w:type="dxa"/>
            <w:tcBorders>
              <w:top w:val="nil"/>
              <w:left w:val="nil"/>
              <w:bottom w:val="nil"/>
              <w:right w:val="nil"/>
            </w:tcBorders>
            <w:vAlign w:val="center"/>
          </w:tcPr>
          <w:p w14:paraId="5EF0E9B1"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5B4204EA"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[.29, .43]</w:t>
            </w:r>
          </w:p>
        </w:tc>
        <w:tc>
          <w:tcPr>
            <w:tcW w:w="821" w:type="dxa"/>
            <w:tcBorders>
              <w:top w:val="nil"/>
              <w:left w:val="nil"/>
              <w:bottom w:val="nil"/>
              <w:right w:val="nil"/>
            </w:tcBorders>
            <w:vAlign w:val="center"/>
          </w:tcPr>
          <w:p w14:paraId="0EC36824"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[-.14, .02]</w:t>
            </w:r>
          </w:p>
        </w:tc>
        <w:tc>
          <w:tcPr>
            <w:tcW w:w="810" w:type="dxa"/>
            <w:tcBorders>
              <w:top w:val="nil"/>
              <w:left w:val="nil"/>
              <w:bottom w:val="nil"/>
              <w:right w:val="nil"/>
            </w:tcBorders>
            <w:vAlign w:val="center"/>
          </w:tcPr>
          <w:p w14:paraId="797EEC77"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[.76, .82]</w:t>
            </w:r>
          </w:p>
        </w:tc>
        <w:tc>
          <w:tcPr>
            <w:tcW w:w="810" w:type="dxa"/>
            <w:tcBorders>
              <w:top w:val="nil"/>
              <w:left w:val="nil"/>
              <w:bottom w:val="nil"/>
              <w:right w:val="nil"/>
            </w:tcBorders>
            <w:vAlign w:val="center"/>
          </w:tcPr>
          <w:p w14:paraId="154284B3"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[.44, .56]</w:t>
            </w:r>
          </w:p>
        </w:tc>
        <w:tc>
          <w:tcPr>
            <w:tcW w:w="810" w:type="dxa"/>
            <w:tcBorders>
              <w:top w:val="nil"/>
              <w:left w:val="nil"/>
              <w:bottom w:val="nil"/>
              <w:right w:val="nil"/>
            </w:tcBorders>
            <w:vAlign w:val="center"/>
          </w:tcPr>
          <w:p w14:paraId="33E9770F"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1E893E7D"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122EF231"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2E0DFECB"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69F4860A"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64C714BB"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447347BD"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1593F687"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r>
      <w:tr w:rsidR="00723107" w:rsidRPr="00DF32B6" w14:paraId="547C6EA0" w14:textId="77777777" w:rsidTr="001B28D1">
        <w:tc>
          <w:tcPr>
            <w:tcW w:w="2610" w:type="dxa"/>
            <w:tcBorders>
              <w:top w:val="nil"/>
              <w:left w:val="nil"/>
              <w:bottom w:val="nil"/>
              <w:right w:val="nil"/>
            </w:tcBorders>
            <w:vAlign w:val="center"/>
          </w:tcPr>
          <w:p w14:paraId="13A7FFCC" w14:textId="77777777" w:rsidR="00723107" w:rsidRPr="006E135C" w:rsidRDefault="00723107" w:rsidP="001B28D1">
            <w:pPr>
              <w:widowControl w:val="0"/>
              <w:autoSpaceDE w:val="0"/>
              <w:autoSpaceDN w:val="0"/>
              <w:adjustRightInd w:val="0"/>
              <w:rPr>
                <w:sz w:val="16"/>
                <w:szCs w:val="16"/>
              </w:rPr>
            </w:pPr>
            <w:r w:rsidRPr="006E135C">
              <w:rPr>
                <w:sz w:val="16"/>
                <w:szCs w:val="16"/>
              </w:rPr>
              <w:t>6. Actual COVID-19 intensity based on recorded deaths</w:t>
            </w:r>
          </w:p>
        </w:tc>
        <w:tc>
          <w:tcPr>
            <w:tcW w:w="900" w:type="dxa"/>
            <w:tcBorders>
              <w:top w:val="nil"/>
              <w:left w:val="nil"/>
              <w:bottom w:val="nil"/>
              <w:right w:val="nil"/>
            </w:tcBorders>
            <w:vAlign w:val="center"/>
          </w:tcPr>
          <w:p w14:paraId="2F0CFE77"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Pr>
                <w:sz w:val="14"/>
                <w:szCs w:val="14"/>
              </w:rPr>
              <w:t>0 – 10,056</w:t>
            </w:r>
          </w:p>
        </w:tc>
        <w:tc>
          <w:tcPr>
            <w:tcW w:w="630" w:type="dxa"/>
            <w:tcBorders>
              <w:top w:val="nil"/>
              <w:left w:val="nil"/>
              <w:bottom w:val="nil"/>
              <w:right w:val="nil"/>
            </w:tcBorders>
            <w:vAlign w:val="center"/>
          </w:tcPr>
          <w:p w14:paraId="208AEE67"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208.61</w:t>
            </w:r>
          </w:p>
        </w:tc>
        <w:tc>
          <w:tcPr>
            <w:tcW w:w="630" w:type="dxa"/>
            <w:tcBorders>
              <w:top w:val="nil"/>
              <w:left w:val="nil"/>
              <w:bottom w:val="nil"/>
              <w:right w:val="nil"/>
            </w:tcBorders>
            <w:vAlign w:val="center"/>
          </w:tcPr>
          <w:p w14:paraId="0CE8B0B9"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545.21</w:t>
            </w:r>
          </w:p>
        </w:tc>
        <w:tc>
          <w:tcPr>
            <w:tcW w:w="778" w:type="dxa"/>
            <w:tcBorders>
              <w:top w:val="nil"/>
              <w:left w:val="nil"/>
              <w:bottom w:val="nil"/>
              <w:right w:val="nil"/>
            </w:tcBorders>
            <w:vAlign w:val="center"/>
          </w:tcPr>
          <w:p w14:paraId="55D071BD"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-.03</w:t>
            </w:r>
          </w:p>
        </w:tc>
        <w:tc>
          <w:tcPr>
            <w:tcW w:w="821" w:type="dxa"/>
            <w:tcBorders>
              <w:top w:val="nil"/>
              <w:left w:val="nil"/>
              <w:bottom w:val="nil"/>
              <w:right w:val="nil"/>
            </w:tcBorders>
            <w:vAlign w:val="center"/>
          </w:tcPr>
          <w:p w14:paraId="38A832E8"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-.12**</w:t>
            </w:r>
          </w:p>
        </w:tc>
        <w:tc>
          <w:tcPr>
            <w:tcW w:w="810" w:type="dxa"/>
            <w:tcBorders>
              <w:top w:val="nil"/>
              <w:left w:val="nil"/>
              <w:bottom w:val="nil"/>
              <w:right w:val="nil"/>
            </w:tcBorders>
            <w:vAlign w:val="center"/>
          </w:tcPr>
          <w:p w14:paraId="27B5C08E"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.07</w:t>
            </w:r>
          </w:p>
        </w:tc>
        <w:tc>
          <w:tcPr>
            <w:tcW w:w="810" w:type="dxa"/>
            <w:tcBorders>
              <w:top w:val="nil"/>
              <w:left w:val="nil"/>
              <w:bottom w:val="nil"/>
              <w:right w:val="nil"/>
            </w:tcBorders>
            <w:vAlign w:val="center"/>
          </w:tcPr>
          <w:p w14:paraId="02A8CC00"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-.00</w:t>
            </w:r>
          </w:p>
        </w:tc>
        <w:tc>
          <w:tcPr>
            <w:tcW w:w="810" w:type="dxa"/>
            <w:tcBorders>
              <w:top w:val="nil"/>
              <w:left w:val="nil"/>
              <w:bottom w:val="nil"/>
              <w:right w:val="nil"/>
            </w:tcBorders>
            <w:vAlign w:val="center"/>
          </w:tcPr>
          <w:p w14:paraId="20A6C942"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.08</w:t>
            </w:r>
          </w:p>
        </w:tc>
        <w:tc>
          <w:tcPr>
            <w:tcW w:w="763" w:type="dxa"/>
            <w:tcBorders>
              <w:top w:val="nil"/>
              <w:left w:val="nil"/>
              <w:bottom w:val="nil"/>
              <w:right w:val="nil"/>
            </w:tcBorders>
            <w:vAlign w:val="center"/>
          </w:tcPr>
          <w:p w14:paraId="3983B7BB"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0D2C47BF"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76C91073"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1A88F01C"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12701E0B"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723D447D"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33796DF7"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r>
      <w:tr w:rsidR="00723107" w:rsidRPr="00DF32B6" w14:paraId="06DC8948" w14:textId="77777777" w:rsidTr="001B28D1">
        <w:tc>
          <w:tcPr>
            <w:tcW w:w="2610" w:type="dxa"/>
            <w:tcBorders>
              <w:top w:val="nil"/>
              <w:left w:val="nil"/>
              <w:bottom w:val="nil"/>
              <w:right w:val="nil"/>
            </w:tcBorders>
            <w:vAlign w:val="center"/>
          </w:tcPr>
          <w:p w14:paraId="44ACDE6B" w14:textId="77777777" w:rsidR="00723107" w:rsidRPr="006E135C" w:rsidRDefault="00723107" w:rsidP="001B28D1">
            <w:pPr>
              <w:widowControl w:val="0"/>
              <w:autoSpaceDE w:val="0"/>
              <w:autoSpaceDN w:val="0"/>
              <w:adjustRightInd w:val="0"/>
              <w:rPr>
                <w:sz w:val="16"/>
                <w:szCs w:val="16"/>
              </w:rPr>
            </w:pPr>
          </w:p>
        </w:tc>
        <w:tc>
          <w:tcPr>
            <w:tcW w:w="900" w:type="dxa"/>
            <w:tcBorders>
              <w:top w:val="nil"/>
              <w:left w:val="nil"/>
              <w:bottom w:val="nil"/>
              <w:right w:val="nil"/>
            </w:tcBorders>
            <w:vAlign w:val="center"/>
          </w:tcPr>
          <w:p w14:paraId="36DD9719"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630" w:type="dxa"/>
            <w:tcBorders>
              <w:top w:val="nil"/>
              <w:left w:val="nil"/>
              <w:bottom w:val="nil"/>
              <w:right w:val="nil"/>
            </w:tcBorders>
            <w:vAlign w:val="center"/>
          </w:tcPr>
          <w:p w14:paraId="6DFA66F5"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630" w:type="dxa"/>
            <w:tcBorders>
              <w:top w:val="nil"/>
              <w:left w:val="nil"/>
              <w:bottom w:val="nil"/>
              <w:right w:val="nil"/>
            </w:tcBorders>
            <w:vAlign w:val="center"/>
          </w:tcPr>
          <w:p w14:paraId="3A4CACC8"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2A8D3E2A"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[-.11, .06]</w:t>
            </w:r>
          </w:p>
        </w:tc>
        <w:tc>
          <w:tcPr>
            <w:tcW w:w="821" w:type="dxa"/>
            <w:tcBorders>
              <w:top w:val="nil"/>
              <w:left w:val="nil"/>
              <w:bottom w:val="nil"/>
              <w:right w:val="nil"/>
            </w:tcBorders>
            <w:vAlign w:val="center"/>
          </w:tcPr>
          <w:p w14:paraId="07968C01"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[-.20, -.04]</w:t>
            </w:r>
          </w:p>
        </w:tc>
        <w:tc>
          <w:tcPr>
            <w:tcW w:w="810" w:type="dxa"/>
            <w:tcBorders>
              <w:top w:val="nil"/>
              <w:left w:val="nil"/>
              <w:bottom w:val="nil"/>
              <w:right w:val="nil"/>
            </w:tcBorders>
            <w:vAlign w:val="center"/>
          </w:tcPr>
          <w:p w14:paraId="3585C56D"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[-.01, .15]</w:t>
            </w:r>
          </w:p>
        </w:tc>
        <w:tc>
          <w:tcPr>
            <w:tcW w:w="810" w:type="dxa"/>
            <w:tcBorders>
              <w:top w:val="nil"/>
              <w:left w:val="nil"/>
              <w:bottom w:val="nil"/>
              <w:right w:val="nil"/>
            </w:tcBorders>
            <w:vAlign w:val="center"/>
          </w:tcPr>
          <w:p w14:paraId="67F3AFE0"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[-.08, .08]</w:t>
            </w:r>
          </w:p>
        </w:tc>
        <w:tc>
          <w:tcPr>
            <w:tcW w:w="810" w:type="dxa"/>
            <w:tcBorders>
              <w:top w:val="nil"/>
              <w:left w:val="nil"/>
              <w:bottom w:val="nil"/>
              <w:right w:val="nil"/>
            </w:tcBorders>
            <w:vAlign w:val="center"/>
          </w:tcPr>
          <w:p w14:paraId="0AAF16F2"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[-.01, .16]</w:t>
            </w:r>
          </w:p>
        </w:tc>
        <w:tc>
          <w:tcPr>
            <w:tcW w:w="763" w:type="dxa"/>
            <w:tcBorders>
              <w:top w:val="nil"/>
              <w:left w:val="nil"/>
              <w:bottom w:val="nil"/>
              <w:right w:val="nil"/>
            </w:tcBorders>
            <w:vAlign w:val="center"/>
          </w:tcPr>
          <w:p w14:paraId="7A0FEAF9"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4FB640FA"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1DE78DAA"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57327A3D"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46885AF0"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78158ECA"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6E13C0E8"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r>
      <w:tr w:rsidR="00723107" w:rsidRPr="00DF32B6" w14:paraId="29862A0D" w14:textId="77777777" w:rsidTr="001B28D1">
        <w:tc>
          <w:tcPr>
            <w:tcW w:w="2610" w:type="dxa"/>
            <w:tcBorders>
              <w:top w:val="nil"/>
              <w:left w:val="nil"/>
              <w:bottom w:val="nil"/>
              <w:right w:val="nil"/>
            </w:tcBorders>
            <w:vAlign w:val="center"/>
          </w:tcPr>
          <w:p w14:paraId="558B5284" w14:textId="77777777" w:rsidR="00723107" w:rsidRPr="006E135C" w:rsidRDefault="00723107" w:rsidP="001B28D1">
            <w:pPr>
              <w:widowControl w:val="0"/>
              <w:autoSpaceDE w:val="0"/>
              <w:autoSpaceDN w:val="0"/>
              <w:adjustRightInd w:val="0"/>
              <w:rPr>
                <w:sz w:val="16"/>
                <w:szCs w:val="16"/>
              </w:rPr>
            </w:pPr>
            <w:r w:rsidRPr="006E135C">
              <w:rPr>
                <w:sz w:val="16"/>
                <w:szCs w:val="16"/>
              </w:rPr>
              <w:t>7. Perceived COVID-19 intensity based on participant-estimated deaths</w:t>
            </w:r>
          </w:p>
        </w:tc>
        <w:tc>
          <w:tcPr>
            <w:tcW w:w="900" w:type="dxa"/>
            <w:tcBorders>
              <w:top w:val="nil"/>
              <w:left w:val="nil"/>
              <w:bottom w:val="nil"/>
              <w:right w:val="nil"/>
            </w:tcBorders>
            <w:vAlign w:val="center"/>
          </w:tcPr>
          <w:p w14:paraId="5CE9771B"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Pr>
                <w:sz w:val="14"/>
                <w:szCs w:val="14"/>
              </w:rPr>
              <w:t>0 – 30,000</w:t>
            </w:r>
          </w:p>
        </w:tc>
        <w:tc>
          <w:tcPr>
            <w:tcW w:w="630" w:type="dxa"/>
            <w:tcBorders>
              <w:top w:val="nil"/>
              <w:left w:val="nil"/>
              <w:bottom w:val="nil"/>
              <w:right w:val="nil"/>
            </w:tcBorders>
            <w:vAlign w:val="center"/>
          </w:tcPr>
          <w:p w14:paraId="038B28E5"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387.11</w:t>
            </w:r>
          </w:p>
        </w:tc>
        <w:tc>
          <w:tcPr>
            <w:tcW w:w="630" w:type="dxa"/>
            <w:tcBorders>
              <w:top w:val="nil"/>
              <w:left w:val="nil"/>
              <w:bottom w:val="nil"/>
              <w:right w:val="nil"/>
            </w:tcBorders>
            <w:vAlign w:val="center"/>
          </w:tcPr>
          <w:p w14:paraId="0CAC83C1"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1571.9</w:t>
            </w:r>
          </w:p>
        </w:tc>
        <w:tc>
          <w:tcPr>
            <w:tcW w:w="778" w:type="dxa"/>
            <w:tcBorders>
              <w:top w:val="nil"/>
              <w:left w:val="nil"/>
              <w:bottom w:val="nil"/>
              <w:right w:val="nil"/>
            </w:tcBorders>
            <w:vAlign w:val="center"/>
          </w:tcPr>
          <w:p w14:paraId="51473D2F"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.12**</w:t>
            </w:r>
          </w:p>
        </w:tc>
        <w:tc>
          <w:tcPr>
            <w:tcW w:w="821" w:type="dxa"/>
            <w:tcBorders>
              <w:top w:val="nil"/>
              <w:left w:val="nil"/>
              <w:bottom w:val="nil"/>
              <w:right w:val="nil"/>
            </w:tcBorders>
            <w:vAlign w:val="center"/>
          </w:tcPr>
          <w:p w14:paraId="35030526"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-.05</w:t>
            </w:r>
          </w:p>
        </w:tc>
        <w:tc>
          <w:tcPr>
            <w:tcW w:w="810" w:type="dxa"/>
            <w:tcBorders>
              <w:top w:val="nil"/>
              <w:left w:val="nil"/>
              <w:bottom w:val="nil"/>
              <w:right w:val="nil"/>
            </w:tcBorders>
            <w:vAlign w:val="center"/>
          </w:tcPr>
          <w:p w14:paraId="4FE94ACF"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.07</w:t>
            </w:r>
          </w:p>
        </w:tc>
        <w:tc>
          <w:tcPr>
            <w:tcW w:w="810" w:type="dxa"/>
            <w:tcBorders>
              <w:top w:val="nil"/>
              <w:left w:val="nil"/>
              <w:bottom w:val="nil"/>
              <w:right w:val="nil"/>
            </w:tcBorders>
            <w:vAlign w:val="center"/>
          </w:tcPr>
          <w:p w14:paraId="43E7D665"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.09*</w:t>
            </w:r>
          </w:p>
        </w:tc>
        <w:tc>
          <w:tcPr>
            <w:tcW w:w="810" w:type="dxa"/>
            <w:tcBorders>
              <w:top w:val="nil"/>
              <w:left w:val="nil"/>
              <w:bottom w:val="nil"/>
              <w:right w:val="nil"/>
            </w:tcBorders>
            <w:vAlign w:val="center"/>
          </w:tcPr>
          <w:p w14:paraId="3018A973"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.03</w:t>
            </w:r>
          </w:p>
        </w:tc>
        <w:tc>
          <w:tcPr>
            <w:tcW w:w="763" w:type="dxa"/>
            <w:tcBorders>
              <w:top w:val="nil"/>
              <w:left w:val="nil"/>
              <w:bottom w:val="nil"/>
              <w:right w:val="nil"/>
            </w:tcBorders>
            <w:vAlign w:val="center"/>
          </w:tcPr>
          <w:p w14:paraId="3D296291"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.33**</w:t>
            </w:r>
          </w:p>
        </w:tc>
        <w:tc>
          <w:tcPr>
            <w:tcW w:w="778" w:type="dxa"/>
            <w:tcBorders>
              <w:top w:val="nil"/>
              <w:left w:val="nil"/>
              <w:bottom w:val="nil"/>
              <w:right w:val="nil"/>
            </w:tcBorders>
            <w:vAlign w:val="center"/>
          </w:tcPr>
          <w:p w14:paraId="77B71A95"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4683B207"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45517F99"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6298EE3E"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1FF89C50"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1F917019"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r>
      <w:tr w:rsidR="00723107" w:rsidRPr="00DF32B6" w14:paraId="4DBDF197" w14:textId="77777777" w:rsidTr="001B28D1">
        <w:tc>
          <w:tcPr>
            <w:tcW w:w="2610" w:type="dxa"/>
            <w:tcBorders>
              <w:top w:val="nil"/>
              <w:left w:val="nil"/>
              <w:bottom w:val="nil"/>
              <w:right w:val="nil"/>
            </w:tcBorders>
            <w:vAlign w:val="center"/>
          </w:tcPr>
          <w:p w14:paraId="1B080CB1" w14:textId="77777777" w:rsidR="00723107" w:rsidRPr="006E135C" w:rsidRDefault="00723107" w:rsidP="001B28D1">
            <w:pPr>
              <w:widowControl w:val="0"/>
              <w:autoSpaceDE w:val="0"/>
              <w:autoSpaceDN w:val="0"/>
              <w:adjustRightInd w:val="0"/>
              <w:rPr>
                <w:sz w:val="16"/>
                <w:szCs w:val="16"/>
              </w:rPr>
            </w:pPr>
          </w:p>
        </w:tc>
        <w:tc>
          <w:tcPr>
            <w:tcW w:w="900" w:type="dxa"/>
            <w:tcBorders>
              <w:top w:val="nil"/>
              <w:left w:val="nil"/>
              <w:bottom w:val="nil"/>
              <w:right w:val="nil"/>
            </w:tcBorders>
            <w:vAlign w:val="center"/>
          </w:tcPr>
          <w:p w14:paraId="1EDB9F38"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630" w:type="dxa"/>
            <w:tcBorders>
              <w:top w:val="nil"/>
              <w:left w:val="nil"/>
              <w:bottom w:val="nil"/>
              <w:right w:val="nil"/>
            </w:tcBorders>
            <w:vAlign w:val="center"/>
          </w:tcPr>
          <w:p w14:paraId="6A77F4AB"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630" w:type="dxa"/>
            <w:tcBorders>
              <w:top w:val="nil"/>
              <w:left w:val="nil"/>
              <w:bottom w:val="nil"/>
              <w:right w:val="nil"/>
            </w:tcBorders>
            <w:vAlign w:val="center"/>
          </w:tcPr>
          <w:p w14:paraId="16F22F59"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640F1A09"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[.04, .20]</w:t>
            </w:r>
          </w:p>
        </w:tc>
        <w:tc>
          <w:tcPr>
            <w:tcW w:w="821" w:type="dxa"/>
            <w:tcBorders>
              <w:top w:val="nil"/>
              <w:left w:val="nil"/>
              <w:bottom w:val="nil"/>
              <w:right w:val="nil"/>
            </w:tcBorders>
            <w:vAlign w:val="center"/>
          </w:tcPr>
          <w:p w14:paraId="3266A7A8"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[-.14, .03]</w:t>
            </w:r>
          </w:p>
        </w:tc>
        <w:tc>
          <w:tcPr>
            <w:tcW w:w="810" w:type="dxa"/>
            <w:tcBorders>
              <w:top w:val="nil"/>
              <w:left w:val="nil"/>
              <w:bottom w:val="nil"/>
              <w:right w:val="nil"/>
            </w:tcBorders>
            <w:vAlign w:val="center"/>
          </w:tcPr>
          <w:p w14:paraId="273AB073"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[-.01, .15]</w:t>
            </w:r>
          </w:p>
        </w:tc>
        <w:tc>
          <w:tcPr>
            <w:tcW w:w="810" w:type="dxa"/>
            <w:tcBorders>
              <w:top w:val="nil"/>
              <w:left w:val="nil"/>
              <w:bottom w:val="nil"/>
              <w:right w:val="nil"/>
            </w:tcBorders>
            <w:vAlign w:val="center"/>
          </w:tcPr>
          <w:p w14:paraId="118FEC25"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[.00, .17]</w:t>
            </w:r>
          </w:p>
        </w:tc>
        <w:tc>
          <w:tcPr>
            <w:tcW w:w="810" w:type="dxa"/>
            <w:tcBorders>
              <w:top w:val="nil"/>
              <w:left w:val="nil"/>
              <w:bottom w:val="nil"/>
              <w:right w:val="nil"/>
            </w:tcBorders>
            <w:vAlign w:val="center"/>
          </w:tcPr>
          <w:p w14:paraId="5962FC0A"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[-.05, .11]</w:t>
            </w:r>
          </w:p>
        </w:tc>
        <w:tc>
          <w:tcPr>
            <w:tcW w:w="763" w:type="dxa"/>
            <w:tcBorders>
              <w:top w:val="nil"/>
              <w:left w:val="nil"/>
              <w:bottom w:val="nil"/>
              <w:right w:val="nil"/>
            </w:tcBorders>
            <w:vAlign w:val="center"/>
          </w:tcPr>
          <w:p w14:paraId="456BF91A"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[.25, .40]</w:t>
            </w:r>
          </w:p>
        </w:tc>
        <w:tc>
          <w:tcPr>
            <w:tcW w:w="778" w:type="dxa"/>
            <w:tcBorders>
              <w:top w:val="nil"/>
              <w:left w:val="nil"/>
              <w:bottom w:val="nil"/>
              <w:right w:val="nil"/>
            </w:tcBorders>
            <w:vAlign w:val="center"/>
          </w:tcPr>
          <w:p w14:paraId="5A4042BF"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6E4D6D3B"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2B645417"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42FAC04F"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28B07B41"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15753D50"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r>
      <w:tr w:rsidR="00723107" w:rsidRPr="00DF32B6" w14:paraId="179037BB" w14:textId="77777777" w:rsidTr="001B28D1">
        <w:tc>
          <w:tcPr>
            <w:tcW w:w="2610" w:type="dxa"/>
            <w:tcBorders>
              <w:top w:val="nil"/>
              <w:left w:val="nil"/>
              <w:bottom w:val="nil"/>
              <w:right w:val="nil"/>
            </w:tcBorders>
            <w:vAlign w:val="center"/>
          </w:tcPr>
          <w:p w14:paraId="0AEA0B4B" w14:textId="77777777" w:rsidR="00723107" w:rsidRPr="006E135C" w:rsidRDefault="00723107" w:rsidP="001B28D1">
            <w:pPr>
              <w:widowControl w:val="0"/>
              <w:autoSpaceDE w:val="0"/>
              <w:autoSpaceDN w:val="0"/>
              <w:adjustRightInd w:val="0"/>
              <w:rPr>
                <w:sz w:val="16"/>
                <w:szCs w:val="16"/>
              </w:rPr>
            </w:pPr>
            <w:r w:rsidRPr="006E135C">
              <w:rPr>
                <w:sz w:val="16"/>
                <w:szCs w:val="16"/>
              </w:rPr>
              <w:t>8. Actual COVID-19 intensity based on recorded cases</w:t>
            </w:r>
          </w:p>
        </w:tc>
        <w:tc>
          <w:tcPr>
            <w:tcW w:w="900" w:type="dxa"/>
            <w:tcBorders>
              <w:top w:val="nil"/>
              <w:left w:val="nil"/>
              <w:bottom w:val="nil"/>
              <w:right w:val="nil"/>
            </w:tcBorders>
            <w:vAlign w:val="center"/>
          </w:tcPr>
          <w:p w14:paraId="4FC00321"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Pr>
                <w:sz w:val="14"/>
                <w:szCs w:val="14"/>
              </w:rPr>
              <w:t>14 –195,031</w:t>
            </w:r>
          </w:p>
        </w:tc>
        <w:tc>
          <w:tcPr>
            <w:tcW w:w="630" w:type="dxa"/>
            <w:tcBorders>
              <w:top w:val="nil"/>
              <w:left w:val="nil"/>
              <w:bottom w:val="nil"/>
              <w:right w:val="nil"/>
            </w:tcBorders>
            <w:vAlign w:val="center"/>
          </w:tcPr>
          <w:p w14:paraId="1444DC63"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7656.</w:t>
            </w:r>
            <w:r>
              <w:rPr>
                <w:sz w:val="14"/>
                <w:szCs w:val="14"/>
              </w:rPr>
              <w:t>7</w:t>
            </w:r>
          </w:p>
        </w:tc>
        <w:tc>
          <w:tcPr>
            <w:tcW w:w="630" w:type="dxa"/>
            <w:tcBorders>
              <w:top w:val="nil"/>
              <w:left w:val="nil"/>
              <w:bottom w:val="nil"/>
              <w:right w:val="nil"/>
            </w:tcBorders>
            <w:vAlign w:val="center"/>
          </w:tcPr>
          <w:p w14:paraId="30C77BD0"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1416</w:t>
            </w:r>
            <w:r>
              <w:rPr>
                <w:sz w:val="14"/>
                <w:szCs w:val="14"/>
              </w:rPr>
              <w:t>1</w:t>
            </w:r>
          </w:p>
        </w:tc>
        <w:tc>
          <w:tcPr>
            <w:tcW w:w="778" w:type="dxa"/>
            <w:tcBorders>
              <w:top w:val="nil"/>
              <w:left w:val="nil"/>
              <w:bottom w:val="nil"/>
              <w:right w:val="nil"/>
            </w:tcBorders>
            <w:vAlign w:val="center"/>
          </w:tcPr>
          <w:p w14:paraId="6FE596BA"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-.01</w:t>
            </w:r>
          </w:p>
        </w:tc>
        <w:tc>
          <w:tcPr>
            <w:tcW w:w="821" w:type="dxa"/>
            <w:tcBorders>
              <w:top w:val="nil"/>
              <w:left w:val="nil"/>
              <w:bottom w:val="nil"/>
              <w:right w:val="nil"/>
            </w:tcBorders>
            <w:vAlign w:val="center"/>
          </w:tcPr>
          <w:p w14:paraId="55D4584D"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-.09*</w:t>
            </w:r>
          </w:p>
        </w:tc>
        <w:tc>
          <w:tcPr>
            <w:tcW w:w="810" w:type="dxa"/>
            <w:tcBorders>
              <w:top w:val="nil"/>
              <w:left w:val="nil"/>
              <w:bottom w:val="nil"/>
              <w:right w:val="nil"/>
            </w:tcBorders>
            <w:vAlign w:val="center"/>
          </w:tcPr>
          <w:p w14:paraId="4E4C7031"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.10*</w:t>
            </w:r>
          </w:p>
        </w:tc>
        <w:tc>
          <w:tcPr>
            <w:tcW w:w="810" w:type="dxa"/>
            <w:tcBorders>
              <w:top w:val="nil"/>
              <w:left w:val="nil"/>
              <w:bottom w:val="nil"/>
              <w:right w:val="nil"/>
            </w:tcBorders>
            <w:vAlign w:val="center"/>
          </w:tcPr>
          <w:p w14:paraId="6578E90E"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.01</w:t>
            </w:r>
          </w:p>
        </w:tc>
        <w:tc>
          <w:tcPr>
            <w:tcW w:w="810" w:type="dxa"/>
            <w:tcBorders>
              <w:top w:val="nil"/>
              <w:left w:val="nil"/>
              <w:bottom w:val="nil"/>
              <w:right w:val="nil"/>
            </w:tcBorders>
            <w:vAlign w:val="center"/>
          </w:tcPr>
          <w:p w14:paraId="6A91B572"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.09*</w:t>
            </w:r>
          </w:p>
        </w:tc>
        <w:tc>
          <w:tcPr>
            <w:tcW w:w="763" w:type="dxa"/>
            <w:tcBorders>
              <w:top w:val="nil"/>
              <w:left w:val="nil"/>
              <w:bottom w:val="nil"/>
              <w:right w:val="nil"/>
            </w:tcBorders>
            <w:vAlign w:val="center"/>
          </w:tcPr>
          <w:p w14:paraId="72EABDD0"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.92**</w:t>
            </w:r>
          </w:p>
        </w:tc>
        <w:tc>
          <w:tcPr>
            <w:tcW w:w="778" w:type="dxa"/>
            <w:tcBorders>
              <w:top w:val="nil"/>
              <w:left w:val="nil"/>
              <w:bottom w:val="nil"/>
              <w:right w:val="nil"/>
            </w:tcBorders>
            <w:vAlign w:val="center"/>
          </w:tcPr>
          <w:p w14:paraId="3280C7E1"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.30**</w:t>
            </w:r>
          </w:p>
        </w:tc>
        <w:tc>
          <w:tcPr>
            <w:tcW w:w="778" w:type="dxa"/>
            <w:tcBorders>
              <w:top w:val="nil"/>
              <w:left w:val="nil"/>
              <w:bottom w:val="nil"/>
              <w:right w:val="nil"/>
            </w:tcBorders>
            <w:vAlign w:val="center"/>
          </w:tcPr>
          <w:p w14:paraId="1180CB32"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15000972"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3D770A72"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1AD87B74"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7E04C1EA"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r>
      <w:tr w:rsidR="00723107" w:rsidRPr="00DF32B6" w14:paraId="4A90BC6E" w14:textId="77777777" w:rsidTr="001B28D1">
        <w:tc>
          <w:tcPr>
            <w:tcW w:w="2610" w:type="dxa"/>
            <w:tcBorders>
              <w:top w:val="nil"/>
              <w:left w:val="nil"/>
              <w:bottom w:val="nil"/>
              <w:right w:val="nil"/>
            </w:tcBorders>
            <w:vAlign w:val="center"/>
          </w:tcPr>
          <w:p w14:paraId="12B6AF05" w14:textId="77777777" w:rsidR="00723107" w:rsidRPr="006E135C" w:rsidRDefault="00723107" w:rsidP="001B28D1">
            <w:pPr>
              <w:widowControl w:val="0"/>
              <w:autoSpaceDE w:val="0"/>
              <w:autoSpaceDN w:val="0"/>
              <w:adjustRightInd w:val="0"/>
              <w:rPr>
                <w:sz w:val="16"/>
                <w:szCs w:val="16"/>
              </w:rPr>
            </w:pPr>
          </w:p>
        </w:tc>
        <w:tc>
          <w:tcPr>
            <w:tcW w:w="900" w:type="dxa"/>
            <w:tcBorders>
              <w:top w:val="nil"/>
              <w:left w:val="nil"/>
              <w:bottom w:val="nil"/>
              <w:right w:val="nil"/>
            </w:tcBorders>
            <w:vAlign w:val="center"/>
          </w:tcPr>
          <w:p w14:paraId="0564FB22"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630" w:type="dxa"/>
            <w:tcBorders>
              <w:top w:val="nil"/>
              <w:left w:val="nil"/>
              <w:bottom w:val="nil"/>
              <w:right w:val="nil"/>
            </w:tcBorders>
            <w:vAlign w:val="center"/>
          </w:tcPr>
          <w:p w14:paraId="0E02F031"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630" w:type="dxa"/>
            <w:tcBorders>
              <w:top w:val="nil"/>
              <w:left w:val="nil"/>
              <w:bottom w:val="nil"/>
              <w:right w:val="nil"/>
            </w:tcBorders>
            <w:vAlign w:val="center"/>
          </w:tcPr>
          <w:p w14:paraId="21C53B0E"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267744DB"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[-.09, .07]</w:t>
            </w:r>
          </w:p>
        </w:tc>
        <w:tc>
          <w:tcPr>
            <w:tcW w:w="821" w:type="dxa"/>
            <w:tcBorders>
              <w:top w:val="nil"/>
              <w:left w:val="nil"/>
              <w:bottom w:val="nil"/>
              <w:right w:val="nil"/>
            </w:tcBorders>
            <w:vAlign w:val="center"/>
          </w:tcPr>
          <w:p w14:paraId="489944F3"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[-.17, -.01]</w:t>
            </w:r>
          </w:p>
        </w:tc>
        <w:tc>
          <w:tcPr>
            <w:tcW w:w="810" w:type="dxa"/>
            <w:tcBorders>
              <w:top w:val="nil"/>
              <w:left w:val="nil"/>
              <w:bottom w:val="nil"/>
              <w:right w:val="nil"/>
            </w:tcBorders>
            <w:vAlign w:val="center"/>
          </w:tcPr>
          <w:p w14:paraId="3AF6EB61"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[.02, .18]</w:t>
            </w:r>
          </w:p>
        </w:tc>
        <w:tc>
          <w:tcPr>
            <w:tcW w:w="810" w:type="dxa"/>
            <w:tcBorders>
              <w:top w:val="nil"/>
              <w:left w:val="nil"/>
              <w:bottom w:val="nil"/>
              <w:right w:val="nil"/>
            </w:tcBorders>
            <w:vAlign w:val="center"/>
          </w:tcPr>
          <w:p w14:paraId="2DB0BE8F"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[-.07, .09]</w:t>
            </w:r>
          </w:p>
        </w:tc>
        <w:tc>
          <w:tcPr>
            <w:tcW w:w="810" w:type="dxa"/>
            <w:tcBorders>
              <w:top w:val="nil"/>
              <w:left w:val="nil"/>
              <w:bottom w:val="nil"/>
              <w:right w:val="nil"/>
            </w:tcBorders>
            <w:vAlign w:val="center"/>
          </w:tcPr>
          <w:p w14:paraId="708B3103"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[.01, .17]</w:t>
            </w:r>
          </w:p>
        </w:tc>
        <w:tc>
          <w:tcPr>
            <w:tcW w:w="763" w:type="dxa"/>
            <w:tcBorders>
              <w:top w:val="nil"/>
              <w:left w:val="nil"/>
              <w:bottom w:val="nil"/>
              <w:right w:val="nil"/>
            </w:tcBorders>
            <w:vAlign w:val="center"/>
          </w:tcPr>
          <w:p w14:paraId="26E441B8"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[.91, .93]</w:t>
            </w:r>
          </w:p>
        </w:tc>
        <w:tc>
          <w:tcPr>
            <w:tcW w:w="778" w:type="dxa"/>
            <w:tcBorders>
              <w:top w:val="nil"/>
              <w:left w:val="nil"/>
              <w:bottom w:val="nil"/>
              <w:right w:val="nil"/>
            </w:tcBorders>
            <w:vAlign w:val="center"/>
          </w:tcPr>
          <w:p w14:paraId="1DB9EC9D"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[.22, .37]</w:t>
            </w:r>
          </w:p>
        </w:tc>
        <w:tc>
          <w:tcPr>
            <w:tcW w:w="778" w:type="dxa"/>
            <w:tcBorders>
              <w:top w:val="nil"/>
              <w:left w:val="nil"/>
              <w:bottom w:val="nil"/>
              <w:right w:val="nil"/>
            </w:tcBorders>
            <w:vAlign w:val="center"/>
          </w:tcPr>
          <w:p w14:paraId="00B7026E"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07E4DCB4"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71F39558"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28B53FE7"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4C614494"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r>
      <w:tr w:rsidR="00723107" w:rsidRPr="00DF32B6" w14:paraId="3261E2AB" w14:textId="77777777" w:rsidTr="001B28D1">
        <w:tc>
          <w:tcPr>
            <w:tcW w:w="2610" w:type="dxa"/>
            <w:tcBorders>
              <w:top w:val="nil"/>
              <w:left w:val="nil"/>
              <w:bottom w:val="nil"/>
              <w:right w:val="nil"/>
            </w:tcBorders>
            <w:vAlign w:val="center"/>
          </w:tcPr>
          <w:p w14:paraId="2D99998F" w14:textId="77777777" w:rsidR="00723107" w:rsidRPr="006E135C" w:rsidRDefault="00723107" w:rsidP="001B28D1">
            <w:pPr>
              <w:widowControl w:val="0"/>
              <w:autoSpaceDE w:val="0"/>
              <w:autoSpaceDN w:val="0"/>
              <w:adjustRightInd w:val="0"/>
              <w:rPr>
                <w:sz w:val="16"/>
                <w:szCs w:val="16"/>
              </w:rPr>
            </w:pPr>
            <w:r w:rsidRPr="006E135C">
              <w:rPr>
                <w:sz w:val="16"/>
                <w:szCs w:val="16"/>
              </w:rPr>
              <w:t xml:space="preserve">9. Perceived COVID-19 </w:t>
            </w:r>
            <w:proofErr w:type="gramStart"/>
            <w:r w:rsidRPr="006E135C">
              <w:rPr>
                <w:sz w:val="16"/>
                <w:szCs w:val="16"/>
              </w:rPr>
              <w:t>intensity based</w:t>
            </w:r>
            <w:proofErr w:type="gramEnd"/>
            <w:r w:rsidRPr="006E135C">
              <w:rPr>
                <w:sz w:val="16"/>
                <w:szCs w:val="16"/>
              </w:rPr>
              <w:t xml:space="preserve"> participant-estimated cases </w:t>
            </w:r>
          </w:p>
        </w:tc>
        <w:tc>
          <w:tcPr>
            <w:tcW w:w="900" w:type="dxa"/>
            <w:tcBorders>
              <w:top w:val="nil"/>
              <w:left w:val="nil"/>
              <w:bottom w:val="nil"/>
              <w:right w:val="nil"/>
            </w:tcBorders>
            <w:vAlign w:val="center"/>
          </w:tcPr>
          <w:p w14:paraId="78A4D55E"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Pr>
                <w:sz w:val="14"/>
                <w:szCs w:val="14"/>
              </w:rPr>
              <w:t>5 – 200,000</w:t>
            </w:r>
          </w:p>
        </w:tc>
        <w:tc>
          <w:tcPr>
            <w:tcW w:w="630" w:type="dxa"/>
            <w:tcBorders>
              <w:top w:val="nil"/>
              <w:left w:val="nil"/>
              <w:bottom w:val="nil"/>
              <w:right w:val="nil"/>
            </w:tcBorders>
            <w:vAlign w:val="center"/>
          </w:tcPr>
          <w:p w14:paraId="669A6FDB"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8320.7</w:t>
            </w:r>
          </w:p>
        </w:tc>
        <w:tc>
          <w:tcPr>
            <w:tcW w:w="630" w:type="dxa"/>
            <w:tcBorders>
              <w:top w:val="nil"/>
              <w:left w:val="nil"/>
              <w:bottom w:val="nil"/>
              <w:right w:val="nil"/>
            </w:tcBorders>
            <w:vAlign w:val="center"/>
          </w:tcPr>
          <w:p w14:paraId="4DC21660"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18659</w:t>
            </w:r>
          </w:p>
        </w:tc>
        <w:tc>
          <w:tcPr>
            <w:tcW w:w="778" w:type="dxa"/>
            <w:tcBorders>
              <w:top w:val="nil"/>
              <w:left w:val="nil"/>
              <w:bottom w:val="nil"/>
              <w:right w:val="nil"/>
            </w:tcBorders>
            <w:vAlign w:val="center"/>
          </w:tcPr>
          <w:p w14:paraId="29E13758"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.08</w:t>
            </w:r>
          </w:p>
        </w:tc>
        <w:tc>
          <w:tcPr>
            <w:tcW w:w="821" w:type="dxa"/>
            <w:tcBorders>
              <w:top w:val="nil"/>
              <w:left w:val="nil"/>
              <w:bottom w:val="nil"/>
              <w:right w:val="nil"/>
            </w:tcBorders>
            <w:vAlign w:val="center"/>
          </w:tcPr>
          <w:p w14:paraId="4014F5F9"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-.04</w:t>
            </w:r>
          </w:p>
        </w:tc>
        <w:tc>
          <w:tcPr>
            <w:tcW w:w="810" w:type="dxa"/>
            <w:tcBorders>
              <w:top w:val="nil"/>
              <w:left w:val="nil"/>
              <w:bottom w:val="nil"/>
              <w:right w:val="nil"/>
            </w:tcBorders>
            <w:vAlign w:val="center"/>
          </w:tcPr>
          <w:p w14:paraId="7F2D2479"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.07</w:t>
            </w:r>
          </w:p>
        </w:tc>
        <w:tc>
          <w:tcPr>
            <w:tcW w:w="810" w:type="dxa"/>
            <w:tcBorders>
              <w:top w:val="nil"/>
              <w:left w:val="nil"/>
              <w:bottom w:val="nil"/>
              <w:right w:val="nil"/>
            </w:tcBorders>
            <w:vAlign w:val="center"/>
          </w:tcPr>
          <w:p w14:paraId="01DD400E"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.08</w:t>
            </w:r>
          </w:p>
        </w:tc>
        <w:tc>
          <w:tcPr>
            <w:tcW w:w="810" w:type="dxa"/>
            <w:tcBorders>
              <w:top w:val="nil"/>
              <w:left w:val="nil"/>
              <w:bottom w:val="nil"/>
              <w:right w:val="nil"/>
            </w:tcBorders>
            <w:vAlign w:val="center"/>
          </w:tcPr>
          <w:p w14:paraId="1FEF0393"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.05</w:t>
            </w:r>
          </w:p>
        </w:tc>
        <w:tc>
          <w:tcPr>
            <w:tcW w:w="763" w:type="dxa"/>
            <w:tcBorders>
              <w:top w:val="nil"/>
              <w:left w:val="nil"/>
              <w:bottom w:val="nil"/>
              <w:right w:val="nil"/>
            </w:tcBorders>
            <w:vAlign w:val="center"/>
          </w:tcPr>
          <w:p w14:paraId="2F68D182"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.45**</w:t>
            </w:r>
          </w:p>
        </w:tc>
        <w:tc>
          <w:tcPr>
            <w:tcW w:w="778" w:type="dxa"/>
            <w:tcBorders>
              <w:top w:val="nil"/>
              <w:left w:val="nil"/>
              <w:bottom w:val="nil"/>
              <w:right w:val="nil"/>
            </w:tcBorders>
            <w:vAlign w:val="center"/>
          </w:tcPr>
          <w:p w14:paraId="633A2E0F"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.41**</w:t>
            </w:r>
          </w:p>
        </w:tc>
        <w:tc>
          <w:tcPr>
            <w:tcW w:w="778" w:type="dxa"/>
            <w:tcBorders>
              <w:top w:val="nil"/>
              <w:left w:val="nil"/>
              <w:bottom w:val="nil"/>
              <w:right w:val="nil"/>
            </w:tcBorders>
            <w:vAlign w:val="center"/>
          </w:tcPr>
          <w:p w14:paraId="4A05DA61"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.48**</w:t>
            </w:r>
          </w:p>
        </w:tc>
        <w:tc>
          <w:tcPr>
            <w:tcW w:w="778" w:type="dxa"/>
            <w:tcBorders>
              <w:top w:val="nil"/>
              <w:left w:val="nil"/>
              <w:bottom w:val="nil"/>
              <w:right w:val="nil"/>
            </w:tcBorders>
            <w:vAlign w:val="center"/>
          </w:tcPr>
          <w:p w14:paraId="5D97886A"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195927CC"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0C58760F"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38B5D2B9"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r>
      <w:tr w:rsidR="00723107" w:rsidRPr="00DF32B6" w14:paraId="579F2E62" w14:textId="77777777" w:rsidTr="001B28D1">
        <w:tc>
          <w:tcPr>
            <w:tcW w:w="2610" w:type="dxa"/>
            <w:tcBorders>
              <w:top w:val="nil"/>
              <w:left w:val="nil"/>
              <w:bottom w:val="nil"/>
              <w:right w:val="nil"/>
            </w:tcBorders>
            <w:vAlign w:val="center"/>
          </w:tcPr>
          <w:p w14:paraId="70417D54" w14:textId="77777777" w:rsidR="00723107" w:rsidRPr="006E135C" w:rsidRDefault="00723107" w:rsidP="001B28D1">
            <w:pPr>
              <w:widowControl w:val="0"/>
              <w:autoSpaceDE w:val="0"/>
              <w:autoSpaceDN w:val="0"/>
              <w:adjustRightInd w:val="0"/>
              <w:rPr>
                <w:sz w:val="16"/>
                <w:szCs w:val="16"/>
              </w:rPr>
            </w:pPr>
          </w:p>
        </w:tc>
        <w:tc>
          <w:tcPr>
            <w:tcW w:w="900" w:type="dxa"/>
            <w:tcBorders>
              <w:top w:val="nil"/>
              <w:left w:val="nil"/>
              <w:bottom w:val="nil"/>
              <w:right w:val="nil"/>
            </w:tcBorders>
            <w:vAlign w:val="center"/>
          </w:tcPr>
          <w:p w14:paraId="1B71FD19"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630" w:type="dxa"/>
            <w:tcBorders>
              <w:top w:val="nil"/>
              <w:left w:val="nil"/>
              <w:bottom w:val="nil"/>
              <w:right w:val="nil"/>
            </w:tcBorders>
            <w:vAlign w:val="center"/>
          </w:tcPr>
          <w:p w14:paraId="7F076C0A"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630" w:type="dxa"/>
            <w:tcBorders>
              <w:top w:val="nil"/>
              <w:left w:val="nil"/>
              <w:bottom w:val="nil"/>
              <w:right w:val="nil"/>
            </w:tcBorders>
            <w:vAlign w:val="center"/>
          </w:tcPr>
          <w:p w14:paraId="5AC8B22B"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6068033F"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[-.00, .16]</w:t>
            </w:r>
          </w:p>
        </w:tc>
        <w:tc>
          <w:tcPr>
            <w:tcW w:w="821" w:type="dxa"/>
            <w:tcBorders>
              <w:top w:val="nil"/>
              <w:left w:val="nil"/>
              <w:bottom w:val="nil"/>
              <w:right w:val="nil"/>
            </w:tcBorders>
            <w:vAlign w:val="center"/>
          </w:tcPr>
          <w:p w14:paraId="115169BF"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[-.12, .04]</w:t>
            </w:r>
          </w:p>
        </w:tc>
        <w:tc>
          <w:tcPr>
            <w:tcW w:w="810" w:type="dxa"/>
            <w:tcBorders>
              <w:top w:val="nil"/>
              <w:left w:val="nil"/>
              <w:bottom w:val="nil"/>
              <w:right w:val="nil"/>
            </w:tcBorders>
            <w:vAlign w:val="center"/>
          </w:tcPr>
          <w:p w14:paraId="7B528067"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[-.01, .15]</w:t>
            </w:r>
          </w:p>
        </w:tc>
        <w:tc>
          <w:tcPr>
            <w:tcW w:w="810" w:type="dxa"/>
            <w:tcBorders>
              <w:top w:val="nil"/>
              <w:left w:val="nil"/>
              <w:bottom w:val="nil"/>
              <w:right w:val="nil"/>
            </w:tcBorders>
            <w:vAlign w:val="center"/>
          </w:tcPr>
          <w:p w14:paraId="2714DC37"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[-.00, .16]</w:t>
            </w:r>
          </w:p>
        </w:tc>
        <w:tc>
          <w:tcPr>
            <w:tcW w:w="810" w:type="dxa"/>
            <w:tcBorders>
              <w:top w:val="nil"/>
              <w:left w:val="nil"/>
              <w:bottom w:val="nil"/>
              <w:right w:val="nil"/>
            </w:tcBorders>
            <w:vAlign w:val="center"/>
          </w:tcPr>
          <w:p w14:paraId="6650F9ED"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[-.03, .13]</w:t>
            </w:r>
          </w:p>
        </w:tc>
        <w:tc>
          <w:tcPr>
            <w:tcW w:w="763" w:type="dxa"/>
            <w:tcBorders>
              <w:top w:val="nil"/>
              <w:left w:val="nil"/>
              <w:bottom w:val="nil"/>
              <w:right w:val="nil"/>
            </w:tcBorders>
            <w:vAlign w:val="center"/>
          </w:tcPr>
          <w:p w14:paraId="4B90F208"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[.38, .51]</w:t>
            </w:r>
          </w:p>
        </w:tc>
        <w:tc>
          <w:tcPr>
            <w:tcW w:w="778" w:type="dxa"/>
            <w:tcBorders>
              <w:top w:val="nil"/>
              <w:left w:val="nil"/>
              <w:bottom w:val="nil"/>
              <w:right w:val="nil"/>
            </w:tcBorders>
            <w:vAlign w:val="center"/>
          </w:tcPr>
          <w:p w14:paraId="12A1FD31"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[.34, .47]</w:t>
            </w:r>
          </w:p>
        </w:tc>
        <w:tc>
          <w:tcPr>
            <w:tcW w:w="778" w:type="dxa"/>
            <w:tcBorders>
              <w:top w:val="nil"/>
              <w:left w:val="nil"/>
              <w:bottom w:val="nil"/>
              <w:right w:val="nil"/>
            </w:tcBorders>
            <w:vAlign w:val="center"/>
          </w:tcPr>
          <w:p w14:paraId="6B7B03EF"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[.42, .54]</w:t>
            </w:r>
          </w:p>
        </w:tc>
        <w:tc>
          <w:tcPr>
            <w:tcW w:w="778" w:type="dxa"/>
            <w:tcBorders>
              <w:top w:val="nil"/>
              <w:left w:val="nil"/>
              <w:bottom w:val="nil"/>
              <w:right w:val="nil"/>
            </w:tcBorders>
            <w:vAlign w:val="center"/>
          </w:tcPr>
          <w:p w14:paraId="6952DE6F"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2B2C36D8"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5A40D33C"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03F48BAD"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r>
      <w:tr w:rsidR="00723107" w:rsidRPr="00DF32B6" w14:paraId="2D1FB6ED" w14:textId="77777777" w:rsidTr="001B28D1">
        <w:tc>
          <w:tcPr>
            <w:tcW w:w="2610" w:type="dxa"/>
            <w:tcBorders>
              <w:top w:val="nil"/>
              <w:left w:val="nil"/>
              <w:bottom w:val="nil"/>
              <w:right w:val="nil"/>
            </w:tcBorders>
            <w:vAlign w:val="center"/>
          </w:tcPr>
          <w:p w14:paraId="10C34AD5" w14:textId="77777777" w:rsidR="00723107" w:rsidRPr="006E135C" w:rsidRDefault="00723107" w:rsidP="001B28D1">
            <w:pPr>
              <w:widowControl w:val="0"/>
              <w:autoSpaceDE w:val="0"/>
              <w:autoSpaceDN w:val="0"/>
              <w:adjustRightInd w:val="0"/>
              <w:rPr>
                <w:sz w:val="16"/>
                <w:szCs w:val="16"/>
              </w:rPr>
            </w:pPr>
            <w:r w:rsidRPr="006E135C">
              <w:rPr>
                <w:sz w:val="16"/>
                <w:szCs w:val="16"/>
              </w:rPr>
              <w:t>10. Contact with Asian people</w:t>
            </w:r>
          </w:p>
        </w:tc>
        <w:tc>
          <w:tcPr>
            <w:tcW w:w="900" w:type="dxa"/>
            <w:tcBorders>
              <w:top w:val="nil"/>
              <w:left w:val="nil"/>
              <w:bottom w:val="nil"/>
              <w:right w:val="nil"/>
            </w:tcBorders>
            <w:vAlign w:val="center"/>
          </w:tcPr>
          <w:p w14:paraId="2F1A9011"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Pr>
                <w:sz w:val="14"/>
                <w:szCs w:val="14"/>
              </w:rPr>
              <w:t>0 - 20</w:t>
            </w:r>
          </w:p>
        </w:tc>
        <w:tc>
          <w:tcPr>
            <w:tcW w:w="630" w:type="dxa"/>
            <w:tcBorders>
              <w:top w:val="nil"/>
              <w:left w:val="nil"/>
              <w:bottom w:val="nil"/>
              <w:right w:val="nil"/>
            </w:tcBorders>
            <w:vAlign w:val="center"/>
          </w:tcPr>
          <w:p w14:paraId="2915A8FB"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5.35</w:t>
            </w:r>
          </w:p>
        </w:tc>
        <w:tc>
          <w:tcPr>
            <w:tcW w:w="630" w:type="dxa"/>
            <w:tcBorders>
              <w:top w:val="nil"/>
              <w:left w:val="nil"/>
              <w:bottom w:val="nil"/>
              <w:right w:val="nil"/>
            </w:tcBorders>
            <w:vAlign w:val="center"/>
          </w:tcPr>
          <w:p w14:paraId="3F005FA1"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4.88</w:t>
            </w:r>
          </w:p>
        </w:tc>
        <w:tc>
          <w:tcPr>
            <w:tcW w:w="778" w:type="dxa"/>
            <w:tcBorders>
              <w:top w:val="nil"/>
              <w:left w:val="nil"/>
              <w:bottom w:val="nil"/>
              <w:right w:val="nil"/>
            </w:tcBorders>
            <w:vAlign w:val="center"/>
          </w:tcPr>
          <w:p w14:paraId="0C61710B"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-.04</w:t>
            </w:r>
          </w:p>
        </w:tc>
        <w:tc>
          <w:tcPr>
            <w:tcW w:w="821" w:type="dxa"/>
            <w:tcBorders>
              <w:top w:val="nil"/>
              <w:left w:val="nil"/>
              <w:bottom w:val="nil"/>
              <w:right w:val="nil"/>
            </w:tcBorders>
            <w:vAlign w:val="center"/>
          </w:tcPr>
          <w:p w14:paraId="113A6666"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-.08</w:t>
            </w:r>
          </w:p>
        </w:tc>
        <w:tc>
          <w:tcPr>
            <w:tcW w:w="810" w:type="dxa"/>
            <w:tcBorders>
              <w:top w:val="nil"/>
              <w:left w:val="nil"/>
              <w:bottom w:val="nil"/>
              <w:right w:val="nil"/>
            </w:tcBorders>
            <w:vAlign w:val="center"/>
          </w:tcPr>
          <w:p w14:paraId="087721C3"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-.13**</w:t>
            </w:r>
          </w:p>
        </w:tc>
        <w:tc>
          <w:tcPr>
            <w:tcW w:w="810" w:type="dxa"/>
            <w:tcBorders>
              <w:top w:val="nil"/>
              <w:left w:val="nil"/>
              <w:bottom w:val="nil"/>
              <w:right w:val="nil"/>
            </w:tcBorders>
            <w:vAlign w:val="center"/>
          </w:tcPr>
          <w:p w14:paraId="5D56ECFC"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.04</w:t>
            </w:r>
          </w:p>
        </w:tc>
        <w:tc>
          <w:tcPr>
            <w:tcW w:w="810" w:type="dxa"/>
            <w:tcBorders>
              <w:top w:val="nil"/>
              <w:left w:val="nil"/>
              <w:bottom w:val="nil"/>
              <w:right w:val="nil"/>
            </w:tcBorders>
            <w:vAlign w:val="center"/>
          </w:tcPr>
          <w:p w14:paraId="6ACE73C2"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-.10*</w:t>
            </w:r>
          </w:p>
        </w:tc>
        <w:tc>
          <w:tcPr>
            <w:tcW w:w="763" w:type="dxa"/>
            <w:tcBorders>
              <w:top w:val="nil"/>
              <w:left w:val="nil"/>
              <w:bottom w:val="nil"/>
              <w:right w:val="nil"/>
            </w:tcBorders>
            <w:vAlign w:val="center"/>
          </w:tcPr>
          <w:p w14:paraId="0D3BCF1E"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.08</w:t>
            </w:r>
          </w:p>
        </w:tc>
        <w:tc>
          <w:tcPr>
            <w:tcW w:w="778" w:type="dxa"/>
            <w:tcBorders>
              <w:top w:val="nil"/>
              <w:left w:val="nil"/>
              <w:bottom w:val="nil"/>
              <w:right w:val="nil"/>
            </w:tcBorders>
            <w:vAlign w:val="center"/>
          </w:tcPr>
          <w:p w14:paraId="4A856C44"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.10*</w:t>
            </w:r>
          </w:p>
        </w:tc>
        <w:tc>
          <w:tcPr>
            <w:tcW w:w="778" w:type="dxa"/>
            <w:tcBorders>
              <w:top w:val="nil"/>
              <w:left w:val="nil"/>
              <w:bottom w:val="nil"/>
              <w:right w:val="nil"/>
            </w:tcBorders>
            <w:vAlign w:val="center"/>
          </w:tcPr>
          <w:p w14:paraId="7B9759A5"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.06</w:t>
            </w:r>
          </w:p>
        </w:tc>
        <w:tc>
          <w:tcPr>
            <w:tcW w:w="778" w:type="dxa"/>
            <w:tcBorders>
              <w:top w:val="nil"/>
              <w:left w:val="nil"/>
              <w:bottom w:val="nil"/>
              <w:right w:val="nil"/>
            </w:tcBorders>
            <w:vAlign w:val="center"/>
          </w:tcPr>
          <w:p w14:paraId="78571330"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.09*</w:t>
            </w:r>
          </w:p>
        </w:tc>
        <w:tc>
          <w:tcPr>
            <w:tcW w:w="778" w:type="dxa"/>
            <w:tcBorders>
              <w:top w:val="nil"/>
              <w:left w:val="nil"/>
              <w:bottom w:val="nil"/>
              <w:right w:val="nil"/>
            </w:tcBorders>
            <w:vAlign w:val="center"/>
          </w:tcPr>
          <w:p w14:paraId="3F880934"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60D5F7F7"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0B96A409"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r>
      <w:tr w:rsidR="00723107" w:rsidRPr="00DF32B6" w14:paraId="5B3F3B04" w14:textId="77777777" w:rsidTr="001B28D1">
        <w:tc>
          <w:tcPr>
            <w:tcW w:w="2610" w:type="dxa"/>
            <w:tcBorders>
              <w:top w:val="nil"/>
              <w:left w:val="nil"/>
              <w:bottom w:val="nil"/>
              <w:right w:val="nil"/>
            </w:tcBorders>
            <w:vAlign w:val="center"/>
          </w:tcPr>
          <w:p w14:paraId="34B96AC7" w14:textId="77777777" w:rsidR="00723107" w:rsidRPr="006E135C" w:rsidRDefault="00723107" w:rsidP="001B28D1">
            <w:pPr>
              <w:widowControl w:val="0"/>
              <w:autoSpaceDE w:val="0"/>
              <w:autoSpaceDN w:val="0"/>
              <w:adjustRightInd w:val="0"/>
              <w:rPr>
                <w:sz w:val="16"/>
                <w:szCs w:val="16"/>
              </w:rPr>
            </w:pPr>
          </w:p>
        </w:tc>
        <w:tc>
          <w:tcPr>
            <w:tcW w:w="900" w:type="dxa"/>
            <w:tcBorders>
              <w:top w:val="nil"/>
              <w:left w:val="nil"/>
              <w:bottom w:val="nil"/>
              <w:right w:val="nil"/>
            </w:tcBorders>
            <w:vAlign w:val="center"/>
          </w:tcPr>
          <w:p w14:paraId="4842357A"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630" w:type="dxa"/>
            <w:tcBorders>
              <w:top w:val="nil"/>
              <w:left w:val="nil"/>
              <w:bottom w:val="nil"/>
              <w:right w:val="nil"/>
            </w:tcBorders>
            <w:vAlign w:val="center"/>
          </w:tcPr>
          <w:p w14:paraId="2F0A535A"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630" w:type="dxa"/>
            <w:tcBorders>
              <w:top w:val="nil"/>
              <w:left w:val="nil"/>
              <w:bottom w:val="nil"/>
              <w:right w:val="nil"/>
            </w:tcBorders>
            <w:vAlign w:val="center"/>
          </w:tcPr>
          <w:p w14:paraId="3A2C68DB"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54BF6622"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[-.12, .04]</w:t>
            </w:r>
          </w:p>
        </w:tc>
        <w:tc>
          <w:tcPr>
            <w:tcW w:w="821" w:type="dxa"/>
            <w:tcBorders>
              <w:top w:val="nil"/>
              <w:left w:val="nil"/>
              <w:bottom w:val="nil"/>
              <w:right w:val="nil"/>
            </w:tcBorders>
            <w:vAlign w:val="center"/>
          </w:tcPr>
          <w:p w14:paraId="4DBE189E"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[-.16, .00]</w:t>
            </w:r>
          </w:p>
        </w:tc>
        <w:tc>
          <w:tcPr>
            <w:tcW w:w="810" w:type="dxa"/>
            <w:tcBorders>
              <w:top w:val="nil"/>
              <w:left w:val="nil"/>
              <w:bottom w:val="nil"/>
              <w:right w:val="nil"/>
            </w:tcBorders>
            <w:vAlign w:val="center"/>
          </w:tcPr>
          <w:p w14:paraId="10C33F51"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[-.21, -.05]</w:t>
            </w:r>
          </w:p>
        </w:tc>
        <w:tc>
          <w:tcPr>
            <w:tcW w:w="810" w:type="dxa"/>
            <w:tcBorders>
              <w:top w:val="nil"/>
              <w:left w:val="nil"/>
              <w:bottom w:val="nil"/>
              <w:right w:val="nil"/>
            </w:tcBorders>
            <w:vAlign w:val="center"/>
          </w:tcPr>
          <w:p w14:paraId="2D60B8B4"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[-.04, .12]</w:t>
            </w:r>
          </w:p>
        </w:tc>
        <w:tc>
          <w:tcPr>
            <w:tcW w:w="810" w:type="dxa"/>
            <w:tcBorders>
              <w:top w:val="nil"/>
              <w:left w:val="nil"/>
              <w:bottom w:val="nil"/>
              <w:right w:val="nil"/>
            </w:tcBorders>
            <w:vAlign w:val="center"/>
          </w:tcPr>
          <w:p w14:paraId="729AA6A8"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[-.17, -.01]</w:t>
            </w:r>
          </w:p>
        </w:tc>
        <w:tc>
          <w:tcPr>
            <w:tcW w:w="763" w:type="dxa"/>
            <w:tcBorders>
              <w:top w:val="nil"/>
              <w:left w:val="nil"/>
              <w:bottom w:val="nil"/>
              <w:right w:val="nil"/>
            </w:tcBorders>
            <w:vAlign w:val="center"/>
          </w:tcPr>
          <w:p w14:paraId="31F86FFF"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[-.00, .16]</w:t>
            </w:r>
          </w:p>
        </w:tc>
        <w:tc>
          <w:tcPr>
            <w:tcW w:w="778" w:type="dxa"/>
            <w:tcBorders>
              <w:top w:val="nil"/>
              <w:left w:val="nil"/>
              <w:bottom w:val="nil"/>
              <w:right w:val="nil"/>
            </w:tcBorders>
            <w:vAlign w:val="center"/>
          </w:tcPr>
          <w:p w14:paraId="22ED51F2"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[.02, .18]</w:t>
            </w:r>
          </w:p>
        </w:tc>
        <w:tc>
          <w:tcPr>
            <w:tcW w:w="778" w:type="dxa"/>
            <w:tcBorders>
              <w:top w:val="nil"/>
              <w:left w:val="nil"/>
              <w:bottom w:val="nil"/>
              <w:right w:val="nil"/>
            </w:tcBorders>
            <w:vAlign w:val="center"/>
          </w:tcPr>
          <w:p w14:paraId="056D6F42"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[-.02, .14]</w:t>
            </w:r>
          </w:p>
        </w:tc>
        <w:tc>
          <w:tcPr>
            <w:tcW w:w="778" w:type="dxa"/>
            <w:tcBorders>
              <w:top w:val="nil"/>
              <w:left w:val="nil"/>
              <w:bottom w:val="nil"/>
              <w:right w:val="nil"/>
            </w:tcBorders>
            <w:vAlign w:val="center"/>
          </w:tcPr>
          <w:p w14:paraId="5251EF3F"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[.01, .17]</w:t>
            </w:r>
          </w:p>
        </w:tc>
        <w:tc>
          <w:tcPr>
            <w:tcW w:w="778" w:type="dxa"/>
            <w:tcBorders>
              <w:top w:val="nil"/>
              <w:left w:val="nil"/>
              <w:bottom w:val="nil"/>
              <w:right w:val="nil"/>
            </w:tcBorders>
            <w:vAlign w:val="center"/>
          </w:tcPr>
          <w:p w14:paraId="2C542D8A"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3463BEF5"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71A17CD7"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r>
      <w:tr w:rsidR="00723107" w:rsidRPr="00DF32B6" w14:paraId="07C2BDFB" w14:textId="77777777" w:rsidTr="001B28D1">
        <w:tc>
          <w:tcPr>
            <w:tcW w:w="2610" w:type="dxa"/>
            <w:tcBorders>
              <w:top w:val="nil"/>
              <w:left w:val="nil"/>
              <w:bottom w:val="nil"/>
              <w:right w:val="nil"/>
            </w:tcBorders>
            <w:vAlign w:val="center"/>
          </w:tcPr>
          <w:p w14:paraId="23C7EC7C" w14:textId="77777777" w:rsidR="00723107" w:rsidRPr="006E135C" w:rsidRDefault="00723107" w:rsidP="001B28D1">
            <w:pPr>
              <w:widowControl w:val="0"/>
              <w:autoSpaceDE w:val="0"/>
              <w:autoSpaceDN w:val="0"/>
              <w:adjustRightInd w:val="0"/>
              <w:rPr>
                <w:sz w:val="16"/>
                <w:szCs w:val="16"/>
              </w:rPr>
            </w:pPr>
            <w:r w:rsidRPr="006E135C">
              <w:rPr>
                <w:sz w:val="16"/>
                <w:szCs w:val="16"/>
              </w:rPr>
              <w:t>11. Asian neighborhood proportion</w:t>
            </w:r>
          </w:p>
        </w:tc>
        <w:tc>
          <w:tcPr>
            <w:tcW w:w="900" w:type="dxa"/>
            <w:tcBorders>
              <w:top w:val="nil"/>
              <w:left w:val="nil"/>
              <w:bottom w:val="nil"/>
              <w:right w:val="nil"/>
            </w:tcBorders>
            <w:vAlign w:val="center"/>
          </w:tcPr>
          <w:p w14:paraId="47C81754"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Pr>
                <w:sz w:val="14"/>
                <w:szCs w:val="14"/>
              </w:rPr>
              <w:t>0 – 0.80</w:t>
            </w:r>
          </w:p>
        </w:tc>
        <w:tc>
          <w:tcPr>
            <w:tcW w:w="630" w:type="dxa"/>
            <w:tcBorders>
              <w:top w:val="nil"/>
              <w:left w:val="nil"/>
              <w:bottom w:val="nil"/>
              <w:right w:val="nil"/>
            </w:tcBorders>
            <w:vAlign w:val="center"/>
          </w:tcPr>
          <w:p w14:paraId="6233D9E4"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0.07</w:t>
            </w:r>
          </w:p>
        </w:tc>
        <w:tc>
          <w:tcPr>
            <w:tcW w:w="630" w:type="dxa"/>
            <w:tcBorders>
              <w:top w:val="nil"/>
              <w:left w:val="nil"/>
              <w:bottom w:val="nil"/>
              <w:right w:val="nil"/>
            </w:tcBorders>
            <w:vAlign w:val="center"/>
          </w:tcPr>
          <w:p w14:paraId="7A3ADAA3"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0.10</w:t>
            </w:r>
          </w:p>
        </w:tc>
        <w:tc>
          <w:tcPr>
            <w:tcW w:w="778" w:type="dxa"/>
            <w:tcBorders>
              <w:top w:val="nil"/>
              <w:left w:val="nil"/>
              <w:bottom w:val="nil"/>
              <w:right w:val="nil"/>
            </w:tcBorders>
            <w:vAlign w:val="center"/>
          </w:tcPr>
          <w:p w14:paraId="3EE2A51D"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.06</w:t>
            </w:r>
          </w:p>
        </w:tc>
        <w:tc>
          <w:tcPr>
            <w:tcW w:w="821" w:type="dxa"/>
            <w:tcBorders>
              <w:top w:val="nil"/>
              <w:left w:val="nil"/>
              <w:bottom w:val="nil"/>
              <w:right w:val="nil"/>
            </w:tcBorders>
            <w:vAlign w:val="center"/>
          </w:tcPr>
          <w:p w14:paraId="17E513CB"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-.02</w:t>
            </w:r>
          </w:p>
        </w:tc>
        <w:tc>
          <w:tcPr>
            <w:tcW w:w="810" w:type="dxa"/>
            <w:tcBorders>
              <w:top w:val="nil"/>
              <w:left w:val="nil"/>
              <w:bottom w:val="nil"/>
              <w:right w:val="nil"/>
            </w:tcBorders>
            <w:vAlign w:val="center"/>
          </w:tcPr>
          <w:p w14:paraId="4A350672"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.04</w:t>
            </w:r>
          </w:p>
        </w:tc>
        <w:tc>
          <w:tcPr>
            <w:tcW w:w="810" w:type="dxa"/>
            <w:tcBorders>
              <w:top w:val="nil"/>
              <w:left w:val="nil"/>
              <w:bottom w:val="nil"/>
              <w:right w:val="nil"/>
            </w:tcBorders>
            <w:vAlign w:val="center"/>
          </w:tcPr>
          <w:p w14:paraId="6F4529FD"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.09*</w:t>
            </w:r>
          </w:p>
        </w:tc>
        <w:tc>
          <w:tcPr>
            <w:tcW w:w="810" w:type="dxa"/>
            <w:tcBorders>
              <w:top w:val="nil"/>
              <w:left w:val="nil"/>
              <w:bottom w:val="nil"/>
              <w:right w:val="nil"/>
            </w:tcBorders>
            <w:vAlign w:val="center"/>
          </w:tcPr>
          <w:p w14:paraId="4B68C24D"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.05</w:t>
            </w:r>
          </w:p>
        </w:tc>
        <w:tc>
          <w:tcPr>
            <w:tcW w:w="763" w:type="dxa"/>
            <w:tcBorders>
              <w:top w:val="nil"/>
              <w:left w:val="nil"/>
              <w:bottom w:val="nil"/>
              <w:right w:val="nil"/>
            </w:tcBorders>
            <w:vAlign w:val="center"/>
          </w:tcPr>
          <w:p w14:paraId="0CF2D353"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.08*</w:t>
            </w:r>
          </w:p>
        </w:tc>
        <w:tc>
          <w:tcPr>
            <w:tcW w:w="778" w:type="dxa"/>
            <w:tcBorders>
              <w:top w:val="nil"/>
              <w:left w:val="nil"/>
              <w:bottom w:val="nil"/>
              <w:right w:val="nil"/>
            </w:tcBorders>
            <w:vAlign w:val="center"/>
          </w:tcPr>
          <w:p w14:paraId="5AA1D857"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.12**</w:t>
            </w:r>
          </w:p>
        </w:tc>
        <w:tc>
          <w:tcPr>
            <w:tcW w:w="778" w:type="dxa"/>
            <w:tcBorders>
              <w:top w:val="nil"/>
              <w:left w:val="nil"/>
              <w:bottom w:val="nil"/>
              <w:right w:val="nil"/>
            </w:tcBorders>
            <w:vAlign w:val="center"/>
          </w:tcPr>
          <w:p w14:paraId="0DF55C7F"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.13**</w:t>
            </w:r>
          </w:p>
        </w:tc>
        <w:tc>
          <w:tcPr>
            <w:tcW w:w="778" w:type="dxa"/>
            <w:tcBorders>
              <w:top w:val="nil"/>
              <w:left w:val="nil"/>
              <w:bottom w:val="nil"/>
              <w:right w:val="nil"/>
            </w:tcBorders>
            <w:vAlign w:val="center"/>
          </w:tcPr>
          <w:p w14:paraId="18EA3447"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.15**</w:t>
            </w:r>
          </w:p>
        </w:tc>
        <w:tc>
          <w:tcPr>
            <w:tcW w:w="778" w:type="dxa"/>
            <w:tcBorders>
              <w:top w:val="nil"/>
              <w:left w:val="nil"/>
              <w:bottom w:val="nil"/>
              <w:right w:val="nil"/>
            </w:tcBorders>
            <w:vAlign w:val="center"/>
          </w:tcPr>
          <w:p w14:paraId="6BE44DD9"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.20**</w:t>
            </w:r>
          </w:p>
        </w:tc>
        <w:tc>
          <w:tcPr>
            <w:tcW w:w="763" w:type="dxa"/>
            <w:tcBorders>
              <w:top w:val="nil"/>
              <w:left w:val="nil"/>
              <w:bottom w:val="nil"/>
              <w:right w:val="nil"/>
            </w:tcBorders>
            <w:vAlign w:val="center"/>
          </w:tcPr>
          <w:p w14:paraId="308B77AB"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717A9C15"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r>
      <w:tr w:rsidR="00723107" w:rsidRPr="00DF32B6" w14:paraId="36BCDE58" w14:textId="77777777" w:rsidTr="001B28D1">
        <w:tc>
          <w:tcPr>
            <w:tcW w:w="2610" w:type="dxa"/>
            <w:tcBorders>
              <w:top w:val="nil"/>
              <w:left w:val="nil"/>
              <w:bottom w:val="nil"/>
              <w:right w:val="nil"/>
            </w:tcBorders>
            <w:vAlign w:val="center"/>
          </w:tcPr>
          <w:p w14:paraId="54FEEC79" w14:textId="77777777" w:rsidR="00723107" w:rsidRPr="006E135C" w:rsidRDefault="00723107" w:rsidP="001B28D1">
            <w:pPr>
              <w:widowControl w:val="0"/>
              <w:autoSpaceDE w:val="0"/>
              <w:autoSpaceDN w:val="0"/>
              <w:adjustRightInd w:val="0"/>
              <w:rPr>
                <w:sz w:val="16"/>
                <w:szCs w:val="16"/>
              </w:rPr>
            </w:pPr>
            <w:r w:rsidRPr="006E135C">
              <w:rPr>
                <w:sz w:val="16"/>
                <w:szCs w:val="16"/>
              </w:rPr>
              <w:t xml:space="preserve"> </w:t>
            </w:r>
          </w:p>
        </w:tc>
        <w:tc>
          <w:tcPr>
            <w:tcW w:w="900" w:type="dxa"/>
            <w:tcBorders>
              <w:top w:val="nil"/>
              <w:left w:val="nil"/>
              <w:bottom w:val="nil"/>
              <w:right w:val="nil"/>
            </w:tcBorders>
            <w:vAlign w:val="center"/>
          </w:tcPr>
          <w:p w14:paraId="52C2B0D4"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630" w:type="dxa"/>
            <w:tcBorders>
              <w:top w:val="nil"/>
              <w:left w:val="nil"/>
              <w:bottom w:val="nil"/>
              <w:right w:val="nil"/>
            </w:tcBorders>
            <w:vAlign w:val="center"/>
          </w:tcPr>
          <w:p w14:paraId="12068AD0"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630" w:type="dxa"/>
            <w:tcBorders>
              <w:top w:val="nil"/>
              <w:left w:val="nil"/>
              <w:bottom w:val="nil"/>
              <w:right w:val="nil"/>
            </w:tcBorders>
            <w:vAlign w:val="center"/>
          </w:tcPr>
          <w:p w14:paraId="20080037"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6DFD0FBA"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[-.02, .14]</w:t>
            </w:r>
          </w:p>
        </w:tc>
        <w:tc>
          <w:tcPr>
            <w:tcW w:w="821" w:type="dxa"/>
            <w:tcBorders>
              <w:top w:val="nil"/>
              <w:left w:val="nil"/>
              <w:bottom w:val="nil"/>
              <w:right w:val="nil"/>
            </w:tcBorders>
            <w:vAlign w:val="center"/>
          </w:tcPr>
          <w:p w14:paraId="205132EE"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[-.10, .06]</w:t>
            </w:r>
          </w:p>
        </w:tc>
        <w:tc>
          <w:tcPr>
            <w:tcW w:w="810" w:type="dxa"/>
            <w:tcBorders>
              <w:top w:val="nil"/>
              <w:left w:val="nil"/>
              <w:bottom w:val="nil"/>
              <w:right w:val="nil"/>
            </w:tcBorders>
            <w:vAlign w:val="center"/>
          </w:tcPr>
          <w:p w14:paraId="661B9EB6"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[-.04, .12]</w:t>
            </w:r>
          </w:p>
        </w:tc>
        <w:tc>
          <w:tcPr>
            <w:tcW w:w="810" w:type="dxa"/>
            <w:tcBorders>
              <w:top w:val="nil"/>
              <w:left w:val="nil"/>
              <w:bottom w:val="nil"/>
              <w:right w:val="nil"/>
            </w:tcBorders>
            <w:vAlign w:val="center"/>
          </w:tcPr>
          <w:p w14:paraId="4CA4AC8B"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[.00, .17]</w:t>
            </w:r>
          </w:p>
        </w:tc>
        <w:tc>
          <w:tcPr>
            <w:tcW w:w="810" w:type="dxa"/>
            <w:tcBorders>
              <w:top w:val="nil"/>
              <w:left w:val="nil"/>
              <w:bottom w:val="nil"/>
              <w:right w:val="nil"/>
            </w:tcBorders>
            <w:vAlign w:val="center"/>
          </w:tcPr>
          <w:p w14:paraId="647C3712"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[-.03, .13]</w:t>
            </w:r>
          </w:p>
        </w:tc>
        <w:tc>
          <w:tcPr>
            <w:tcW w:w="763" w:type="dxa"/>
            <w:tcBorders>
              <w:top w:val="nil"/>
              <w:left w:val="nil"/>
              <w:bottom w:val="nil"/>
              <w:right w:val="nil"/>
            </w:tcBorders>
            <w:vAlign w:val="center"/>
          </w:tcPr>
          <w:p w14:paraId="0C59A0EF"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[.00, .16]</w:t>
            </w:r>
          </w:p>
        </w:tc>
        <w:tc>
          <w:tcPr>
            <w:tcW w:w="778" w:type="dxa"/>
            <w:tcBorders>
              <w:top w:val="nil"/>
              <w:left w:val="nil"/>
              <w:bottom w:val="nil"/>
              <w:right w:val="nil"/>
            </w:tcBorders>
            <w:vAlign w:val="center"/>
          </w:tcPr>
          <w:p w14:paraId="657F99CF"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[.03, .20]</w:t>
            </w:r>
          </w:p>
        </w:tc>
        <w:tc>
          <w:tcPr>
            <w:tcW w:w="778" w:type="dxa"/>
            <w:tcBorders>
              <w:top w:val="nil"/>
              <w:left w:val="nil"/>
              <w:bottom w:val="nil"/>
              <w:right w:val="nil"/>
            </w:tcBorders>
            <w:vAlign w:val="center"/>
          </w:tcPr>
          <w:p w14:paraId="6B3C81BF"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[.05, .21]</w:t>
            </w:r>
          </w:p>
        </w:tc>
        <w:tc>
          <w:tcPr>
            <w:tcW w:w="778" w:type="dxa"/>
            <w:tcBorders>
              <w:top w:val="nil"/>
              <w:left w:val="nil"/>
              <w:bottom w:val="nil"/>
              <w:right w:val="nil"/>
            </w:tcBorders>
            <w:vAlign w:val="center"/>
          </w:tcPr>
          <w:p w14:paraId="0B4A7DA4"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[.07, .23]</w:t>
            </w:r>
          </w:p>
        </w:tc>
        <w:tc>
          <w:tcPr>
            <w:tcW w:w="778" w:type="dxa"/>
            <w:tcBorders>
              <w:top w:val="nil"/>
              <w:left w:val="nil"/>
              <w:bottom w:val="nil"/>
              <w:right w:val="nil"/>
            </w:tcBorders>
            <w:vAlign w:val="center"/>
          </w:tcPr>
          <w:p w14:paraId="43C2BCCB"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[.12, .28]</w:t>
            </w:r>
          </w:p>
        </w:tc>
        <w:tc>
          <w:tcPr>
            <w:tcW w:w="763" w:type="dxa"/>
            <w:tcBorders>
              <w:top w:val="nil"/>
              <w:left w:val="nil"/>
              <w:bottom w:val="nil"/>
              <w:right w:val="nil"/>
            </w:tcBorders>
            <w:vAlign w:val="center"/>
          </w:tcPr>
          <w:p w14:paraId="20D184C6"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63" w:type="dxa"/>
            <w:tcBorders>
              <w:top w:val="nil"/>
              <w:left w:val="nil"/>
              <w:bottom w:val="nil"/>
              <w:right w:val="nil"/>
            </w:tcBorders>
            <w:vAlign w:val="center"/>
          </w:tcPr>
          <w:p w14:paraId="20DF6F48"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r>
      <w:tr w:rsidR="00723107" w:rsidRPr="00DF32B6" w14:paraId="70A793E3" w14:textId="77777777" w:rsidTr="001B28D1">
        <w:tc>
          <w:tcPr>
            <w:tcW w:w="2610" w:type="dxa"/>
            <w:tcBorders>
              <w:top w:val="nil"/>
              <w:left w:val="nil"/>
              <w:bottom w:val="nil"/>
              <w:right w:val="nil"/>
            </w:tcBorders>
            <w:vAlign w:val="center"/>
          </w:tcPr>
          <w:p w14:paraId="06AAB0DC" w14:textId="77777777" w:rsidR="00723107" w:rsidRPr="006E135C" w:rsidRDefault="00723107" w:rsidP="001B28D1">
            <w:pPr>
              <w:widowControl w:val="0"/>
              <w:autoSpaceDE w:val="0"/>
              <w:autoSpaceDN w:val="0"/>
              <w:adjustRightInd w:val="0"/>
              <w:rPr>
                <w:sz w:val="16"/>
                <w:szCs w:val="16"/>
              </w:rPr>
            </w:pPr>
            <w:r w:rsidRPr="006E135C">
              <w:rPr>
                <w:sz w:val="16"/>
                <w:szCs w:val="16"/>
              </w:rPr>
              <w:t>12. Contact with Black people</w:t>
            </w:r>
          </w:p>
        </w:tc>
        <w:tc>
          <w:tcPr>
            <w:tcW w:w="900" w:type="dxa"/>
            <w:tcBorders>
              <w:top w:val="nil"/>
              <w:left w:val="nil"/>
              <w:bottom w:val="nil"/>
              <w:right w:val="nil"/>
            </w:tcBorders>
            <w:vAlign w:val="center"/>
          </w:tcPr>
          <w:p w14:paraId="5D4FA80F"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Pr>
                <w:sz w:val="14"/>
                <w:szCs w:val="14"/>
              </w:rPr>
              <w:t>0 - 20</w:t>
            </w:r>
          </w:p>
        </w:tc>
        <w:tc>
          <w:tcPr>
            <w:tcW w:w="630" w:type="dxa"/>
            <w:tcBorders>
              <w:top w:val="nil"/>
              <w:left w:val="nil"/>
              <w:bottom w:val="nil"/>
              <w:right w:val="nil"/>
            </w:tcBorders>
            <w:vAlign w:val="center"/>
          </w:tcPr>
          <w:p w14:paraId="53EF33DF"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7.44</w:t>
            </w:r>
          </w:p>
        </w:tc>
        <w:tc>
          <w:tcPr>
            <w:tcW w:w="630" w:type="dxa"/>
            <w:tcBorders>
              <w:top w:val="nil"/>
              <w:left w:val="nil"/>
              <w:bottom w:val="nil"/>
              <w:right w:val="nil"/>
            </w:tcBorders>
            <w:vAlign w:val="center"/>
          </w:tcPr>
          <w:p w14:paraId="1AA5C57C"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5.12</w:t>
            </w:r>
          </w:p>
        </w:tc>
        <w:tc>
          <w:tcPr>
            <w:tcW w:w="778" w:type="dxa"/>
            <w:tcBorders>
              <w:top w:val="nil"/>
              <w:left w:val="nil"/>
              <w:bottom w:val="nil"/>
              <w:right w:val="nil"/>
            </w:tcBorders>
            <w:vAlign w:val="center"/>
          </w:tcPr>
          <w:p w14:paraId="6495E6DC"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-.02</w:t>
            </w:r>
          </w:p>
        </w:tc>
        <w:tc>
          <w:tcPr>
            <w:tcW w:w="821" w:type="dxa"/>
            <w:tcBorders>
              <w:top w:val="nil"/>
              <w:left w:val="nil"/>
              <w:bottom w:val="nil"/>
              <w:right w:val="nil"/>
            </w:tcBorders>
            <w:vAlign w:val="center"/>
          </w:tcPr>
          <w:p w14:paraId="65C66454"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-.00</w:t>
            </w:r>
          </w:p>
        </w:tc>
        <w:tc>
          <w:tcPr>
            <w:tcW w:w="810" w:type="dxa"/>
            <w:tcBorders>
              <w:top w:val="nil"/>
              <w:left w:val="nil"/>
              <w:bottom w:val="nil"/>
              <w:right w:val="nil"/>
            </w:tcBorders>
            <w:vAlign w:val="center"/>
          </w:tcPr>
          <w:p w14:paraId="0703E5A0"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-.16**</w:t>
            </w:r>
          </w:p>
        </w:tc>
        <w:tc>
          <w:tcPr>
            <w:tcW w:w="810" w:type="dxa"/>
            <w:tcBorders>
              <w:top w:val="nil"/>
              <w:left w:val="nil"/>
              <w:bottom w:val="nil"/>
              <w:right w:val="nil"/>
            </w:tcBorders>
            <w:vAlign w:val="center"/>
          </w:tcPr>
          <w:p w14:paraId="3B8CEF4F"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-.13**</w:t>
            </w:r>
          </w:p>
        </w:tc>
        <w:tc>
          <w:tcPr>
            <w:tcW w:w="810" w:type="dxa"/>
            <w:tcBorders>
              <w:top w:val="nil"/>
              <w:left w:val="nil"/>
              <w:bottom w:val="nil"/>
              <w:right w:val="nil"/>
            </w:tcBorders>
            <w:vAlign w:val="center"/>
          </w:tcPr>
          <w:p w14:paraId="28C58EC7"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-.26**</w:t>
            </w:r>
          </w:p>
        </w:tc>
        <w:tc>
          <w:tcPr>
            <w:tcW w:w="763" w:type="dxa"/>
            <w:tcBorders>
              <w:top w:val="nil"/>
              <w:left w:val="nil"/>
              <w:bottom w:val="nil"/>
              <w:right w:val="nil"/>
            </w:tcBorders>
            <w:vAlign w:val="center"/>
          </w:tcPr>
          <w:p w14:paraId="3E034368"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-.01</w:t>
            </w:r>
          </w:p>
        </w:tc>
        <w:tc>
          <w:tcPr>
            <w:tcW w:w="778" w:type="dxa"/>
            <w:tcBorders>
              <w:top w:val="nil"/>
              <w:left w:val="nil"/>
              <w:bottom w:val="nil"/>
              <w:right w:val="nil"/>
            </w:tcBorders>
            <w:vAlign w:val="center"/>
          </w:tcPr>
          <w:p w14:paraId="1E3DC1D4"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.03</w:t>
            </w:r>
          </w:p>
        </w:tc>
        <w:tc>
          <w:tcPr>
            <w:tcW w:w="778" w:type="dxa"/>
            <w:tcBorders>
              <w:top w:val="nil"/>
              <w:left w:val="nil"/>
              <w:bottom w:val="nil"/>
              <w:right w:val="nil"/>
            </w:tcBorders>
            <w:vAlign w:val="center"/>
          </w:tcPr>
          <w:p w14:paraId="42419BB6"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-.03</w:t>
            </w:r>
          </w:p>
        </w:tc>
        <w:tc>
          <w:tcPr>
            <w:tcW w:w="778" w:type="dxa"/>
            <w:tcBorders>
              <w:top w:val="nil"/>
              <w:left w:val="nil"/>
              <w:bottom w:val="nil"/>
              <w:right w:val="nil"/>
            </w:tcBorders>
            <w:vAlign w:val="center"/>
          </w:tcPr>
          <w:p w14:paraId="69FF69B6"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.05</w:t>
            </w:r>
          </w:p>
        </w:tc>
        <w:tc>
          <w:tcPr>
            <w:tcW w:w="778" w:type="dxa"/>
            <w:tcBorders>
              <w:top w:val="nil"/>
              <w:left w:val="nil"/>
              <w:bottom w:val="nil"/>
              <w:right w:val="nil"/>
            </w:tcBorders>
            <w:vAlign w:val="center"/>
          </w:tcPr>
          <w:p w14:paraId="068747BB"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.55**</w:t>
            </w:r>
          </w:p>
        </w:tc>
        <w:tc>
          <w:tcPr>
            <w:tcW w:w="763" w:type="dxa"/>
            <w:tcBorders>
              <w:top w:val="nil"/>
              <w:left w:val="nil"/>
              <w:bottom w:val="nil"/>
              <w:right w:val="nil"/>
            </w:tcBorders>
            <w:vAlign w:val="center"/>
          </w:tcPr>
          <w:p w14:paraId="0ED797E5"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.01</w:t>
            </w:r>
          </w:p>
        </w:tc>
        <w:tc>
          <w:tcPr>
            <w:tcW w:w="763" w:type="dxa"/>
            <w:tcBorders>
              <w:top w:val="nil"/>
              <w:left w:val="nil"/>
              <w:bottom w:val="nil"/>
              <w:right w:val="nil"/>
            </w:tcBorders>
            <w:vAlign w:val="center"/>
          </w:tcPr>
          <w:p w14:paraId="7FEAE030"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r>
      <w:tr w:rsidR="00723107" w:rsidRPr="00DF32B6" w14:paraId="56EF6CF6" w14:textId="77777777" w:rsidTr="001B28D1">
        <w:tc>
          <w:tcPr>
            <w:tcW w:w="2610" w:type="dxa"/>
            <w:tcBorders>
              <w:top w:val="nil"/>
              <w:left w:val="nil"/>
              <w:bottom w:val="nil"/>
              <w:right w:val="nil"/>
            </w:tcBorders>
            <w:vAlign w:val="center"/>
          </w:tcPr>
          <w:p w14:paraId="67E14E71" w14:textId="77777777" w:rsidR="00723107" w:rsidRPr="006E135C" w:rsidRDefault="00723107" w:rsidP="001B28D1">
            <w:pPr>
              <w:widowControl w:val="0"/>
              <w:autoSpaceDE w:val="0"/>
              <w:autoSpaceDN w:val="0"/>
              <w:adjustRightInd w:val="0"/>
              <w:rPr>
                <w:sz w:val="16"/>
                <w:szCs w:val="16"/>
              </w:rPr>
            </w:pPr>
          </w:p>
        </w:tc>
        <w:tc>
          <w:tcPr>
            <w:tcW w:w="900" w:type="dxa"/>
            <w:tcBorders>
              <w:top w:val="nil"/>
              <w:left w:val="nil"/>
              <w:bottom w:val="nil"/>
              <w:right w:val="nil"/>
            </w:tcBorders>
            <w:vAlign w:val="center"/>
          </w:tcPr>
          <w:p w14:paraId="498B434E"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630" w:type="dxa"/>
            <w:tcBorders>
              <w:top w:val="nil"/>
              <w:left w:val="nil"/>
              <w:bottom w:val="nil"/>
              <w:right w:val="nil"/>
            </w:tcBorders>
            <w:vAlign w:val="center"/>
          </w:tcPr>
          <w:p w14:paraId="7EA1E3A5"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630" w:type="dxa"/>
            <w:tcBorders>
              <w:top w:val="nil"/>
              <w:left w:val="nil"/>
              <w:bottom w:val="nil"/>
              <w:right w:val="nil"/>
            </w:tcBorders>
            <w:vAlign w:val="center"/>
          </w:tcPr>
          <w:p w14:paraId="23A728C1"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5ED338AC"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[-.11, .06]</w:t>
            </w:r>
          </w:p>
        </w:tc>
        <w:tc>
          <w:tcPr>
            <w:tcW w:w="821" w:type="dxa"/>
            <w:tcBorders>
              <w:top w:val="nil"/>
              <w:left w:val="nil"/>
              <w:bottom w:val="nil"/>
              <w:right w:val="nil"/>
            </w:tcBorders>
            <w:vAlign w:val="center"/>
          </w:tcPr>
          <w:p w14:paraId="6832000A"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[-.08, .08]</w:t>
            </w:r>
          </w:p>
        </w:tc>
        <w:tc>
          <w:tcPr>
            <w:tcW w:w="810" w:type="dxa"/>
            <w:tcBorders>
              <w:top w:val="nil"/>
              <w:left w:val="nil"/>
              <w:bottom w:val="nil"/>
              <w:right w:val="nil"/>
            </w:tcBorders>
            <w:vAlign w:val="center"/>
          </w:tcPr>
          <w:p w14:paraId="61386C80"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[-.24, -.09]</w:t>
            </w:r>
          </w:p>
        </w:tc>
        <w:tc>
          <w:tcPr>
            <w:tcW w:w="810" w:type="dxa"/>
            <w:tcBorders>
              <w:top w:val="nil"/>
              <w:left w:val="nil"/>
              <w:bottom w:val="nil"/>
              <w:right w:val="nil"/>
            </w:tcBorders>
            <w:vAlign w:val="center"/>
          </w:tcPr>
          <w:p w14:paraId="4CA767C8"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[-.21, -.05]</w:t>
            </w:r>
          </w:p>
        </w:tc>
        <w:tc>
          <w:tcPr>
            <w:tcW w:w="810" w:type="dxa"/>
            <w:tcBorders>
              <w:top w:val="nil"/>
              <w:left w:val="nil"/>
              <w:bottom w:val="nil"/>
              <w:right w:val="nil"/>
            </w:tcBorders>
            <w:vAlign w:val="center"/>
          </w:tcPr>
          <w:p w14:paraId="4D45321B"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[-.33, -.18]</w:t>
            </w:r>
          </w:p>
        </w:tc>
        <w:tc>
          <w:tcPr>
            <w:tcW w:w="763" w:type="dxa"/>
            <w:tcBorders>
              <w:top w:val="nil"/>
              <w:left w:val="nil"/>
              <w:bottom w:val="nil"/>
              <w:right w:val="nil"/>
            </w:tcBorders>
            <w:vAlign w:val="center"/>
          </w:tcPr>
          <w:p w14:paraId="72A01677"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[-.09, .07]</w:t>
            </w:r>
          </w:p>
        </w:tc>
        <w:tc>
          <w:tcPr>
            <w:tcW w:w="778" w:type="dxa"/>
            <w:tcBorders>
              <w:top w:val="nil"/>
              <w:left w:val="nil"/>
              <w:bottom w:val="nil"/>
              <w:right w:val="nil"/>
            </w:tcBorders>
            <w:vAlign w:val="center"/>
          </w:tcPr>
          <w:p w14:paraId="028AB936"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[-.05, .11]</w:t>
            </w:r>
          </w:p>
        </w:tc>
        <w:tc>
          <w:tcPr>
            <w:tcW w:w="778" w:type="dxa"/>
            <w:tcBorders>
              <w:top w:val="nil"/>
              <w:left w:val="nil"/>
              <w:bottom w:val="nil"/>
              <w:right w:val="nil"/>
            </w:tcBorders>
            <w:vAlign w:val="center"/>
          </w:tcPr>
          <w:p w14:paraId="1EF00856"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[-.11, .06]</w:t>
            </w:r>
          </w:p>
        </w:tc>
        <w:tc>
          <w:tcPr>
            <w:tcW w:w="778" w:type="dxa"/>
            <w:tcBorders>
              <w:top w:val="nil"/>
              <w:left w:val="nil"/>
              <w:bottom w:val="nil"/>
              <w:right w:val="nil"/>
            </w:tcBorders>
            <w:vAlign w:val="center"/>
          </w:tcPr>
          <w:p w14:paraId="797C9C2A"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[-.03, .13]</w:t>
            </w:r>
          </w:p>
        </w:tc>
        <w:tc>
          <w:tcPr>
            <w:tcW w:w="778" w:type="dxa"/>
            <w:tcBorders>
              <w:top w:val="nil"/>
              <w:left w:val="nil"/>
              <w:bottom w:val="nil"/>
              <w:right w:val="nil"/>
            </w:tcBorders>
            <w:vAlign w:val="center"/>
          </w:tcPr>
          <w:p w14:paraId="3C7FEEB2"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[.49, .61]</w:t>
            </w:r>
          </w:p>
        </w:tc>
        <w:tc>
          <w:tcPr>
            <w:tcW w:w="763" w:type="dxa"/>
            <w:tcBorders>
              <w:top w:val="nil"/>
              <w:left w:val="nil"/>
              <w:bottom w:val="nil"/>
              <w:right w:val="nil"/>
            </w:tcBorders>
            <w:vAlign w:val="center"/>
          </w:tcPr>
          <w:p w14:paraId="12F4EAD3"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[-.08, .09]</w:t>
            </w:r>
          </w:p>
        </w:tc>
        <w:tc>
          <w:tcPr>
            <w:tcW w:w="763" w:type="dxa"/>
            <w:tcBorders>
              <w:top w:val="nil"/>
              <w:left w:val="nil"/>
              <w:bottom w:val="nil"/>
              <w:right w:val="nil"/>
            </w:tcBorders>
            <w:vAlign w:val="center"/>
          </w:tcPr>
          <w:p w14:paraId="58E1510E"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r>
      <w:tr w:rsidR="00723107" w:rsidRPr="00DF32B6" w14:paraId="4A408F02" w14:textId="77777777" w:rsidTr="001B28D1">
        <w:tc>
          <w:tcPr>
            <w:tcW w:w="2610" w:type="dxa"/>
            <w:tcBorders>
              <w:top w:val="nil"/>
              <w:left w:val="nil"/>
              <w:bottom w:val="nil"/>
              <w:right w:val="nil"/>
            </w:tcBorders>
            <w:vAlign w:val="center"/>
          </w:tcPr>
          <w:p w14:paraId="3A340244" w14:textId="77777777" w:rsidR="00723107" w:rsidRPr="00DF32B6" w:rsidRDefault="00723107" w:rsidP="001B28D1">
            <w:pPr>
              <w:widowControl w:val="0"/>
              <w:autoSpaceDE w:val="0"/>
              <w:autoSpaceDN w:val="0"/>
              <w:adjustRightInd w:val="0"/>
              <w:rPr>
                <w:sz w:val="16"/>
                <w:szCs w:val="16"/>
              </w:rPr>
            </w:pPr>
            <w:r w:rsidRPr="006E135C">
              <w:rPr>
                <w:sz w:val="16"/>
                <w:szCs w:val="16"/>
              </w:rPr>
              <w:t>1</w:t>
            </w:r>
            <w:r>
              <w:rPr>
                <w:sz w:val="16"/>
                <w:szCs w:val="16"/>
              </w:rPr>
              <w:t>3</w:t>
            </w:r>
            <w:r w:rsidRPr="006E135C">
              <w:rPr>
                <w:sz w:val="16"/>
                <w:szCs w:val="16"/>
              </w:rPr>
              <w:t xml:space="preserve">. </w:t>
            </w:r>
            <w:r>
              <w:rPr>
                <w:sz w:val="16"/>
                <w:szCs w:val="16"/>
              </w:rPr>
              <w:t>Black</w:t>
            </w:r>
            <w:r w:rsidRPr="006E135C">
              <w:rPr>
                <w:sz w:val="16"/>
                <w:szCs w:val="16"/>
              </w:rPr>
              <w:t xml:space="preserve"> neighborhood proportion</w:t>
            </w:r>
          </w:p>
        </w:tc>
        <w:tc>
          <w:tcPr>
            <w:tcW w:w="900" w:type="dxa"/>
            <w:tcBorders>
              <w:top w:val="nil"/>
              <w:left w:val="nil"/>
              <w:bottom w:val="nil"/>
              <w:right w:val="nil"/>
            </w:tcBorders>
            <w:vAlign w:val="center"/>
          </w:tcPr>
          <w:p w14:paraId="7847CFEE" w14:textId="77777777" w:rsidR="00723107" w:rsidRDefault="00723107" w:rsidP="001B28D1">
            <w:pPr>
              <w:widowControl w:val="0"/>
              <w:tabs>
                <w:tab w:val="decimal" w:leader="dot" w:pos="428"/>
              </w:tabs>
              <w:autoSpaceDE w:val="0"/>
              <w:autoSpaceDN w:val="0"/>
              <w:adjustRightInd w:val="0"/>
              <w:jc w:val="center"/>
              <w:rPr>
                <w:sz w:val="14"/>
                <w:szCs w:val="14"/>
              </w:rPr>
            </w:pPr>
            <w:r>
              <w:rPr>
                <w:sz w:val="14"/>
                <w:szCs w:val="14"/>
              </w:rPr>
              <w:t>0 – 0.97</w:t>
            </w:r>
          </w:p>
        </w:tc>
        <w:tc>
          <w:tcPr>
            <w:tcW w:w="630" w:type="dxa"/>
            <w:tcBorders>
              <w:top w:val="nil"/>
              <w:left w:val="nil"/>
              <w:bottom w:val="nil"/>
              <w:right w:val="nil"/>
            </w:tcBorders>
            <w:vAlign w:val="center"/>
          </w:tcPr>
          <w:p w14:paraId="7600C682"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Pr>
                <w:sz w:val="14"/>
                <w:szCs w:val="14"/>
              </w:rPr>
              <w:t>0.13</w:t>
            </w:r>
          </w:p>
        </w:tc>
        <w:tc>
          <w:tcPr>
            <w:tcW w:w="630" w:type="dxa"/>
            <w:tcBorders>
              <w:top w:val="nil"/>
              <w:left w:val="nil"/>
              <w:bottom w:val="nil"/>
              <w:right w:val="nil"/>
            </w:tcBorders>
            <w:vAlign w:val="center"/>
          </w:tcPr>
          <w:p w14:paraId="16CC5C8B"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Pr>
                <w:sz w:val="14"/>
                <w:szCs w:val="14"/>
              </w:rPr>
              <w:t>0.18</w:t>
            </w:r>
          </w:p>
        </w:tc>
        <w:tc>
          <w:tcPr>
            <w:tcW w:w="778" w:type="dxa"/>
            <w:tcBorders>
              <w:top w:val="nil"/>
              <w:left w:val="nil"/>
              <w:bottom w:val="nil"/>
              <w:right w:val="nil"/>
            </w:tcBorders>
            <w:vAlign w:val="center"/>
          </w:tcPr>
          <w:p w14:paraId="390708F4"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.04</w:t>
            </w:r>
          </w:p>
        </w:tc>
        <w:tc>
          <w:tcPr>
            <w:tcW w:w="821" w:type="dxa"/>
            <w:tcBorders>
              <w:top w:val="nil"/>
              <w:left w:val="nil"/>
              <w:bottom w:val="nil"/>
              <w:right w:val="nil"/>
            </w:tcBorders>
            <w:vAlign w:val="center"/>
          </w:tcPr>
          <w:p w14:paraId="5DEF44EB"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.06</w:t>
            </w:r>
          </w:p>
        </w:tc>
        <w:tc>
          <w:tcPr>
            <w:tcW w:w="810" w:type="dxa"/>
            <w:tcBorders>
              <w:top w:val="nil"/>
              <w:left w:val="nil"/>
              <w:bottom w:val="nil"/>
              <w:right w:val="nil"/>
            </w:tcBorders>
            <w:vAlign w:val="center"/>
          </w:tcPr>
          <w:p w14:paraId="3F33C1C4"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.03</w:t>
            </w:r>
          </w:p>
        </w:tc>
        <w:tc>
          <w:tcPr>
            <w:tcW w:w="810" w:type="dxa"/>
            <w:tcBorders>
              <w:top w:val="nil"/>
              <w:left w:val="nil"/>
              <w:bottom w:val="nil"/>
              <w:right w:val="nil"/>
            </w:tcBorders>
            <w:vAlign w:val="center"/>
          </w:tcPr>
          <w:p w14:paraId="3F9D403D"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.04</w:t>
            </w:r>
          </w:p>
        </w:tc>
        <w:tc>
          <w:tcPr>
            <w:tcW w:w="810" w:type="dxa"/>
            <w:tcBorders>
              <w:top w:val="nil"/>
              <w:left w:val="nil"/>
              <w:bottom w:val="nil"/>
              <w:right w:val="nil"/>
            </w:tcBorders>
            <w:vAlign w:val="center"/>
          </w:tcPr>
          <w:p w14:paraId="0EB63B4E"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.04</w:t>
            </w:r>
          </w:p>
        </w:tc>
        <w:tc>
          <w:tcPr>
            <w:tcW w:w="763" w:type="dxa"/>
            <w:tcBorders>
              <w:top w:val="nil"/>
              <w:left w:val="nil"/>
              <w:bottom w:val="nil"/>
              <w:right w:val="nil"/>
            </w:tcBorders>
            <w:vAlign w:val="center"/>
          </w:tcPr>
          <w:p w14:paraId="000DDC55"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-.03</w:t>
            </w:r>
          </w:p>
        </w:tc>
        <w:tc>
          <w:tcPr>
            <w:tcW w:w="778" w:type="dxa"/>
            <w:tcBorders>
              <w:top w:val="nil"/>
              <w:left w:val="nil"/>
              <w:bottom w:val="nil"/>
              <w:right w:val="nil"/>
            </w:tcBorders>
            <w:vAlign w:val="center"/>
          </w:tcPr>
          <w:p w14:paraId="2ECA56D0"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.01</w:t>
            </w:r>
          </w:p>
        </w:tc>
        <w:tc>
          <w:tcPr>
            <w:tcW w:w="778" w:type="dxa"/>
            <w:tcBorders>
              <w:top w:val="nil"/>
              <w:left w:val="nil"/>
              <w:bottom w:val="nil"/>
              <w:right w:val="nil"/>
            </w:tcBorders>
            <w:vAlign w:val="center"/>
          </w:tcPr>
          <w:p w14:paraId="23712A4E"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-.01</w:t>
            </w:r>
          </w:p>
        </w:tc>
        <w:tc>
          <w:tcPr>
            <w:tcW w:w="778" w:type="dxa"/>
            <w:tcBorders>
              <w:top w:val="nil"/>
              <w:left w:val="nil"/>
              <w:bottom w:val="nil"/>
              <w:right w:val="nil"/>
            </w:tcBorders>
            <w:vAlign w:val="center"/>
          </w:tcPr>
          <w:p w14:paraId="4770B10D"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.01</w:t>
            </w:r>
          </w:p>
        </w:tc>
        <w:tc>
          <w:tcPr>
            <w:tcW w:w="778" w:type="dxa"/>
            <w:tcBorders>
              <w:top w:val="nil"/>
              <w:left w:val="nil"/>
              <w:bottom w:val="nil"/>
              <w:right w:val="nil"/>
            </w:tcBorders>
            <w:vAlign w:val="center"/>
          </w:tcPr>
          <w:p w14:paraId="49451AD6"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.05</w:t>
            </w:r>
          </w:p>
        </w:tc>
        <w:tc>
          <w:tcPr>
            <w:tcW w:w="763" w:type="dxa"/>
            <w:tcBorders>
              <w:top w:val="nil"/>
              <w:left w:val="nil"/>
              <w:bottom w:val="nil"/>
              <w:right w:val="nil"/>
            </w:tcBorders>
            <w:vAlign w:val="center"/>
          </w:tcPr>
          <w:p w14:paraId="7B2358C8"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.01</w:t>
            </w:r>
          </w:p>
        </w:tc>
        <w:tc>
          <w:tcPr>
            <w:tcW w:w="763" w:type="dxa"/>
            <w:tcBorders>
              <w:top w:val="nil"/>
              <w:left w:val="nil"/>
              <w:bottom w:val="nil"/>
              <w:right w:val="nil"/>
            </w:tcBorders>
            <w:vAlign w:val="center"/>
          </w:tcPr>
          <w:p w14:paraId="1611F715"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.19**</w:t>
            </w:r>
          </w:p>
        </w:tc>
      </w:tr>
      <w:tr w:rsidR="00723107" w:rsidRPr="00DF32B6" w14:paraId="2AB83B45" w14:textId="77777777" w:rsidTr="001B28D1">
        <w:tc>
          <w:tcPr>
            <w:tcW w:w="2610" w:type="dxa"/>
            <w:tcBorders>
              <w:top w:val="nil"/>
              <w:left w:val="nil"/>
              <w:bottom w:val="nil"/>
              <w:right w:val="nil"/>
            </w:tcBorders>
            <w:vAlign w:val="center"/>
          </w:tcPr>
          <w:p w14:paraId="29BB2A47" w14:textId="77777777" w:rsidR="00723107" w:rsidRPr="00DF32B6" w:rsidRDefault="00723107" w:rsidP="001B28D1">
            <w:pPr>
              <w:widowControl w:val="0"/>
              <w:autoSpaceDE w:val="0"/>
              <w:autoSpaceDN w:val="0"/>
              <w:adjustRightInd w:val="0"/>
              <w:rPr>
                <w:sz w:val="16"/>
                <w:szCs w:val="16"/>
              </w:rPr>
            </w:pPr>
            <w:r w:rsidRPr="00EB31F1">
              <w:rPr>
                <w:sz w:val="8"/>
                <w:szCs w:val="8"/>
              </w:rPr>
              <w:t xml:space="preserve"> </w:t>
            </w:r>
          </w:p>
        </w:tc>
        <w:tc>
          <w:tcPr>
            <w:tcW w:w="900" w:type="dxa"/>
            <w:tcBorders>
              <w:top w:val="nil"/>
              <w:left w:val="nil"/>
              <w:bottom w:val="nil"/>
              <w:right w:val="nil"/>
            </w:tcBorders>
            <w:vAlign w:val="center"/>
          </w:tcPr>
          <w:p w14:paraId="0C51A483"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630" w:type="dxa"/>
            <w:tcBorders>
              <w:top w:val="nil"/>
              <w:left w:val="nil"/>
              <w:bottom w:val="nil"/>
              <w:right w:val="nil"/>
            </w:tcBorders>
            <w:vAlign w:val="center"/>
          </w:tcPr>
          <w:p w14:paraId="3320EA57"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630" w:type="dxa"/>
            <w:tcBorders>
              <w:top w:val="nil"/>
              <w:left w:val="nil"/>
              <w:bottom w:val="nil"/>
              <w:right w:val="nil"/>
            </w:tcBorders>
            <w:vAlign w:val="center"/>
          </w:tcPr>
          <w:p w14:paraId="10CAE0A7" w14:textId="77777777" w:rsidR="00723107" w:rsidRPr="006E135C" w:rsidRDefault="00723107" w:rsidP="001B28D1">
            <w:pPr>
              <w:widowControl w:val="0"/>
              <w:tabs>
                <w:tab w:val="decimal" w:leader="dot" w:pos="428"/>
              </w:tabs>
              <w:autoSpaceDE w:val="0"/>
              <w:autoSpaceDN w:val="0"/>
              <w:adjustRightInd w:val="0"/>
              <w:jc w:val="center"/>
              <w:rPr>
                <w:sz w:val="14"/>
                <w:szCs w:val="14"/>
              </w:rPr>
            </w:pPr>
          </w:p>
        </w:tc>
        <w:tc>
          <w:tcPr>
            <w:tcW w:w="778" w:type="dxa"/>
            <w:tcBorders>
              <w:top w:val="nil"/>
              <w:left w:val="nil"/>
              <w:bottom w:val="nil"/>
              <w:right w:val="nil"/>
            </w:tcBorders>
            <w:vAlign w:val="center"/>
          </w:tcPr>
          <w:p w14:paraId="5219205D"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[-.04, .12]</w:t>
            </w:r>
          </w:p>
        </w:tc>
        <w:tc>
          <w:tcPr>
            <w:tcW w:w="821" w:type="dxa"/>
            <w:tcBorders>
              <w:top w:val="nil"/>
              <w:left w:val="nil"/>
              <w:bottom w:val="nil"/>
              <w:right w:val="nil"/>
            </w:tcBorders>
            <w:vAlign w:val="center"/>
          </w:tcPr>
          <w:p w14:paraId="28FB6462"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[-.02, .14]</w:t>
            </w:r>
          </w:p>
        </w:tc>
        <w:tc>
          <w:tcPr>
            <w:tcW w:w="810" w:type="dxa"/>
            <w:tcBorders>
              <w:top w:val="nil"/>
              <w:left w:val="nil"/>
              <w:bottom w:val="nil"/>
              <w:right w:val="nil"/>
            </w:tcBorders>
            <w:vAlign w:val="center"/>
          </w:tcPr>
          <w:p w14:paraId="4F46B9D9"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[-.06, .11]</w:t>
            </w:r>
          </w:p>
        </w:tc>
        <w:tc>
          <w:tcPr>
            <w:tcW w:w="810" w:type="dxa"/>
            <w:tcBorders>
              <w:top w:val="nil"/>
              <w:left w:val="nil"/>
              <w:bottom w:val="nil"/>
              <w:right w:val="nil"/>
            </w:tcBorders>
            <w:vAlign w:val="center"/>
          </w:tcPr>
          <w:p w14:paraId="6754A726"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[-.05, .12]</w:t>
            </w:r>
          </w:p>
        </w:tc>
        <w:tc>
          <w:tcPr>
            <w:tcW w:w="810" w:type="dxa"/>
            <w:tcBorders>
              <w:top w:val="nil"/>
              <w:left w:val="nil"/>
              <w:bottom w:val="nil"/>
              <w:right w:val="nil"/>
            </w:tcBorders>
            <w:vAlign w:val="center"/>
          </w:tcPr>
          <w:p w14:paraId="359D5D88"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[-.04, .13]</w:t>
            </w:r>
          </w:p>
        </w:tc>
        <w:tc>
          <w:tcPr>
            <w:tcW w:w="763" w:type="dxa"/>
            <w:tcBorders>
              <w:top w:val="nil"/>
              <w:left w:val="nil"/>
              <w:bottom w:val="nil"/>
              <w:right w:val="nil"/>
            </w:tcBorders>
            <w:vAlign w:val="center"/>
          </w:tcPr>
          <w:p w14:paraId="711A067E"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[-.11, .05]</w:t>
            </w:r>
          </w:p>
        </w:tc>
        <w:tc>
          <w:tcPr>
            <w:tcW w:w="778" w:type="dxa"/>
            <w:tcBorders>
              <w:top w:val="nil"/>
              <w:left w:val="nil"/>
              <w:bottom w:val="nil"/>
              <w:right w:val="nil"/>
            </w:tcBorders>
            <w:vAlign w:val="center"/>
          </w:tcPr>
          <w:p w14:paraId="0E77F2AF"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[-.07, .09]</w:t>
            </w:r>
          </w:p>
        </w:tc>
        <w:tc>
          <w:tcPr>
            <w:tcW w:w="778" w:type="dxa"/>
            <w:tcBorders>
              <w:top w:val="nil"/>
              <w:left w:val="nil"/>
              <w:bottom w:val="nil"/>
              <w:right w:val="nil"/>
            </w:tcBorders>
            <w:vAlign w:val="center"/>
          </w:tcPr>
          <w:p w14:paraId="2AA5CE0F"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[-.09, .07]</w:t>
            </w:r>
          </w:p>
        </w:tc>
        <w:tc>
          <w:tcPr>
            <w:tcW w:w="778" w:type="dxa"/>
            <w:tcBorders>
              <w:top w:val="nil"/>
              <w:left w:val="nil"/>
              <w:bottom w:val="nil"/>
              <w:right w:val="nil"/>
            </w:tcBorders>
            <w:vAlign w:val="center"/>
          </w:tcPr>
          <w:p w14:paraId="35DEEEEA"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[-.08, .09]</w:t>
            </w:r>
          </w:p>
        </w:tc>
        <w:tc>
          <w:tcPr>
            <w:tcW w:w="778" w:type="dxa"/>
            <w:tcBorders>
              <w:top w:val="nil"/>
              <w:left w:val="nil"/>
              <w:bottom w:val="nil"/>
              <w:right w:val="nil"/>
            </w:tcBorders>
            <w:vAlign w:val="center"/>
          </w:tcPr>
          <w:p w14:paraId="44805C34"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[-.04, .13]</w:t>
            </w:r>
          </w:p>
        </w:tc>
        <w:tc>
          <w:tcPr>
            <w:tcW w:w="763" w:type="dxa"/>
            <w:tcBorders>
              <w:top w:val="nil"/>
              <w:left w:val="nil"/>
              <w:bottom w:val="nil"/>
              <w:right w:val="nil"/>
            </w:tcBorders>
            <w:vAlign w:val="center"/>
          </w:tcPr>
          <w:p w14:paraId="0B5DFE87"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[-.07, .09]</w:t>
            </w:r>
          </w:p>
        </w:tc>
        <w:tc>
          <w:tcPr>
            <w:tcW w:w="763" w:type="dxa"/>
            <w:tcBorders>
              <w:top w:val="nil"/>
              <w:left w:val="nil"/>
              <w:bottom w:val="nil"/>
              <w:right w:val="nil"/>
            </w:tcBorders>
            <w:vAlign w:val="center"/>
          </w:tcPr>
          <w:p w14:paraId="2FFA2708" w14:textId="77777777" w:rsidR="00723107" w:rsidRPr="006E135C" w:rsidRDefault="00723107" w:rsidP="001B28D1">
            <w:pPr>
              <w:widowControl w:val="0"/>
              <w:tabs>
                <w:tab w:val="decimal" w:leader="dot" w:pos="428"/>
              </w:tabs>
              <w:autoSpaceDE w:val="0"/>
              <w:autoSpaceDN w:val="0"/>
              <w:adjustRightInd w:val="0"/>
              <w:jc w:val="center"/>
              <w:rPr>
                <w:sz w:val="14"/>
                <w:szCs w:val="14"/>
              </w:rPr>
            </w:pPr>
            <w:r w:rsidRPr="006E135C">
              <w:rPr>
                <w:sz w:val="14"/>
                <w:szCs w:val="14"/>
              </w:rPr>
              <w:t>[.11, .27]</w:t>
            </w:r>
          </w:p>
        </w:tc>
      </w:tr>
    </w:tbl>
    <w:p w14:paraId="2EA3650F" w14:textId="77777777" w:rsidR="00A570B0" w:rsidRPr="00DF32B6" w:rsidRDefault="00A570B0" w:rsidP="00A570B0">
      <w:pPr>
        <w:widowControl w:val="0"/>
        <w:autoSpaceDE w:val="0"/>
        <w:autoSpaceDN w:val="0"/>
        <w:adjustRightInd w:val="0"/>
        <w:rPr>
          <w:sz w:val="16"/>
          <w:szCs w:val="16"/>
        </w:rPr>
      </w:pPr>
    </w:p>
    <w:p w14:paraId="4D68CB09" w14:textId="6C24C573" w:rsidR="00A570B0" w:rsidRPr="00AE4384" w:rsidRDefault="00A570B0" w:rsidP="00A570B0">
      <w:pPr>
        <w:widowControl w:val="0"/>
        <w:autoSpaceDE w:val="0"/>
        <w:autoSpaceDN w:val="0"/>
        <w:adjustRightInd w:val="0"/>
        <w:rPr>
          <w:sz w:val="20"/>
          <w:szCs w:val="20"/>
        </w:rPr>
      </w:pPr>
      <w:r w:rsidRPr="00AE4384">
        <w:rPr>
          <w:i/>
          <w:iCs/>
          <w:sz w:val="20"/>
          <w:szCs w:val="20"/>
        </w:rPr>
        <w:t>Note.</w:t>
      </w:r>
      <w:r w:rsidRPr="00AE4384">
        <w:rPr>
          <w:sz w:val="20"/>
          <w:szCs w:val="20"/>
        </w:rPr>
        <w:t xml:space="preserve"> </w:t>
      </w:r>
      <w:r w:rsidRPr="00AE4384">
        <w:rPr>
          <w:i/>
          <w:iCs/>
          <w:sz w:val="20"/>
          <w:szCs w:val="20"/>
        </w:rPr>
        <w:t>M</w:t>
      </w:r>
      <w:r w:rsidRPr="00AE4384">
        <w:rPr>
          <w:sz w:val="20"/>
          <w:szCs w:val="20"/>
        </w:rPr>
        <w:t xml:space="preserve"> and </w:t>
      </w:r>
      <w:r w:rsidRPr="00AE4384">
        <w:rPr>
          <w:i/>
          <w:iCs/>
          <w:sz w:val="20"/>
          <w:szCs w:val="20"/>
        </w:rPr>
        <w:t>SD</w:t>
      </w:r>
      <w:r w:rsidRPr="00AE4384">
        <w:rPr>
          <w:sz w:val="20"/>
          <w:szCs w:val="20"/>
        </w:rPr>
        <w:t xml:space="preserve"> are used to represent mean and standard deviation, respectively. Values in square brackets indicate the 95% confidence interval for each correlation. The confidence interval is a plausible range of population correlations that could have caused the sample correlation (Cumming, 2014). * </w:t>
      </w:r>
      <w:proofErr w:type="gramStart"/>
      <w:r w:rsidRPr="00AE4384">
        <w:rPr>
          <w:sz w:val="20"/>
          <w:szCs w:val="20"/>
        </w:rPr>
        <w:t>indicates</w:t>
      </w:r>
      <w:proofErr w:type="gramEnd"/>
      <w:r w:rsidRPr="00AE4384">
        <w:rPr>
          <w:sz w:val="20"/>
          <w:szCs w:val="20"/>
        </w:rPr>
        <w:t xml:space="preserve"> </w:t>
      </w:r>
      <w:r w:rsidRPr="00AE4384">
        <w:rPr>
          <w:i/>
          <w:iCs/>
          <w:sz w:val="20"/>
          <w:szCs w:val="20"/>
        </w:rPr>
        <w:t>p</w:t>
      </w:r>
      <w:r w:rsidRPr="00AE4384">
        <w:rPr>
          <w:sz w:val="20"/>
          <w:szCs w:val="20"/>
        </w:rPr>
        <w:t xml:space="preserve"> &lt; .05. ** indicates </w:t>
      </w:r>
      <w:r w:rsidRPr="00AE4384">
        <w:rPr>
          <w:i/>
          <w:iCs/>
          <w:sz w:val="20"/>
          <w:szCs w:val="20"/>
        </w:rPr>
        <w:t>p</w:t>
      </w:r>
      <w:r w:rsidRPr="00AE4384">
        <w:rPr>
          <w:sz w:val="20"/>
          <w:szCs w:val="20"/>
        </w:rPr>
        <w:t xml:space="preserve"> &lt; .0</w:t>
      </w:r>
      <w:r w:rsidR="004532C6">
        <w:rPr>
          <w:sz w:val="20"/>
          <w:szCs w:val="20"/>
        </w:rPr>
        <w:t>0</w:t>
      </w:r>
      <w:r w:rsidRPr="00AE4384">
        <w:rPr>
          <w:sz w:val="20"/>
          <w:szCs w:val="20"/>
        </w:rPr>
        <w:t>1.</w:t>
      </w:r>
    </w:p>
    <w:p w14:paraId="48420943" w14:textId="77777777" w:rsidR="00A570B0" w:rsidRDefault="00A570B0" w:rsidP="00A570B0">
      <w:pPr>
        <w:widowControl w:val="0"/>
        <w:autoSpaceDE w:val="0"/>
        <w:autoSpaceDN w:val="0"/>
        <w:adjustRightInd w:val="0"/>
      </w:pPr>
    </w:p>
    <w:p w14:paraId="286A25E2" w14:textId="77777777" w:rsidR="00A570B0" w:rsidRDefault="00A570B0" w:rsidP="00A570B0"/>
    <w:p w14:paraId="0B3C2114" w14:textId="77777777" w:rsidR="00A570B0" w:rsidRDefault="00A570B0" w:rsidP="00A570B0">
      <w:pPr>
        <w:widowControl w:val="0"/>
        <w:autoSpaceDE w:val="0"/>
        <w:autoSpaceDN w:val="0"/>
        <w:adjustRightInd w:val="0"/>
      </w:pPr>
    </w:p>
    <w:p w14:paraId="0EDABFF7" w14:textId="77777777" w:rsidR="00A570B0" w:rsidRDefault="00A570B0"/>
    <w:p w14:paraId="4B484CC6" w14:textId="77777777" w:rsidR="00A570B0" w:rsidRDefault="00A570B0">
      <w:r>
        <w:br w:type="page"/>
      </w:r>
    </w:p>
    <w:p w14:paraId="5FFC5F92" w14:textId="77777777" w:rsidR="00A570B0" w:rsidRDefault="00A570B0" w:rsidP="000D0C3A">
      <w:pPr>
        <w:spacing w:line="480" w:lineRule="auto"/>
        <w:ind w:firstLine="720"/>
        <w:sectPr w:rsidR="00A570B0" w:rsidSect="00A570B0">
          <w:pgSz w:w="15840" w:h="12240" w:orient="landscape"/>
          <w:pgMar w:top="1440" w:right="1440" w:bottom="1440" w:left="1440" w:header="720" w:footer="720" w:gutter="0"/>
          <w:cols w:space="720"/>
          <w:docGrid w:linePitch="360"/>
        </w:sectPr>
      </w:pPr>
    </w:p>
    <w:p w14:paraId="77D99110" w14:textId="77777777" w:rsidR="004532C6" w:rsidRDefault="004532C6" w:rsidP="004532C6">
      <w:pPr>
        <w:spacing w:line="480" w:lineRule="auto"/>
        <w:ind w:firstLine="720"/>
      </w:pPr>
      <w:r>
        <w:lastRenderedPageBreak/>
        <w:t xml:space="preserve">To examine the relations between COVID-19 and prejudice, we ran six regression models to assess prejudice toward Asian people, and four models to assess prejudice toward Black people, which allowed us to examine how perceived and actual COVID-19 intensity (based either on numbers of deaths or numbers of cases, in separate analyses) related to each of our prejudice indicators: desire for social distance (Asian and Black people), support for exclusionary policy (Asian people only), negative affect (Asian and Black people), and whether these relations were moderated by contact (see Table 2 for a summary of models examining prejudice toward Asian people, and Table 3 for a summary of models examining prejudice toward Black people). </w:t>
      </w:r>
    </w:p>
    <w:p w14:paraId="709F02AE" w14:textId="77777777" w:rsidR="004532C6" w:rsidRDefault="004532C6" w:rsidP="004532C6">
      <w:pPr>
        <w:spacing w:line="480" w:lineRule="auto"/>
        <w:ind w:firstLine="720"/>
      </w:pPr>
      <w:r>
        <w:t>In the models for each prejudice indicator, we included as predictors both the main effects of perceived COVID-19 intensity (i.e., perceived number of deaths, or perceived number of cases, at the state level) and actual COVID-19 intensity (i.e., officially reported number of deaths, or number of cases, at the state level). This allowed us to examine how</w:t>
      </w:r>
      <w:r w:rsidRPr="00C9495D">
        <w:t xml:space="preserve"> </w:t>
      </w:r>
      <w:r>
        <w:t>COVID-19 intensity was related to specific dimensions of prejudice (</w:t>
      </w:r>
      <w:r w:rsidRPr="00F4506B">
        <w:rPr>
          <w:i/>
          <w:iCs/>
        </w:rPr>
        <w:t>Hypothesis 1</w:t>
      </w:r>
      <w:r>
        <w:t>), and whether perceived or actual intensity of COVID-19 was differentially related to prejudice (</w:t>
      </w:r>
      <w:r w:rsidRPr="00063625">
        <w:rPr>
          <w:i/>
        </w:rPr>
        <w:t xml:space="preserve">Hypothesis </w:t>
      </w:r>
      <w:r>
        <w:rPr>
          <w:i/>
        </w:rPr>
        <w:t>2</w:t>
      </w:r>
      <w:r>
        <w:t>). By comparing the patterns of results across models predicting prejudice toward Asian people to those predicting prejudice toward Black people, we were additionally able to ascertain whether COVID-19 intensity was specifically related to anti-Asian prejudice, or whether it might also be related to anti-Black prejudice (</w:t>
      </w:r>
      <w:r w:rsidRPr="000D67B1">
        <w:rPr>
          <w:i/>
          <w:iCs/>
        </w:rPr>
        <w:t xml:space="preserve">Hypothesis </w:t>
      </w:r>
      <w:r>
        <w:rPr>
          <w:i/>
          <w:iCs/>
        </w:rPr>
        <w:t>3</w:t>
      </w:r>
      <w:r>
        <w:t>).</w:t>
      </w:r>
      <w:r>
        <w:rPr>
          <w:rStyle w:val="FootnoteReference"/>
        </w:rPr>
        <w:footnoteReference w:id="7"/>
      </w:r>
      <w:r>
        <w:t xml:space="preserve"> </w:t>
      </w:r>
    </w:p>
    <w:p w14:paraId="1F36AE65" w14:textId="77777777" w:rsidR="004532C6" w:rsidRDefault="004532C6" w:rsidP="004532C6">
      <w:pPr>
        <w:spacing w:line="480" w:lineRule="auto"/>
        <w:ind w:firstLine="720"/>
      </w:pPr>
      <w:r>
        <w:lastRenderedPageBreak/>
        <w:t>In each of these models, we also included as predictors neighborhood proportion of the racial outgroup in question, the main effect of contact with that racial outgroup, the interaction of perceived COVID-19 intensity and contact, and the interaction of actual COVID-19 intensity and contact. For each model, the contact, neighborhood proportion and prejudice variables were matched by racial outgroup (i.e., when examining anti-Asian prejudice, we included contact with Asian people and neighborhood proportion of Asian people, and when examining anti-Black prejudice, we included contact with Black people and neighborhood proportion of Black people). This approach allowed us to test whether contact was associated with less prejudice even during this exceptional period of disease outbreak (</w:t>
      </w:r>
      <w:r w:rsidRPr="0055643B">
        <w:rPr>
          <w:i/>
          <w:iCs/>
        </w:rPr>
        <w:t xml:space="preserve">Hypothesis </w:t>
      </w:r>
      <w:r>
        <w:rPr>
          <w:i/>
          <w:iCs/>
        </w:rPr>
        <w:t>4</w:t>
      </w:r>
      <w:r>
        <w:t>), and whether any relations between COVID-19 intensity and prejudice were moderated by contact (</w:t>
      </w:r>
      <w:r w:rsidRPr="00063625">
        <w:rPr>
          <w:i/>
        </w:rPr>
        <w:t xml:space="preserve">Hypothesis </w:t>
      </w:r>
      <w:r>
        <w:rPr>
          <w:i/>
        </w:rPr>
        <w:t>5</w:t>
      </w:r>
      <w:r>
        <w:t>). Observing only</w:t>
      </w:r>
      <w:r w:rsidRPr="006A5100">
        <w:t xml:space="preserve"> a main effect of contact</w:t>
      </w:r>
      <w:r>
        <w:t xml:space="preserve"> </w:t>
      </w:r>
      <w:r w:rsidRPr="006A5100">
        <w:t xml:space="preserve">might suggest that the </w:t>
      </w:r>
      <w:r>
        <w:t>role</w:t>
      </w:r>
      <w:r w:rsidRPr="006A5100">
        <w:t xml:space="preserve"> of contact remain</w:t>
      </w:r>
      <w:r>
        <w:t>s</w:t>
      </w:r>
      <w:r w:rsidRPr="006A5100">
        <w:t xml:space="preserve"> consistent across a variety of contexts (e.g., during periods of calm and periods of turmoil).</w:t>
      </w:r>
      <w:r>
        <w:t xml:space="preserve"> In contrast, observing that contact moderates any relations between COVID-19 intensity and prejudice might suggest that contact functions differently during periods of disease outbreak—for instance, contact might relate to greater desire for social distance when infection risk is higher, because social distance is likely to reduce infection risk. </w:t>
      </w:r>
    </w:p>
    <w:p w14:paraId="0FCD22CC" w14:textId="77777777" w:rsidR="004532C6" w:rsidRDefault="004532C6" w:rsidP="004532C6">
      <w:pPr>
        <w:spacing w:line="480" w:lineRule="auto"/>
        <w:rPr>
          <w:b/>
          <w:bCs/>
        </w:rPr>
      </w:pPr>
      <w:r>
        <w:tab/>
        <w:t>Because our predictor variables were in some cases moderately correlated (see Table 1), we used the "vif” function in the “car” package (Fox &amp; Weisberg, 2019) to test for multicollinearity. All variables in all models showed variance inflation factors less than 2.19, suggesting that none of our models suffered from multicollinearity among predictors; we therefore retained all predictor variables</w:t>
      </w:r>
      <w:r w:rsidRPr="005E53DF">
        <w:t>.</w:t>
      </w:r>
    </w:p>
    <w:p w14:paraId="4BBCB83C" w14:textId="77777777" w:rsidR="004532C6" w:rsidRPr="00936216" w:rsidRDefault="004532C6" w:rsidP="004532C6">
      <w:pPr>
        <w:spacing w:line="480" w:lineRule="auto"/>
        <w:jc w:val="center"/>
        <w:rPr>
          <w:b/>
          <w:bCs/>
        </w:rPr>
      </w:pPr>
      <w:r w:rsidRPr="00AB0515">
        <w:rPr>
          <w:b/>
          <w:bCs/>
        </w:rPr>
        <w:t>Results</w:t>
      </w:r>
    </w:p>
    <w:p w14:paraId="21F4C49E" w14:textId="77777777" w:rsidR="004532C6" w:rsidRDefault="004532C6" w:rsidP="004532C6">
      <w:pPr>
        <w:spacing w:line="480" w:lineRule="auto"/>
        <w:ind w:firstLine="720"/>
      </w:pPr>
      <w:r>
        <w:lastRenderedPageBreak/>
        <w:t xml:space="preserve">Analyses examining each indicator of prejudice for anti-Asian and anti-Black prejudice are presented separately and are subdivided based on whether COVID-19 intensity was measured in number of deaths or number of cases. As a reminder, </w:t>
      </w:r>
      <w:r w:rsidRPr="005D2453">
        <w:rPr>
          <w:i/>
          <w:iCs/>
        </w:rPr>
        <w:t>perceived</w:t>
      </w:r>
      <w:r>
        <w:t xml:space="preserve"> COVID-19 intensity was based on participant estimates of the number of deaths and cases linked to COVID-19 in their state, while </w:t>
      </w:r>
      <w:r w:rsidRPr="00C71063">
        <w:rPr>
          <w:i/>
          <w:iCs/>
        </w:rPr>
        <w:t>actual</w:t>
      </w:r>
      <w:r>
        <w:t xml:space="preserve"> COVID-19 intensity was determined by the officially reported number of reported deaths and cases linked to COVID-19 at the state level </w:t>
      </w:r>
      <w:r w:rsidRPr="00AB0515">
        <w:t>(</w:t>
      </w:r>
      <w:r>
        <w:t>New York Times, 2020b</w:t>
      </w:r>
      <w:r w:rsidRPr="00AB0515">
        <w:t>)</w:t>
      </w:r>
      <w:r>
        <w:t xml:space="preserve">. </w:t>
      </w:r>
      <w:r w:rsidRPr="0063626D">
        <w:t>Model results, including parameter estimates and p-values, are presented in Table 2 (anti-Asian prejudice)</w:t>
      </w:r>
      <w:r>
        <w:t xml:space="preserve"> and </w:t>
      </w:r>
      <w:r w:rsidRPr="0063626D">
        <w:t>Table 3 (anti-Black prejudice).</w:t>
      </w:r>
    </w:p>
    <w:p w14:paraId="675547AF" w14:textId="77777777" w:rsidR="006A050B" w:rsidRDefault="006A050B" w:rsidP="006A050B">
      <w:pPr>
        <w:spacing w:line="480" w:lineRule="auto"/>
        <w:sectPr w:rsidR="006A050B" w:rsidSect="00A570B0">
          <w:pgSz w:w="12240" w:h="15840"/>
          <w:pgMar w:top="1440" w:right="1440" w:bottom="1440" w:left="1440" w:header="720" w:footer="720" w:gutter="0"/>
          <w:cols w:space="720"/>
          <w:docGrid w:linePitch="360"/>
        </w:sectPr>
      </w:pPr>
    </w:p>
    <w:p w14:paraId="58BF14CE" w14:textId="77777777" w:rsidR="006A050B" w:rsidRDefault="006A050B" w:rsidP="00C24E53">
      <w:pPr>
        <w:spacing w:line="480" w:lineRule="auto"/>
      </w:pPr>
    </w:p>
    <w:p w14:paraId="2DA1B875" w14:textId="77777777" w:rsidR="006A050B" w:rsidRDefault="006A050B" w:rsidP="006A050B">
      <w:pPr>
        <w:rPr>
          <w:b/>
          <w:bCs/>
        </w:rPr>
      </w:pPr>
    </w:p>
    <w:p w14:paraId="302E2CEF" w14:textId="35A08934" w:rsidR="006A050B" w:rsidRDefault="006A050B" w:rsidP="006A050B">
      <w:r>
        <w:rPr>
          <w:b/>
          <w:bCs/>
        </w:rPr>
        <w:t>Table 2</w:t>
      </w:r>
      <w:r w:rsidR="005958BC">
        <w:rPr>
          <w:rStyle w:val="FootnoteReference"/>
        </w:rPr>
        <w:footnoteReference w:id="8"/>
      </w:r>
    </w:p>
    <w:p w14:paraId="767E8AC9" w14:textId="799332A6" w:rsidR="006A050B" w:rsidRPr="00D8712F" w:rsidRDefault="006A050B" w:rsidP="006A050B">
      <w:r w:rsidRPr="00361413">
        <w:rPr>
          <w:i/>
          <w:iCs/>
        </w:rPr>
        <w:t>Summary of model results, including parameter estimates and p-values</w:t>
      </w:r>
      <w:r>
        <w:rPr>
          <w:i/>
          <w:iCs/>
        </w:rPr>
        <w:t xml:space="preserve"> when anti-Asian prejudice is the outcome variable.</w:t>
      </w:r>
      <w:r w:rsidR="00C24E53" w:rsidRPr="00C24E53">
        <w:rPr>
          <w:i/>
          <w:iCs/>
        </w:rPr>
        <w:t xml:space="preserve"> </w:t>
      </w:r>
      <w:r w:rsidR="00C24E53">
        <w:rPr>
          <w:i/>
          <w:iCs/>
        </w:rPr>
        <w:t>Bold values indicate relations where p &lt; .05.</w:t>
      </w:r>
    </w:p>
    <w:tbl>
      <w:tblPr>
        <w:tblStyle w:val="PlainTable2"/>
        <w:tblW w:w="13462" w:type="dxa"/>
        <w:tblInd w:w="-862" w:type="dxa"/>
        <w:tblLook w:val="04A0" w:firstRow="1" w:lastRow="0" w:firstColumn="1" w:lastColumn="0" w:noHBand="0" w:noVBand="1"/>
      </w:tblPr>
      <w:tblGrid>
        <w:gridCol w:w="3342"/>
        <w:gridCol w:w="1250"/>
        <w:gridCol w:w="1249"/>
        <w:gridCol w:w="1238"/>
        <w:gridCol w:w="1244"/>
        <w:gridCol w:w="2070"/>
        <w:gridCol w:w="1123"/>
        <w:gridCol w:w="1199"/>
        <w:gridCol w:w="747"/>
      </w:tblGrid>
      <w:tr w:rsidR="006A050B" w:rsidRPr="00F158C7" w14:paraId="27DF83E0" w14:textId="77777777" w:rsidTr="00CC12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2" w:type="dxa"/>
          </w:tcPr>
          <w:p w14:paraId="6F9F4989" w14:textId="77777777" w:rsidR="006A050B" w:rsidRPr="00F158C7" w:rsidRDefault="006A050B" w:rsidP="00CC122C">
            <w:pPr>
              <w:rPr>
                <w:i/>
                <w:iCs/>
                <w:sz w:val="20"/>
                <w:szCs w:val="20"/>
              </w:rPr>
            </w:pPr>
          </w:p>
        </w:tc>
        <w:tc>
          <w:tcPr>
            <w:tcW w:w="4981" w:type="dxa"/>
            <w:gridSpan w:val="4"/>
          </w:tcPr>
          <w:p w14:paraId="4CD50B2C" w14:textId="77777777" w:rsidR="006A050B" w:rsidRPr="00F158C7" w:rsidRDefault="006A050B" w:rsidP="00CC122C">
            <w:pPr>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F158C7">
              <w:rPr>
                <w:sz w:val="20"/>
                <w:szCs w:val="20"/>
              </w:rPr>
              <w:t xml:space="preserve">Analyses with COVID-19 Intensity based on </w:t>
            </w:r>
            <w:r w:rsidRPr="00F158C7">
              <w:rPr>
                <w:i/>
                <w:iCs/>
                <w:sz w:val="20"/>
                <w:szCs w:val="20"/>
              </w:rPr>
              <w:t>DEATHS</w:t>
            </w:r>
          </w:p>
        </w:tc>
        <w:tc>
          <w:tcPr>
            <w:tcW w:w="5139" w:type="dxa"/>
            <w:gridSpan w:val="4"/>
          </w:tcPr>
          <w:p w14:paraId="241A814F" w14:textId="77777777" w:rsidR="006A050B" w:rsidRPr="00F158C7" w:rsidRDefault="006A050B" w:rsidP="00CC122C">
            <w:pPr>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F158C7">
              <w:rPr>
                <w:sz w:val="20"/>
                <w:szCs w:val="20"/>
              </w:rPr>
              <w:t xml:space="preserve">Analyses with COVID-19 Intensity based on </w:t>
            </w:r>
            <w:r w:rsidRPr="00F158C7">
              <w:rPr>
                <w:i/>
                <w:sz w:val="20"/>
                <w:szCs w:val="20"/>
              </w:rPr>
              <w:t>CASES</w:t>
            </w:r>
          </w:p>
        </w:tc>
      </w:tr>
      <w:tr w:rsidR="006A050B" w:rsidRPr="00F158C7" w14:paraId="3B686524" w14:textId="77777777" w:rsidTr="00CC1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2" w:type="dxa"/>
          </w:tcPr>
          <w:p w14:paraId="44D2E97D" w14:textId="77777777" w:rsidR="006A050B" w:rsidRPr="00F158C7" w:rsidRDefault="006A050B" w:rsidP="00CC122C">
            <w:pPr>
              <w:rPr>
                <w:i/>
                <w:iCs/>
                <w:sz w:val="20"/>
                <w:szCs w:val="20"/>
              </w:rPr>
            </w:pPr>
          </w:p>
        </w:tc>
        <w:tc>
          <w:tcPr>
            <w:tcW w:w="10120" w:type="dxa"/>
            <w:gridSpan w:val="8"/>
          </w:tcPr>
          <w:p w14:paraId="6A543454"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b/>
                <w:bCs/>
                <w:i/>
                <w:iCs/>
                <w:sz w:val="20"/>
                <w:szCs w:val="20"/>
              </w:rPr>
            </w:pPr>
            <w:r w:rsidRPr="00F158C7">
              <w:rPr>
                <w:b/>
                <w:bCs/>
                <w:sz w:val="20"/>
                <w:szCs w:val="20"/>
              </w:rPr>
              <w:t xml:space="preserve">Desire </w:t>
            </w:r>
            <w:r>
              <w:rPr>
                <w:b/>
                <w:bCs/>
                <w:sz w:val="20"/>
                <w:szCs w:val="20"/>
              </w:rPr>
              <w:t>for social distance from</w:t>
            </w:r>
            <w:r w:rsidRPr="00F158C7">
              <w:rPr>
                <w:b/>
                <w:bCs/>
                <w:sz w:val="20"/>
                <w:szCs w:val="20"/>
              </w:rPr>
              <w:t xml:space="preserve"> Asian people</w:t>
            </w:r>
          </w:p>
        </w:tc>
      </w:tr>
      <w:tr w:rsidR="006A050B" w:rsidRPr="00F158C7" w14:paraId="327626B0" w14:textId="77777777" w:rsidTr="00CC122C">
        <w:tc>
          <w:tcPr>
            <w:cnfStyle w:val="001000000000" w:firstRow="0" w:lastRow="0" w:firstColumn="1" w:lastColumn="0" w:oddVBand="0" w:evenVBand="0" w:oddHBand="0" w:evenHBand="0" w:firstRowFirstColumn="0" w:firstRowLastColumn="0" w:lastRowFirstColumn="0" w:lastRowLastColumn="0"/>
            <w:tcW w:w="3342" w:type="dxa"/>
          </w:tcPr>
          <w:p w14:paraId="2EFCDBC3" w14:textId="77777777" w:rsidR="006A050B" w:rsidRPr="00F158C7" w:rsidRDefault="006A050B" w:rsidP="00CC122C">
            <w:pPr>
              <w:rPr>
                <w:b w:val="0"/>
                <w:bCs w:val="0"/>
                <w:i/>
                <w:iCs/>
                <w:sz w:val="20"/>
                <w:szCs w:val="20"/>
              </w:rPr>
            </w:pPr>
            <w:r w:rsidRPr="00F158C7">
              <w:rPr>
                <w:b w:val="0"/>
                <w:bCs w:val="0"/>
                <w:i/>
                <w:iCs/>
                <w:sz w:val="20"/>
                <w:szCs w:val="20"/>
              </w:rPr>
              <w:t>Predictor</w:t>
            </w:r>
          </w:p>
        </w:tc>
        <w:tc>
          <w:tcPr>
            <w:tcW w:w="1250" w:type="dxa"/>
          </w:tcPr>
          <w:p w14:paraId="35879ED5" w14:textId="77777777" w:rsidR="006A050B" w:rsidRPr="00F158C7" w:rsidRDefault="006A050B" w:rsidP="00CC122C">
            <w:pPr>
              <w:tabs>
                <w:tab w:val="left" w:pos="756"/>
              </w:tabs>
              <w:jc w:val="center"/>
              <w:cnfStyle w:val="000000000000" w:firstRow="0" w:lastRow="0" w:firstColumn="0" w:lastColumn="0" w:oddVBand="0" w:evenVBand="0" w:oddHBand="0" w:evenHBand="0" w:firstRowFirstColumn="0" w:firstRowLastColumn="0" w:lastRowFirstColumn="0" w:lastRowLastColumn="0"/>
              <w:rPr>
                <w:i/>
                <w:iCs/>
                <w:sz w:val="20"/>
                <w:szCs w:val="20"/>
              </w:rPr>
            </w:pPr>
            <m:oMathPara>
              <m:oMath>
                <m:r>
                  <w:rPr>
                    <w:rFonts w:ascii="Cambria Math" w:hAnsi="Cambria Math"/>
                    <w:sz w:val="20"/>
                    <w:szCs w:val="20"/>
                  </w:rPr>
                  <m:t>β</m:t>
                </m:r>
              </m:oMath>
            </m:oMathPara>
          </w:p>
        </w:tc>
        <w:tc>
          <w:tcPr>
            <w:tcW w:w="1249" w:type="dxa"/>
          </w:tcPr>
          <w:p w14:paraId="2EE526CC"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F158C7">
              <w:rPr>
                <w:i/>
                <w:iCs/>
                <w:sz w:val="20"/>
                <w:szCs w:val="20"/>
              </w:rPr>
              <w:t>SE</w:t>
            </w:r>
          </w:p>
        </w:tc>
        <w:tc>
          <w:tcPr>
            <w:tcW w:w="1238" w:type="dxa"/>
          </w:tcPr>
          <w:p w14:paraId="280E3CA6"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F158C7">
              <w:rPr>
                <w:i/>
                <w:iCs/>
                <w:sz w:val="20"/>
                <w:szCs w:val="20"/>
              </w:rPr>
              <w:t>t</w:t>
            </w:r>
          </w:p>
        </w:tc>
        <w:tc>
          <w:tcPr>
            <w:tcW w:w="1244" w:type="dxa"/>
          </w:tcPr>
          <w:p w14:paraId="45396C4B"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F158C7">
              <w:rPr>
                <w:i/>
                <w:iCs/>
                <w:sz w:val="20"/>
                <w:szCs w:val="20"/>
              </w:rPr>
              <w:t>p</w:t>
            </w:r>
          </w:p>
        </w:tc>
        <w:tc>
          <w:tcPr>
            <w:tcW w:w="2070" w:type="dxa"/>
          </w:tcPr>
          <w:p w14:paraId="46FC57BB"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m:oMathPara>
              <m:oMath>
                <m:r>
                  <w:rPr>
                    <w:rFonts w:ascii="Cambria Math" w:hAnsi="Cambria Math"/>
                    <w:sz w:val="20"/>
                    <w:szCs w:val="20"/>
                  </w:rPr>
                  <m:t>β</m:t>
                </m:r>
              </m:oMath>
            </m:oMathPara>
          </w:p>
        </w:tc>
        <w:tc>
          <w:tcPr>
            <w:tcW w:w="1123" w:type="dxa"/>
          </w:tcPr>
          <w:p w14:paraId="59BE7CA5"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158C7">
              <w:rPr>
                <w:i/>
                <w:iCs/>
                <w:sz w:val="20"/>
                <w:szCs w:val="20"/>
              </w:rPr>
              <w:t>SE</w:t>
            </w:r>
          </w:p>
        </w:tc>
        <w:tc>
          <w:tcPr>
            <w:tcW w:w="1199" w:type="dxa"/>
          </w:tcPr>
          <w:p w14:paraId="7BC0AC5D"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158C7">
              <w:rPr>
                <w:i/>
                <w:iCs/>
                <w:sz w:val="20"/>
                <w:szCs w:val="20"/>
              </w:rPr>
              <w:t>t</w:t>
            </w:r>
          </w:p>
        </w:tc>
        <w:tc>
          <w:tcPr>
            <w:tcW w:w="747" w:type="dxa"/>
          </w:tcPr>
          <w:p w14:paraId="29A1779A"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158C7">
              <w:rPr>
                <w:i/>
                <w:iCs/>
                <w:sz w:val="20"/>
                <w:szCs w:val="20"/>
              </w:rPr>
              <w:t>p</w:t>
            </w:r>
          </w:p>
        </w:tc>
      </w:tr>
      <w:tr w:rsidR="006A050B" w:rsidRPr="00F158C7" w14:paraId="773C54F6" w14:textId="77777777" w:rsidTr="00CC1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2" w:type="dxa"/>
            <w:tcBorders>
              <w:bottom w:val="nil"/>
            </w:tcBorders>
          </w:tcPr>
          <w:p w14:paraId="79B6FC4F" w14:textId="77777777" w:rsidR="006A050B" w:rsidRPr="00026D59" w:rsidRDefault="006A050B" w:rsidP="00CC122C">
            <w:pPr>
              <w:rPr>
                <w:b w:val="0"/>
                <w:bCs w:val="0"/>
                <w:sz w:val="20"/>
                <w:szCs w:val="20"/>
              </w:rPr>
            </w:pPr>
            <w:r w:rsidRPr="00026D59">
              <w:rPr>
                <w:b w:val="0"/>
                <w:bCs w:val="0"/>
                <w:sz w:val="20"/>
                <w:szCs w:val="20"/>
              </w:rPr>
              <w:t>Perceived COVID-19 intensity</w:t>
            </w:r>
          </w:p>
        </w:tc>
        <w:tc>
          <w:tcPr>
            <w:tcW w:w="1250" w:type="dxa"/>
            <w:tcBorders>
              <w:bottom w:val="nil"/>
            </w:tcBorders>
          </w:tcPr>
          <w:p w14:paraId="7BFA62C0"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1.06 x10-4</w:t>
            </w:r>
          </w:p>
        </w:tc>
        <w:tc>
          <w:tcPr>
            <w:tcW w:w="1249" w:type="dxa"/>
            <w:tcBorders>
              <w:bottom w:val="nil"/>
            </w:tcBorders>
          </w:tcPr>
          <w:p w14:paraId="4FAB49EC"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3.13 x10-5</w:t>
            </w:r>
          </w:p>
        </w:tc>
        <w:tc>
          <w:tcPr>
            <w:tcW w:w="1238" w:type="dxa"/>
            <w:tcBorders>
              <w:bottom w:val="nil"/>
            </w:tcBorders>
          </w:tcPr>
          <w:p w14:paraId="793FCB68"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3.38</w:t>
            </w:r>
          </w:p>
        </w:tc>
        <w:tc>
          <w:tcPr>
            <w:tcW w:w="1244" w:type="dxa"/>
            <w:tcBorders>
              <w:bottom w:val="nil"/>
            </w:tcBorders>
          </w:tcPr>
          <w:p w14:paraId="1F6B4B78"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&lt; .001</w:t>
            </w:r>
          </w:p>
        </w:tc>
        <w:tc>
          <w:tcPr>
            <w:tcW w:w="2070" w:type="dxa"/>
            <w:tcBorders>
              <w:bottom w:val="nil"/>
            </w:tcBorders>
          </w:tcPr>
          <w:p w14:paraId="723B09A4" w14:textId="77777777" w:rsidR="006A050B" w:rsidRPr="009A17FD" w:rsidRDefault="006A050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9A17FD">
              <w:rPr>
                <w:b/>
                <w:bCs/>
                <w:sz w:val="20"/>
                <w:szCs w:val="20"/>
              </w:rPr>
              <w:t>6.51 x10-6</w:t>
            </w:r>
          </w:p>
        </w:tc>
        <w:tc>
          <w:tcPr>
            <w:tcW w:w="1123" w:type="dxa"/>
            <w:tcBorders>
              <w:bottom w:val="nil"/>
            </w:tcBorders>
          </w:tcPr>
          <w:p w14:paraId="5DEDCA9E" w14:textId="77777777" w:rsidR="006A050B" w:rsidRPr="009A17FD" w:rsidRDefault="006A050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9A17FD">
              <w:rPr>
                <w:b/>
                <w:bCs/>
                <w:sz w:val="20"/>
                <w:szCs w:val="20"/>
              </w:rPr>
              <w:t>2.90 x10-6</w:t>
            </w:r>
          </w:p>
        </w:tc>
        <w:tc>
          <w:tcPr>
            <w:tcW w:w="1199" w:type="dxa"/>
            <w:tcBorders>
              <w:bottom w:val="nil"/>
            </w:tcBorders>
          </w:tcPr>
          <w:p w14:paraId="0682FAED" w14:textId="77777777" w:rsidR="006A050B" w:rsidRPr="009A17FD" w:rsidRDefault="006A050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9A17FD">
              <w:rPr>
                <w:b/>
                <w:bCs/>
                <w:sz w:val="20"/>
                <w:szCs w:val="20"/>
              </w:rPr>
              <w:t>2.25</w:t>
            </w:r>
          </w:p>
        </w:tc>
        <w:tc>
          <w:tcPr>
            <w:tcW w:w="747" w:type="dxa"/>
            <w:tcBorders>
              <w:bottom w:val="nil"/>
            </w:tcBorders>
          </w:tcPr>
          <w:p w14:paraId="69E0FC4F" w14:textId="77777777" w:rsidR="006A050B" w:rsidRPr="009A17FD" w:rsidRDefault="006A050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9A17FD">
              <w:rPr>
                <w:b/>
                <w:bCs/>
                <w:sz w:val="20"/>
                <w:szCs w:val="20"/>
              </w:rPr>
              <w:t>0.</w:t>
            </w:r>
            <w:r>
              <w:rPr>
                <w:b/>
                <w:bCs/>
                <w:sz w:val="20"/>
                <w:szCs w:val="20"/>
              </w:rPr>
              <w:t>03</w:t>
            </w:r>
          </w:p>
        </w:tc>
      </w:tr>
      <w:tr w:rsidR="006A050B" w:rsidRPr="00F158C7" w14:paraId="75227570" w14:textId="77777777" w:rsidTr="00CC122C">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609461A5" w14:textId="77777777" w:rsidR="006A050B" w:rsidRPr="00026D59" w:rsidRDefault="006A050B" w:rsidP="00CC122C">
            <w:pPr>
              <w:rPr>
                <w:b w:val="0"/>
                <w:bCs w:val="0"/>
                <w:sz w:val="20"/>
                <w:szCs w:val="20"/>
              </w:rPr>
            </w:pPr>
            <w:r w:rsidRPr="00026D59">
              <w:rPr>
                <w:b w:val="0"/>
                <w:bCs w:val="0"/>
                <w:sz w:val="20"/>
                <w:szCs w:val="20"/>
              </w:rPr>
              <w:t>Actual COVID-19 intensity</w:t>
            </w:r>
          </w:p>
        </w:tc>
        <w:tc>
          <w:tcPr>
            <w:tcW w:w="1250" w:type="dxa"/>
            <w:tcBorders>
              <w:top w:val="nil"/>
              <w:bottom w:val="nil"/>
            </w:tcBorders>
          </w:tcPr>
          <w:p w14:paraId="3772CF95" w14:textId="77777777" w:rsidR="006A050B" w:rsidRPr="00F158C7" w:rsidRDefault="006A050B" w:rsidP="00CC12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-6.24 x10-5</w:t>
            </w:r>
          </w:p>
        </w:tc>
        <w:tc>
          <w:tcPr>
            <w:tcW w:w="1249" w:type="dxa"/>
            <w:tcBorders>
              <w:top w:val="nil"/>
              <w:bottom w:val="nil"/>
            </w:tcBorders>
          </w:tcPr>
          <w:p w14:paraId="4A925C66"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1.18 x10-4</w:t>
            </w:r>
          </w:p>
        </w:tc>
        <w:tc>
          <w:tcPr>
            <w:tcW w:w="1238" w:type="dxa"/>
            <w:tcBorders>
              <w:top w:val="nil"/>
              <w:bottom w:val="nil"/>
            </w:tcBorders>
          </w:tcPr>
          <w:p w14:paraId="6BEF83A7"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-0.53</w:t>
            </w:r>
          </w:p>
        </w:tc>
        <w:tc>
          <w:tcPr>
            <w:tcW w:w="1244" w:type="dxa"/>
            <w:tcBorders>
              <w:top w:val="nil"/>
              <w:bottom w:val="nil"/>
            </w:tcBorders>
          </w:tcPr>
          <w:p w14:paraId="5E9A8C43"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0.60</w:t>
            </w:r>
          </w:p>
        </w:tc>
        <w:tc>
          <w:tcPr>
            <w:tcW w:w="2070" w:type="dxa"/>
            <w:tcBorders>
              <w:top w:val="nil"/>
              <w:bottom w:val="nil"/>
            </w:tcBorders>
          </w:tcPr>
          <w:p w14:paraId="6A03C413"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-3.20 x10-6</w:t>
            </w:r>
          </w:p>
        </w:tc>
        <w:tc>
          <w:tcPr>
            <w:tcW w:w="1123" w:type="dxa"/>
            <w:tcBorders>
              <w:top w:val="nil"/>
              <w:bottom w:val="nil"/>
            </w:tcBorders>
          </w:tcPr>
          <w:p w14:paraId="2D85EFA9"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4.01 x10-6</w:t>
            </w:r>
          </w:p>
        </w:tc>
        <w:tc>
          <w:tcPr>
            <w:tcW w:w="1199" w:type="dxa"/>
            <w:tcBorders>
              <w:top w:val="nil"/>
              <w:bottom w:val="nil"/>
            </w:tcBorders>
          </w:tcPr>
          <w:p w14:paraId="0647E94F"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-0.78</w:t>
            </w:r>
          </w:p>
        </w:tc>
        <w:tc>
          <w:tcPr>
            <w:tcW w:w="747" w:type="dxa"/>
            <w:tcBorders>
              <w:top w:val="nil"/>
              <w:bottom w:val="nil"/>
            </w:tcBorders>
          </w:tcPr>
          <w:p w14:paraId="0FCE370C"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0.44</w:t>
            </w:r>
          </w:p>
        </w:tc>
      </w:tr>
      <w:tr w:rsidR="006A050B" w:rsidRPr="00F158C7" w14:paraId="35B991C4" w14:textId="77777777" w:rsidTr="00CC1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46003EBA" w14:textId="77777777" w:rsidR="006A050B" w:rsidRPr="00026D59" w:rsidRDefault="006A050B" w:rsidP="00CC122C">
            <w:pPr>
              <w:rPr>
                <w:b w:val="0"/>
                <w:bCs w:val="0"/>
                <w:sz w:val="20"/>
                <w:szCs w:val="20"/>
              </w:rPr>
            </w:pPr>
            <w:r w:rsidRPr="00026D59">
              <w:rPr>
                <w:b w:val="0"/>
                <w:bCs w:val="0"/>
                <w:sz w:val="20"/>
                <w:szCs w:val="20"/>
              </w:rPr>
              <w:t>Contact with Asian people</w:t>
            </w:r>
          </w:p>
        </w:tc>
        <w:tc>
          <w:tcPr>
            <w:tcW w:w="1250" w:type="dxa"/>
            <w:tcBorders>
              <w:top w:val="nil"/>
              <w:bottom w:val="nil"/>
            </w:tcBorders>
          </w:tcPr>
          <w:p w14:paraId="127334EC" w14:textId="77777777" w:rsidR="006A050B" w:rsidRPr="00FA2D8E"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2D8E">
              <w:rPr>
                <w:sz w:val="20"/>
                <w:szCs w:val="20"/>
              </w:rPr>
              <w:t>-</w:t>
            </w:r>
            <w:r>
              <w:rPr>
                <w:sz w:val="20"/>
                <w:szCs w:val="20"/>
              </w:rPr>
              <w:t>0</w:t>
            </w:r>
            <w:r w:rsidRPr="00FA2D8E">
              <w:rPr>
                <w:sz w:val="20"/>
                <w:szCs w:val="20"/>
              </w:rPr>
              <w:t>.018</w:t>
            </w:r>
          </w:p>
        </w:tc>
        <w:tc>
          <w:tcPr>
            <w:tcW w:w="1249" w:type="dxa"/>
            <w:tcBorders>
              <w:top w:val="nil"/>
              <w:bottom w:val="nil"/>
            </w:tcBorders>
          </w:tcPr>
          <w:p w14:paraId="68C202EB" w14:textId="77777777" w:rsidR="006A050B" w:rsidRPr="00FA2D8E"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2D8E">
              <w:rPr>
                <w:sz w:val="20"/>
                <w:szCs w:val="20"/>
              </w:rPr>
              <w:t>9.72 x10-3</w:t>
            </w:r>
          </w:p>
        </w:tc>
        <w:tc>
          <w:tcPr>
            <w:tcW w:w="1238" w:type="dxa"/>
            <w:tcBorders>
              <w:top w:val="nil"/>
              <w:bottom w:val="nil"/>
            </w:tcBorders>
          </w:tcPr>
          <w:p w14:paraId="75F6F29F" w14:textId="77777777" w:rsidR="006A050B" w:rsidRPr="00FA2D8E"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2D8E">
              <w:rPr>
                <w:sz w:val="20"/>
                <w:szCs w:val="20"/>
              </w:rPr>
              <w:t>-1.82</w:t>
            </w:r>
          </w:p>
        </w:tc>
        <w:tc>
          <w:tcPr>
            <w:tcW w:w="1244" w:type="dxa"/>
            <w:tcBorders>
              <w:top w:val="nil"/>
              <w:bottom w:val="nil"/>
            </w:tcBorders>
          </w:tcPr>
          <w:p w14:paraId="1DC6A444" w14:textId="77777777" w:rsidR="006A050B" w:rsidRPr="00FA2D8E"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sidRPr="00FA2D8E">
              <w:rPr>
                <w:sz w:val="20"/>
                <w:szCs w:val="20"/>
              </w:rPr>
              <w:t>0.</w:t>
            </w:r>
            <w:r>
              <w:rPr>
                <w:sz w:val="20"/>
                <w:szCs w:val="20"/>
              </w:rPr>
              <w:t>07</w:t>
            </w:r>
          </w:p>
        </w:tc>
        <w:tc>
          <w:tcPr>
            <w:tcW w:w="2070" w:type="dxa"/>
            <w:tcBorders>
              <w:top w:val="nil"/>
              <w:bottom w:val="nil"/>
            </w:tcBorders>
          </w:tcPr>
          <w:p w14:paraId="68988AC2" w14:textId="77777777" w:rsidR="006A050B" w:rsidRPr="009A17FD"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sidRPr="009A17FD">
              <w:rPr>
                <w:sz w:val="20"/>
                <w:szCs w:val="20"/>
              </w:rPr>
              <w:t>-</w:t>
            </w:r>
            <w:r>
              <w:rPr>
                <w:sz w:val="20"/>
                <w:szCs w:val="20"/>
              </w:rPr>
              <w:t>0</w:t>
            </w:r>
            <w:r w:rsidRPr="009A17FD">
              <w:rPr>
                <w:sz w:val="20"/>
                <w:szCs w:val="20"/>
              </w:rPr>
              <w:t>.017</w:t>
            </w:r>
          </w:p>
        </w:tc>
        <w:tc>
          <w:tcPr>
            <w:tcW w:w="1123" w:type="dxa"/>
            <w:tcBorders>
              <w:top w:val="nil"/>
              <w:bottom w:val="nil"/>
            </w:tcBorders>
          </w:tcPr>
          <w:p w14:paraId="3F102E4F" w14:textId="77777777" w:rsidR="006A050B" w:rsidRPr="009A17FD"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sidRPr="009A17FD">
              <w:rPr>
                <w:sz w:val="20"/>
                <w:szCs w:val="20"/>
              </w:rPr>
              <w:t>9.75 x10-3</w:t>
            </w:r>
          </w:p>
        </w:tc>
        <w:tc>
          <w:tcPr>
            <w:tcW w:w="1199" w:type="dxa"/>
            <w:tcBorders>
              <w:top w:val="nil"/>
              <w:bottom w:val="nil"/>
            </w:tcBorders>
          </w:tcPr>
          <w:p w14:paraId="6ACD73E0" w14:textId="77777777" w:rsidR="006A050B" w:rsidRPr="009A17FD"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sidRPr="009A17FD">
              <w:rPr>
                <w:sz w:val="20"/>
                <w:szCs w:val="20"/>
              </w:rPr>
              <w:t>-1.77</w:t>
            </w:r>
          </w:p>
        </w:tc>
        <w:tc>
          <w:tcPr>
            <w:tcW w:w="747" w:type="dxa"/>
            <w:tcBorders>
              <w:top w:val="nil"/>
              <w:bottom w:val="nil"/>
            </w:tcBorders>
          </w:tcPr>
          <w:p w14:paraId="66E336C8" w14:textId="77777777" w:rsidR="006A050B" w:rsidRPr="009A17FD"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sidRPr="009A17FD">
              <w:rPr>
                <w:sz w:val="20"/>
                <w:szCs w:val="20"/>
              </w:rPr>
              <w:t>0.08</w:t>
            </w:r>
          </w:p>
        </w:tc>
      </w:tr>
      <w:tr w:rsidR="006A050B" w:rsidRPr="00F158C7" w14:paraId="7CF15ACD" w14:textId="77777777" w:rsidTr="00CC122C">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2B19D064" w14:textId="77777777" w:rsidR="006A050B" w:rsidRPr="00026D59" w:rsidRDefault="006A050B" w:rsidP="00CC122C">
            <w:pPr>
              <w:rPr>
                <w:b w:val="0"/>
                <w:bCs w:val="0"/>
                <w:sz w:val="20"/>
                <w:szCs w:val="20"/>
              </w:rPr>
            </w:pPr>
            <w:r w:rsidRPr="00026D59">
              <w:rPr>
                <w:b w:val="0"/>
                <w:bCs w:val="0"/>
                <w:sz w:val="20"/>
                <w:szCs w:val="20"/>
              </w:rPr>
              <w:t>Perceived intensity x contact</w:t>
            </w:r>
          </w:p>
        </w:tc>
        <w:tc>
          <w:tcPr>
            <w:tcW w:w="1250" w:type="dxa"/>
            <w:tcBorders>
              <w:top w:val="nil"/>
              <w:bottom w:val="nil"/>
            </w:tcBorders>
          </w:tcPr>
          <w:p w14:paraId="185C4B0C"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1.98 x10-6</w:t>
            </w:r>
          </w:p>
        </w:tc>
        <w:tc>
          <w:tcPr>
            <w:tcW w:w="1249" w:type="dxa"/>
            <w:tcBorders>
              <w:top w:val="nil"/>
              <w:bottom w:val="nil"/>
            </w:tcBorders>
          </w:tcPr>
          <w:p w14:paraId="27B7C01C"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6.90 x10-6</w:t>
            </w:r>
          </w:p>
        </w:tc>
        <w:tc>
          <w:tcPr>
            <w:tcW w:w="1238" w:type="dxa"/>
            <w:tcBorders>
              <w:top w:val="nil"/>
              <w:bottom w:val="nil"/>
            </w:tcBorders>
          </w:tcPr>
          <w:p w14:paraId="4F51C737"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0.29</w:t>
            </w:r>
          </w:p>
        </w:tc>
        <w:tc>
          <w:tcPr>
            <w:tcW w:w="1244" w:type="dxa"/>
            <w:tcBorders>
              <w:top w:val="nil"/>
              <w:bottom w:val="nil"/>
            </w:tcBorders>
          </w:tcPr>
          <w:p w14:paraId="0F54690B"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0.77</w:t>
            </w:r>
          </w:p>
        </w:tc>
        <w:tc>
          <w:tcPr>
            <w:tcW w:w="2070" w:type="dxa"/>
            <w:tcBorders>
              <w:top w:val="nil"/>
              <w:bottom w:val="nil"/>
            </w:tcBorders>
          </w:tcPr>
          <w:p w14:paraId="344E793A"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2.61 x10-7</w:t>
            </w:r>
          </w:p>
        </w:tc>
        <w:tc>
          <w:tcPr>
            <w:tcW w:w="1123" w:type="dxa"/>
            <w:tcBorders>
              <w:top w:val="nil"/>
              <w:bottom w:val="nil"/>
            </w:tcBorders>
          </w:tcPr>
          <w:p w14:paraId="418D82AF"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5.89 x10-7</w:t>
            </w:r>
          </w:p>
        </w:tc>
        <w:tc>
          <w:tcPr>
            <w:tcW w:w="1199" w:type="dxa"/>
            <w:tcBorders>
              <w:top w:val="nil"/>
              <w:bottom w:val="nil"/>
            </w:tcBorders>
          </w:tcPr>
          <w:p w14:paraId="6CDB3A87"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0.44</w:t>
            </w:r>
          </w:p>
        </w:tc>
        <w:tc>
          <w:tcPr>
            <w:tcW w:w="747" w:type="dxa"/>
            <w:tcBorders>
              <w:top w:val="nil"/>
              <w:bottom w:val="nil"/>
            </w:tcBorders>
          </w:tcPr>
          <w:p w14:paraId="31614DC5"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0.66</w:t>
            </w:r>
          </w:p>
        </w:tc>
      </w:tr>
      <w:tr w:rsidR="006A050B" w:rsidRPr="00F158C7" w14:paraId="6E774BB5" w14:textId="77777777" w:rsidTr="00CC1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52355B50" w14:textId="77777777" w:rsidR="006A050B" w:rsidRPr="00026D59" w:rsidRDefault="006A050B" w:rsidP="00CC122C">
            <w:pPr>
              <w:rPr>
                <w:sz w:val="20"/>
                <w:szCs w:val="20"/>
              </w:rPr>
            </w:pPr>
            <w:r w:rsidRPr="00026D59">
              <w:rPr>
                <w:b w:val="0"/>
                <w:bCs w:val="0"/>
                <w:sz w:val="20"/>
                <w:szCs w:val="20"/>
              </w:rPr>
              <w:t>Actual intensity x contact</w:t>
            </w:r>
          </w:p>
        </w:tc>
        <w:tc>
          <w:tcPr>
            <w:tcW w:w="1250" w:type="dxa"/>
            <w:tcBorders>
              <w:top w:val="nil"/>
              <w:bottom w:val="nil"/>
            </w:tcBorders>
          </w:tcPr>
          <w:p w14:paraId="63FCFB2E"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-1.78 x10-5</w:t>
            </w:r>
          </w:p>
        </w:tc>
        <w:tc>
          <w:tcPr>
            <w:tcW w:w="1249" w:type="dxa"/>
            <w:tcBorders>
              <w:top w:val="nil"/>
              <w:bottom w:val="nil"/>
            </w:tcBorders>
          </w:tcPr>
          <w:p w14:paraId="7B3CFBDC"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1.92 x10-5</w:t>
            </w:r>
          </w:p>
        </w:tc>
        <w:tc>
          <w:tcPr>
            <w:tcW w:w="1238" w:type="dxa"/>
            <w:tcBorders>
              <w:top w:val="nil"/>
              <w:bottom w:val="nil"/>
            </w:tcBorders>
          </w:tcPr>
          <w:p w14:paraId="6D971331"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-0.93</w:t>
            </w:r>
          </w:p>
        </w:tc>
        <w:tc>
          <w:tcPr>
            <w:tcW w:w="1244" w:type="dxa"/>
            <w:tcBorders>
              <w:top w:val="nil"/>
              <w:bottom w:val="nil"/>
            </w:tcBorders>
          </w:tcPr>
          <w:p w14:paraId="57C82AC5"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0.35</w:t>
            </w:r>
          </w:p>
        </w:tc>
        <w:tc>
          <w:tcPr>
            <w:tcW w:w="2070" w:type="dxa"/>
            <w:tcBorders>
              <w:top w:val="nil"/>
              <w:bottom w:val="nil"/>
            </w:tcBorders>
          </w:tcPr>
          <w:p w14:paraId="351DBE07"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-7.09 x10-7</w:t>
            </w:r>
          </w:p>
        </w:tc>
        <w:tc>
          <w:tcPr>
            <w:tcW w:w="1123" w:type="dxa"/>
            <w:tcBorders>
              <w:top w:val="nil"/>
              <w:bottom w:val="nil"/>
            </w:tcBorders>
          </w:tcPr>
          <w:p w14:paraId="510FF30D"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7.39 x10-7</w:t>
            </w:r>
          </w:p>
        </w:tc>
        <w:tc>
          <w:tcPr>
            <w:tcW w:w="1199" w:type="dxa"/>
            <w:tcBorders>
              <w:top w:val="nil"/>
              <w:bottom w:val="nil"/>
            </w:tcBorders>
          </w:tcPr>
          <w:p w14:paraId="6BEC11C3"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-0.96</w:t>
            </w:r>
          </w:p>
        </w:tc>
        <w:tc>
          <w:tcPr>
            <w:tcW w:w="747" w:type="dxa"/>
            <w:tcBorders>
              <w:top w:val="nil"/>
              <w:bottom w:val="nil"/>
            </w:tcBorders>
          </w:tcPr>
          <w:p w14:paraId="5A725016"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0.34</w:t>
            </w:r>
          </w:p>
        </w:tc>
      </w:tr>
      <w:tr w:rsidR="006A050B" w:rsidRPr="00F158C7" w14:paraId="2DBDD646" w14:textId="77777777" w:rsidTr="00CC122C">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71A05849" w14:textId="77777777" w:rsidR="006A050B" w:rsidRPr="00D75700" w:rsidRDefault="006A050B" w:rsidP="00CC122C">
            <w:pPr>
              <w:rPr>
                <w:b w:val="0"/>
                <w:bCs w:val="0"/>
                <w:sz w:val="20"/>
                <w:szCs w:val="20"/>
              </w:rPr>
            </w:pPr>
            <w:r>
              <w:rPr>
                <w:b w:val="0"/>
                <w:bCs w:val="0"/>
                <w:sz w:val="20"/>
                <w:szCs w:val="20"/>
              </w:rPr>
              <w:t>Asian neighborhood proportion</w:t>
            </w:r>
            <w:r w:rsidRPr="00D75700">
              <w:rPr>
                <w:b w:val="0"/>
                <w:bCs w:val="0"/>
                <w:sz w:val="20"/>
                <w:szCs w:val="20"/>
              </w:rPr>
              <w:t xml:space="preserve"> </w:t>
            </w:r>
          </w:p>
        </w:tc>
        <w:tc>
          <w:tcPr>
            <w:tcW w:w="1250" w:type="dxa"/>
            <w:tcBorders>
              <w:top w:val="nil"/>
              <w:bottom w:val="single" w:sz="4" w:space="0" w:color="auto"/>
            </w:tcBorders>
          </w:tcPr>
          <w:p w14:paraId="2F67DA56" w14:textId="77777777" w:rsidR="006A050B" w:rsidRPr="007263CF"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sidRPr="007263CF">
              <w:rPr>
                <w:sz w:val="20"/>
                <w:szCs w:val="20"/>
              </w:rPr>
              <w:t>0.</w:t>
            </w:r>
            <w:r>
              <w:rPr>
                <w:sz w:val="20"/>
                <w:szCs w:val="20"/>
              </w:rPr>
              <w:t>64</w:t>
            </w:r>
          </w:p>
        </w:tc>
        <w:tc>
          <w:tcPr>
            <w:tcW w:w="1249" w:type="dxa"/>
            <w:tcBorders>
              <w:top w:val="nil"/>
              <w:bottom w:val="single" w:sz="4" w:space="0" w:color="auto"/>
            </w:tcBorders>
          </w:tcPr>
          <w:p w14:paraId="3E2FEBC9" w14:textId="77777777" w:rsidR="006A050B" w:rsidRPr="007263CF"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0.49</w:t>
            </w:r>
          </w:p>
        </w:tc>
        <w:tc>
          <w:tcPr>
            <w:tcW w:w="1238" w:type="dxa"/>
            <w:tcBorders>
              <w:top w:val="nil"/>
              <w:bottom w:val="single" w:sz="4" w:space="0" w:color="auto"/>
            </w:tcBorders>
          </w:tcPr>
          <w:p w14:paraId="4F754FFE" w14:textId="77777777" w:rsidR="006A050B" w:rsidRPr="007263CF"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1.30</w:t>
            </w:r>
          </w:p>
        </w:tc>
        <w:tc>
          <w:tcPr>
            <w:tcW w:w="1244" w:type="dxa"/>
            <w:tcBorders>
              <w:top w:val="nil"/>
              <w:bottom w:val="single" w:sz="4" w:space="0" w:color="auto"/>
            </w:tcBorders>
          </w:tcPr>
          <w:p w14:paraId="628A922C" w14:textId="77777777" w:rsidR="006A050B" w:rsidRPr="007263CF"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0.20</w:t>
            </w:r>
          </w:p>
        </w:tc>
        <w:tc>
          <w:tcPr>
            <w:tcW w:w="2070" w:type="dxa"/>
            <w:tcBorders>
              <w:top w:val="nil"/>
              <w:bottom w:val="single" w:sz="4" w:space="0" w:color="auto"/>
            </w:tcBorders>
          </w:tcPr>
          <w:p w14:paraId="79168616" w14:textId="77777777" w:rsidR="006A050B" w:rsidRPr="007263CF"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0.69</w:t>
            </w:r>
          </w:p>
        </w:tc>
        <w:tc>
          <w:tcPr>
            <w:tcW w:w="1123" w:type="dxa"/>
            <w:tcBorders>
              <w:top w:val="nil"/>
              <w:bottom w:val="single" w:sz="4" w:space="0" w:color="auto"/>
            </w:tcBorders>
          </w:tcPr>
          <w:p w14:paraId="7022ED9B" w14:textId="77777777" w:rsidR="006A050B" w:rsidRPr="007263CF"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0.50</w:t>
            </w:r>
          </w:p>
        </w:tc>
        <w:tc>
          <w:tcPr>
            <w:tcW w:w="1199" w:type="dxa"/>
            <w:tcBorders>
              <w:top w:val="nil"/>
              <w:bottom w:val="single" w:sz="4" w:space="0" w:color="auto"/>
            </w:tcBorders>
          </w:tcPr>
          <w:p w14:paraId="070237A4" w14:textId="77777777" w:rsidR="006A050B" w:rsidRPr="007263CF"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1.39</w:t>
            </w:r>
          </w:p>
        </w:tc>
        <w:tc>
          <w:tcPr>
            <w:tcW w:w="747" w:type="dxa"/>
            <w:tcBorders>
              <w:top w:val="nil"/>
              <w:bottom w:val="single" w:sz="4" w:space="0" w:color="auto"/>
            </w:tcBorders>
          </w:tcPr>
          <w:p w14:paraId="7B1D4A71" w14:textId="77777777" w:rsidR="006A050B" w:rsidRPr="007263CF"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0.17</w:t>
            </w:r>
          </w:p>
        </w:tc>
      </w:tr>
      <w:tr w:rsidR="006A050B" w:rsidRPr="00F158C7" w14:paraId="4475EB3D" w14:textId="77777777" w:rsidTr="00CC1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66D213C5" w14:textId="77777777" w:rsidR="006A050B" w:rsidRPr="00F158C7" w:rsidRDefault="006A050B" w:rsidP="00CC122C">
            <w:pPr>
              <w:rPr>
                <w:sz w:val="20"/>
                <w:szCs w:val="20"/>
              </w:rPr>
            </w:pPr>
          </w:p>
        </w:tc>
        <w:tc>
          <w:tcPr>
            <w:tcW w:w="10120" w:type="dxa"/>
            <w:gridSpan w:val="8"/>
            <w:tcBorders>
              <w:top w:val="single" w:sz="4" w:space="0" w:color="auto"/>
              <w:bottom w:val="single" w:sz="4" w:space="0" w:color="auto"/>
            </w:tcBorders>
          </w:tcPr>
          <w:p w14:paraId="244D4C54"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F158C7">
              <w:rPr>
                <w:b/>
                <w:bCs/>
                <w:sz w:val="20"/>
                <w:szCs w:val="20"/>
              </w:rPr>
              <w:t>Support for exclusionary anti-</w:t>
            </w:r>
            <w:r>
              <w:rPr>
                <w:b/>
                <w:bCs/>
                <w:sz w:val="20"/>
                <w:szCs w:val="20"/>
              </w:rPr>
              <w:t>China</w:t>
            </w:r>
            <w:r w:rsidRPr="00F158C7">
              <w:rPr>
                <w:b/>
                <w:bCs/>
                <w:sz w:val="20"/>
                <w:szCs w:val="20"/>
              </w:rPr>
              <w:t xml:space="preserve"> travel policy</w:t>
            </w:r>
          </w:p>
        </w:tc>
      </w:tr>
      <w:tr w:rsidR="006A050B" w:rsidRPr="00F158C7" w14:paraId="7E38BD5E" w14:textId="77777777" w:rsidTr="00CC122C">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7ACE49E4" w14:textId="77777777" w:rsidR="006A050B" w:rsidRPr="00F158C7" w:rsidRDefault="006A050B" w:rsidP="00CC122C">
            <w:pPr>
              <w:rPr>
                <w:sz w:val="20"/>
                <w:szCs w:val="20"/>
              </w:rPr>
            </w:pPr>
            <w:r w:rsidRPr="00026D59">
              <w:rPr>
                <w:b w:val="0"/>
                <w:bCs w:val="0"/>
                <w:sz w:val="20"/>
                <w:szCs w:val="20"/>
              </w:rPr>
              <w:t>Perceived COVID-19 intensity</w:t>
            </w:r>
          </w:p>
        </w:tc>
        <w:tc>
          <w:tcPr>
            <w:tcW w:w="1250" w:type="dxa"/>
            <w:tcBorders>
              <w:top w:val="single" w:sz="4" w:space="0" w:color="auto"/>
              <w:bottom w:val="nil"/>
            </w:tcBorders>
          </w:tcPr>
          <w:p w14:paraId="56F59BA6"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-1.73 x10-5</w:t>
            </w:r>
          </w:p>
        </w:tc>
        <w:tc>
          <w:tcPr>
            <w:tcW w:w="1249" w:type="dxa"/>
            <w:tcBorders>
              <w:top w:val="single" w:sz="4" w:space="0" w:color="auto"/>
              <w:bottom w:val="nil"/>
            </w:tcBorders>
          </w:tcPr>
          <w:p w14:paraId="276117D5"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3.86 x10-5</w:t>
            </w:r>
          </w:p>
        </w:tc>
        <w:tc>
          <w:tcPr>
            <w:tcW w:w="1238" w:type="dxa"/>
            <w:tcBorders>
              <w:top w:val="single" w:sz="4" w:space="0" w:color="auto"/>
              <w:bottom w:val="nil"/>
            </w:tcBorders>
          </w:tcPr>
          <w:p w14:paraId="52DC08C4"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-0.48</w:t>
            </w:r>
          </w:p>
        </w:tc>
        <w:tc>
          <w:tcPr>
            <w:tcW w:w="1244" w:type="dxa"/>
            <w:tcBorders>
              <w:top w:val="single" w:sz="4" w:space="0" w:color="auto"/>
              <w:bottom w:val="nil"/>
            </w:tcBorders>
          </w:tcPr>
          <w:p w14:paraId="5E491E7E"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0.65</w:t>
            </w:r>
          </w:p>
        </w:tc>
        <w:tc>
          <w:tcPr>
            <w:tcW w:w="2070" w:type="dxa"/>
            <w:tcBorders>
              <w:top w:val="single" w:sz="4" w:space="0" w:color="auto"/>
              <w:bottom w:val="nil"/>
            </w:tcBorders>
          </w:tcPr>
          <w:p w14:paraId="3623B911" w14:textId="77777777" w:rsidR="006A050B" w:rsidRPr="00E10D82"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4.73 x10-7</w:t>
            </w:r>
          </w:p>
        </w:tc>
        <w:tc>
          <w:tcPr>
            <w:tcW w:w="1123" w:type="dxa"/>
            <w:tcBorders>
              <w:top w:val="single" w:sz="4" w:space="0" w:color="auto"/>
              <w:bottom w:val="nil"/>
            </w:tcBorders>
          </w:tcPr>
          <w:p w14:paraId="137F8D3B" w14:textId="77777777" w:rsidR="006A050B" w:rsidRPr="00E10D82"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3.58 x1—6</w:t>
            </w:r>
          </w:p>
        </w:tc>
        <w:tc>
          <w:tcPr>
            <w:tcW w:w="1199" w:type="dxa"/>
            <w:tcBorders>
              <w:top w:val="single" w:sz="4" w:space="0" w:color="auto"/>
              <w:bottom w:val="nil"/>
            </w:tcBorders>
          </w:tcPr>
          <w:p w14:paraId="1F59D1EC" w14:textId="77777777" w:rsidR="006A050B" w:rsidRPr="00E10D82"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0.13</w:t>
            </w:r>
          </w:p>
        </w:tc>
        <w:tc>
          <w:tcPr>
            <w:tcW w:w="747" w:type="dxa"/>
            <w:tcBorders>
              <w:top w:val="single" w:sz="4" w:space="0" w:color="auto"/>
              <w:bottom w:val="nil"/>
            </w:tcBorders>
          </w:tcPr>
          <w:p w14:paraId="53D71B22" w14:textId="77777777" w:rsidR="006A050B" w:rsidRPr="00E10D82"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0.90</w:t>
            </w:r>
          </w:p>
        </w:tc>
      </w:tr>
      <w:tr w:rsidR="006A050B" w:rsidRPr="00F158C7" w14:paraId="09F16478" w14:textId="77777777" w:rsidTr="00CC1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61C5AD11" w14:textId="77777777" w:rsidR="006A050B" w:rsidRPr="00F158C7" w:rsidRDefault="006A050B" w:rsidP="00CC122C">
            <w:pPr>
              <w:rPr>
                <w:b w:val="0"/>
                <w:bCs w:val="0"/>
                <w:sz w:val="20"/>
                <w:szCs w:val="20"/>
              </w:rPr>
            </w:pPr>
            <w:r w:rsidRPr="00026D59">
              <w:rPr>
                <w:b w:val="0"/>
                <w:bCs w:val="0"/>
                <w:sz w:val="20"/>
                <w:szCs w:val="20"/>
              </w:rPr>
              <w:t>Actual COVID-19 intensity</w:t>
            </w:r>
          </w:p>
        </w:tc>
        <w:tc>
          <w:tcPr>
            <w:tcW w:w="1250" w:type="dxa"/>
            <w:tcBorders>
              <w:top w:val="nil"/>
              <w:bottom w:val="nil"/>
            </w:tcBorders>
          </w:tcPr>
          <w:p w14:paraId="778D50FF"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-6.24 x10-5</w:t>
            </w:r>
          </w:p>
        </w:tc>
        <w:tc>
          <w:tcPr>
            <w:tcW w:w="1249" w:type="dxa"/>
            <w:tcBorders>
              <w:top w:val="nil"/>
              <w:bottom w:val="nil"/>
            </w:tcBorders>
          </w:tcPr>
          <w:p w14:paraId="03692F17"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1.46 x10-4</w:t>
            </w:r>
          </w:p>
        </w:tc>
        <w:tc>
          <w:tcPr>
            <w:tcW w:w="1238" w:type="dxa"/>
            <w:tcBorders>
              <w:top w:val="nil"/>
              <w:bottom w:val="nil"/>
            </w:tcBorders>
          </w:tcPr>
          <w:p w14:paraId="754040EC"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-0.43</w:t>
            </w:r>
          </w:p>
        </w:tc>
        <w:tc>
          <w:tcPr>
            <w:tcW w:w="1244" w:type="dxa"/>
            <w:tcBorders>
              <w:top w:val="nil"/>
              <w:bottom w:val="nil"/>
            </w:tcBorders>
          </w:tcPr>
          <w:p w14:paraId="3D078716"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0.67</w:t>
            </w:r>
          </w:p>
        </w:tc>
        <w:tc>
          <w:tcPr>
            <w:tcW w:w="2070" w:type="dxa"/>
            <w:tcBorders>
              <w:top w:val="nil"/>
              <w:bottom w:val="nil"/>
            </w:tcBorders>
          </w:tcPr>
          <w:p w14:paraId="64D61974" w14:textId="77777777" w:rsidR="006A050B" w:rsidRPr="00E10D82"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-5.97 x10-6</w:t>
            </w:r>
          </w:p>
        </w:tc>
        <w:tc>
          <w:tcPr>
            <w:tcW w:w="1123" w:type="dxa"/>
            <w:tcBorders>
              <w:top w:val="nil"/>
              <w:bottom w:val="nil"/>
            </w:tcBorders>
          </w:tcPr>
          <w:p w14:paraId="049B5568" w14:textId="77777777" w:rsidR="006A050B" w:rsidRPr="00E10D82"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1.95 x10-6</w:t>
            </w:r>
          </w:p>
        </w:tc>
        <w:tc>
          <w:tcPr>
            <w:tcW w:w="1199" w:type="dxa"/>
            <w:tcBorders>
              <w:top w:val="nil"/>
              <w:bottom w:val="nil"/>
            </w:tcBorders>
          </w:tcPr>
          <w:p w14:paraId="56281739" w14:textId="77777777" w:rsidR="006A050B" w:rsidRPr="00E10D82"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-1.21</w:t>
            </w:r>
          </w:p>
        </w:tc>
        <w:tc>
          <w:tcPr>
            <w:tcW w:w="747" w:type="dxa"/>
            <w:tcBorders>
              <w:top w:val="nil"/>
              <w:bottom w:val="nil"/>
            </w:tcBorders>
          </w:tcPr>
          <w:p w14:paraId="5B0FD87F" w14:textId="77777777" w:rsidR="006A050B" w:rsidRPr="00E10D82"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0.23</w:t>
            </w:r>
          </w:p>
        </w:tc>
      </w:tr>
      <w:tr w:rsidR="006A050B" w:rsidRPr="00F158C7" w14:paraId="1B8E2D3D" w14:textId="77777777" w:rsidTr="00CC122C">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0CA80B64" w14:textId="77777777" w:rsidR="006A050B" w:rsidRPr="00F158C7" w:rsidRDefault="006A050B" w:rsidP="00CC122C">
            <w:pPr>
              <w:rPr>
                <w:sz w:val="20"/>
                <w:szCs w:val="20"/>
              </w:rPr>
            </w:pPr>
            <w:r w:rsidRPr="00026D59">
              <w:rPr>
                <w:b w:val="0"/>
                <w:bCs w:val="0"/>
                <w:sz w:val="20"/>
                <w:szCs w:val="20"/>
              </w:rPr>
              <w:t>Contact with Asian people</w:t>
            </w:r>
          </w:p>
        </w:tc>
        <w:tc>
          <w:tcPr>
            <w:tcW w:w="1250" w:type="dxa"/>
            <w:tcBorders>
              <w:top w:val="nil"/>
              <w:bottom w:val="nil"/>
            </w:tcBorders>
          </w:tcPr>
          <w:p w14:paraId="25C9ACDC"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-0.018</w:t>
            </w:r>
          </w:p>
        </w:tc>
        <w:tc>
          <w:tcPr>
            <w:tcW w:w="1249" w:type="dxa"/>
            <w:tcBorders>
              <w:top w:val="nil"/>
              <w:bottom w:val="nil"/>
            </w:tcBorders>
          </w:tcPr>
          <w:p w14:paraId="44F929DF" w14:textId="77777777" w:rsidR="006A050B" w:rsidRPr="0080059D"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0.019</w:t>
            </w:r>
          </w:p>
        </w:tc>
        <w:tc>
          <w:tcPr>
            <w:tcW w:w="1238" w:type="dxa"/>
            <w:tcBorders>
              <w:top w:val="nil"/>
              <w:bottom w:val="nil"/>
            </w:tcBorders>
          </w:tcPr>
          <w:p w14:paraId="25C82176" w14:textId="77777777" w:rsidR="006A050B" w:rsidRPr="0080059D"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-1.48</w:t>
            </w:r>
          </w:p>
        </w:tc>
        <w:tc>
          <w:tcPr>
            <w:tcW w:w="1244" w:type="dxa"/>
            <w:tcBorders>
              <w:top w:val="nil"/>
              <w:bottom w:val="nil"/>
            </w:tcBorders>
          </w:tcPr>
          <w:p w14:paraId="09B8705B"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0.14</w:t>
            </w:r>
          </w:p>
        </w:tc>
        <w:tc>
          <w:tcPr>
            <w:tcW w:w="2070" w:type="dxa"/>
            <w:tcBorders>
              <w:top w:val="nil"/>
              <w:bottom w:val="nil"/>
            </w:tcBorders>
          </w:tcPr>
          <w:p w14:paraId="03BB074A" w14:textId="77777777" w:rsidR="006A050B" w:rsidRPr="00E10D82"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-0.018</w:t>
            </w:r>
          </w:p>
        </w:tc>
        <w:tc>
          <w:tcPr>
            <w:tcW w:w="1123" w:type="dxa"/>
            <w:tcBorders>
              <w:top w:val="nil"/>
              <w:bottom w:val="nil"/>
            </w:tcBorders>
          </w:tcPr>
          <w:p w14:paraId="39134626" w14:textId="77777777" w:rsidR="006A050B" w:rsidRPr="00E10D82"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0.012</w:t>
            </w:r>
          </w:p>
        </w:tc>
        <w:tc>
          <w:tcPr>
            <w:tcW w:w="1199" w:type="dxa"/>
            <w:tcBorders>
              <w:top w:val="nil"/>
              <w:bottom w:val="nil"/>
            </w:tcBorders>
          </w:tcPr>
          <w:p w14:paraId="3376F659" w14:textId="77777777" w:rsidR="006A050B" w:rsidRPr="00E10D82"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-1.49</w:t>
            </w:r>
          </w:p>
        </w:tc>
        <w:tc>
          <w:tcPr>
            <w:tcW w:w="747" w:type="dxa"/>
            <w:tcBorders>
              <w:top w:val="nil"/>
              <w:bottom w:val="nil"/>
            </w:tcBorders>
          </w:tcPr>
          <w:p w14:paraId="75D5864D" w14:textId="77777777" w:rsidR="006A050B" w:rsidRPr="00E10D82"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0.14</w:t>
            </w:r>
          </w:p>
        </w:tc>
      </w:tr>
      <w:tr w:rsidR="006A050B" w:rsidRPr="00F158C7" w14:paraId="08629BB0" w14:textId="77777777" w:rsidTr="00CC1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386A3AFA" w14:textId="77777777" w:rsidR="006A050B" w:rsidRPr="00F158C7" w:rsidRDefault="006A050B" w:rsidP="00CC122C">
            <w:pPr>
              <w:rPr>
                <w:sz w:val="20"/>
                <w:szCs w:val="20"/>
              </w:rPr>
            </w:pPr>
            <w:r w:rsidRPr="00026D59">
              <w:rPr>
                <w:b w:val="0"/>
                <w:bCs w:val="0"/>
                <w:sz w:val="20"/>
                <w:szCs w:val="20"/>
              </w:rPr>
              <w:t>Perceived intensity x contact</w:t>
            </w:r>
          </w:p>
        </w:tc>
        <w:tc>
          <w:tcPr>
            <w:tcW w:w="1250" w:type="dxa"/>
            <w:tcBorders>
              <w:top w:val="nil"/>
              <w:bottom w:val="nil"/>
            </w:tcBorders>
          </w:tcPr>
          <w:p w14:paraId="5E655D0A"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3.24 x10-6</w:t>
            </w:r>
          </w:p>
        </w:tc>
        <w:tc>
          <w:tcPr>
            <w:tcW w:w="1249" w:type="dxa"/>
            <w:tcBorders>
              <w:top w:val="nil"/>
              <w:bottom w:val="nil"/>
            </w:tcBorders>
          </w:tcPr>
          <w:p w14:paraId="71AF28C3"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8.46 x10-6</w:t>
            </w:r>
          </w:p>
        </w:tc>
        <w:tc>
          <w:tcPr>
            <w:tcW w:w="1238" w:type="dxa"/>
            <w:tcBorders>
              <w:top w:val="nil"/>
              <w:bottom w:val="nil"/>
            </w:tcBorders>
          </w:tcPr>
          <w:p w14:paraId="67BBC2C3"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0.38</w:t>
            </w:r>
          </w:p>
        </w:tc>
        <w:tc>
          <w:tcPr>
            <w:tcW w:w="1244" w:type="dxa"/>
            <w:tcBorders>
              <w:top w:val="nil"/>
              <w:bottom w:val="nil"/>
            </w:tcBorders>
          </w:tcPr>
          <w:p w14:paraId="292BB1D8"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0.70</w:t>
            </w:r>
          </w:p>
        </w:tc>
        <w:tc>
          <w:tcPr>
            <w:tcW w:w="2070" w:type="dxa"/>
            <w:tcBorders>
              <w:top w:val="nil"/>
              <w:bottom w:val="nil"/>
            </w:tcBorders>
          </w:tcPr>
          <w:p w14:paraId="0C5280BE" w14:textId="77777777" w:rsidR="006A050B" w:rsidRPr="00E10D82"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-3.80 x10-7</w:t>
            </w:r>
          </w:p>
        </w:tc>
        <w:tc>
          <w:tcPr>
            <w:tcW w:w="1123" w:type="dxa"/>
            <w:tcBorders>
              <w:top w:val="nil"/>
              <w:bottom w:val="nil"/>
            </w:tcBorders>
            <w:vAlign w:val="center"/>
          </w:tcPr>
          <w:p w14:paraId="5421A142" w14:textId="77777777" w:rsidR="006A050B" w:rsidRPr="00E10D82"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7.26 x10-7</w:t>
            </w:r>
          </w:p>
        </w:tc>
        <w:tc>
          <w:tcPr>
            <w:tcW w:w="1199" w:type="dxa"/>
            <w:tcBorders>
              <w:top w:val="nil"/>
              <w:bottom w:val="nil"/>
            </w:tcBorders>
          </w:tcPr>
          <w:p w14:paraId="29344F93" w14:textId="77777777" w:rsidR="006A050B" w:rsidRPr="00E10D82"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-0.52</w:t>
            </w:r>
          </w:p>
        </w:tc>
        <w:tc>
          <w:tcPr>
            <w:tcW w:w="747" w:type="dxa"/>
            <w:tcBorders>
              <w:top w:val="nil"/>
              <w:bottom w:val="nil"/>
            </w:tcBorders>
          </w:tcPr>
          <w:p w14:paraId="56DD71C6" w14:textId="77777777" w:rsidR="006A050B" w:rsidRPr="00E10D82"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0.60</w:t>
            </w:r>
          </w:p>
        </w:tc>
      </w:tr>
      <w:tr w:rsidR="006A050B" w:rsidRPr="00F158C7" w14:paraId="0F38DC5F" w14:textId="77777777" w:rsidTr="00CC122C">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49FB71D9" w14:textId="77777777" w:rsidR="006A050B" w:rsidRPr="00F158C7" w:rsidRDefault="006A050B" w:rsidP="00CC122C">
            <w:pPr>
              <w:rPr>
                <w:sz w:val="20"/>
                <w:szCs w:val="20"/>
              </w:rPr>
            </w:pPr>
            <w:r w:rsidRPr="00026D59">
              <w:rPr>
                <w:b w:val="0"/>
                <w:bCs w:val="0"/>
                <w:sz w:val="20"/>
                <w:szCs w:val="20"/>
              </w:rPr>
              <w:t>Actual intensity x contact</w:t>
            </w:r>
          </w:p>
        </w:tc>
        <w:tc>
          <w:tcPr>
            <w:tcW w:w="1250" w:type="dxa"/>
            <w:tcBorders>
              <w:top w:val="nil"/>
              <w:bottom w:val="nil"/>
            </w:tcBorders>
          </w:tcPr>
          <w:p w14:paraId="4E4B738A"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-4.93 x10-5</w:t>
            </w:r>
          </w:p>
        </w:tc>
        <w:tc>
          <w:tcPr>
            <w:tcW w:w="1249" w:type="dxa"/>
            <w:tcBorders>
              <w:top w:val="nil"/>
              <w:bottom w:val="nil"/>
            </w:tcBorders>
          </w:tcPr>
          <w:p w14:paraId="3F9C4994"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2.37 x10-5</w:t>
            </w:r>
          </w:p>
        </w:tc>
        <w:tc>
          <w:tcPr>
            <w:tcW w:w="1238" w:type="dxa"/>
            <w:tcBorders>
              <w:top w:val="nil"/>
              <w:bottom w:val="nil"/>
            </w:tcBorders>
          </w:tcPr>
          <w:p w14:paraId="69BF8170"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-2.08</w:t>
            </w:r>
          </w:p>
        </w:tc>
        <w:tc>
          <w:tcPr>
            <w:tcW w:w="1244" w:type="dxa"/>
            <w:tcBorders>
              <w:top w:val="nil"/>
              <w:bottom w:val="nil"/>
            </w:tcBorders>
          </w:tcPr>
          <w:p w14:paraId="72D59B3F"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0.04</w:t>
            </w:r>
          </w:p>
        </w:tc>
        <w:tc>
          <w:tcPr>
            <w:tcW w:w="2070" w:type="dxa"/>
            <w:tcBorders>
              <w:top w:val="nil"/>
              <w:bottom w:val="nil"/>
            </w:tcBorders>
          </w:tcPr>
          <w:p w14:paraId="07B1BFDE" w14:textId="77777777" w:rsidR="006A050B" w:rsidRPr="00E10D82"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-1.05 x10-6</w:t>
            </w:r>
          </w:p>
        </w:tc>
        <w:tc>
          <w:tcPr>
            <w:tcW w:w="1123" w:type="dxa"/>
            <w:tcBorders>
              <w:top w:val="nil"/>
              <w:bottom w:val="nil"/>
            </w:tcBorders>
            <w:vAlign w:val="center"/>
          </w:tcPr>
          <w:p w14:paraId="491A646A" w14:textId="77777777" w:rsidR="006A050B" w:rsidRPr="00E10D82"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9.11 x10-7</w:t>
            </w:r>
          </w:p>
        </w:tc>
        <w:tc>
          <w:tcPr>
            <w:tcW w:w="1199" w:type="dxa"/>
            <w:tcBorders>
              <w:top w:val="nil"/>
              <w:bottom w:val="nil"/>
            </w:tcBorders>
          </w:tcPr>
          <w:p w14:paraId="148B1C43" w14:textId="77777777" w:rsidR="006A050B" w:rsidRPr="00E10D82"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-1.15</w:t>
            </w:r>
          </w:p>
        </w:tc>
        <w:tc>
          <w:tcPr>
            <w:tcW w:w="747" w:type="dxa"/>
            <w:tcBorders>
              <w:top w:val="nil"/>
              <w:bottom w:val="nil"/>
            </w:tcBorders>
          </w:tcPr>
          <w:p w14:paraId="37C80371" w14:textId="77777777" w:rsidR="006A050B" w:rsidRPr="00E10D82"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0.25</w:t>
            </w:r>
          </w:p>
        </w:tc>
      </w:tr>
      <w:tr w:rsidR="006A050B" w:rsidRPr="00F158C7" w14:paraId="5707D48B" w14:textId="77777777" w:rsidTr="00CC1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136AE595" w14:textId="77777777" w:rsidR="006A050B" w:rsidRPr="00F158C7" w:rsidRDefault="006A050B" w:rsidP="00CC122C">
            <w:pPr>
              <w:rPr>
                <w:sz w:val="20"/>
                <w:szCs w:val="20"/>
              </w:rPr>
            </w:pPr>
            <w:r w:rsidRPr="00DE2F88">
              <w:rPr>
                <w:b w:val="0"/>
                <w:bCs w:val="0"/>
                <w:sz w:val="20"/>
                <w:szCs w:val="20"/>
              </w:rPr>
              <w:t>Asian neighborhood proportion</w:t>
            </w:r>
          </w:p>
        </w:tc>
        <w:tc>
          <w:tcPr>
            <w:tcW w:w="1250" w:type="dxa"/>
            <w:tcBorders>
              <w:top w:val="nil"/>
              <w:bottom w:val="single" w:sz="4" w:space="0" w:color="auto"/>
            </w:tcBorders>
          </w:tcPr>
          <w:p w14:paraId="06F63A08" w14:textId="77777777" w:rsidR="006A050B" w:rsidRPr="0080059D"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-0.040</w:t>
            </w:r>
          </w:p>
        </w:tc>
        <w:tc>
          <w:tcPr>
            <w:tcW w:w="1249" w:type="dxa"/>
            <w:tcBorders>
              <w:top w:val="nil"/>
              <w:bottom w:val="single" w:sz="4" w:space="0" w:color="auto"/>
            </w:tcBorders>
          </w:tcPr>
          <w:p w14:paraId="2F1D0186" w14:textId="77777777" w:rsidR="006A050B" w:rsidRPr="0080059D"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0.61</w:t>
            </w:r>
          </w:p>
        </w:tc>
        <w:tc>
          <w:tcPr>
            <w:tcW w:w="1238" w:type="dxa"/>
            <w:tcBorders>
              <w:top w:val="nil"/>
              <w:bottom w:val="single" w:sz="4" w:space="0" w:color="auto"/>
            </w:tcBorders>
          </w:tcPr>
          <w:p w14:paraId="06D04980" w14:textId="77777777" w:rsidR="006A050B" w:rsidRPr="0080059D"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-0.07</w:t>
            </w:r>
          </w:p>
        </w:tc>
        <w:tc>
          <w:tcPr>
            <w:tcW w:w="1244" w:type="dxa"/>
            <w:tcBorders>
              <w:top w:val="nil"/>
              <w:bottom w:val="single" w:sz="4" w:space="0" w:color="auto"/>
            </w:tcBorders>
          </w:tcPr>
          <w:p w14:paraId="7FA0627A" w14:textId="77777777" w:rsidR="006A050B" w:rsidRPr="0080059D"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0.95</w:t>
            </w:r>
          </w:p>
        </w:tc>
        <w:tc>
          <w:tcPr>
            <w:tcW w:w="2070" w:type="dxa"/>
            <w:tcBorders>
              <w:top w:val="nil"/>
              <w:bottom w:val="single" w:sz="4" w:space="0" w:color="auto"/>
            </w:tcBorders>
          </w:tcPr>
          <w:p w14:paraId="46EEDE40" w14:textId="77777777" w:rsidR="006A050B" w:rsidRPr="00E10D82"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6.77 x10-3</w:t>
            </w:r>
          </w:p>
        </w:tc>
        <w:tc>
          <w:tcPr>
            <w:tcW w:w="1123" w:type="dxa"/>
            <w:tcBorders>
              <w:top w:val="nil"/>
              <w:bottom w:val="single" w:sz="4" w:space="0" w:color="auto"/>
            </w:tcBorders>
          </w:tcPr>
          <w:p w14:paraId="54D127DF" w14:textId="77777777" w:rsidR="006A050B" w:rsidRPr="00E10D82"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0.61</w:t>
            </w:r>
          </w:p>
        </w:tc>
        <w:tc>
          <w:tcPr>
            <w:tcW w:w="1199" w:type="dxa"/>
            <w:tcBorders>
              <w:top w:val="nil"/>
              <w:bottom w:val="single" w:sz="4" w:space="0" w:color="auto"/>
            </w:tcBorders>
          </w:tcPr>
          <w:p w14:paraId="76F3820E" w14:textId="77777777" w:rsidR="006A050B" w:rsidRPr="00E10D82"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0.01</w:t>
            </w:r>
          </w:p>
        </w:tc>
        <w:tc>
          <w:tcPr>
            <w:tcW w:w="747" w:type="dxa"/>
            <w:tcBorders>
              <w:top w:val="nil"/>
              <w:bottom w:val="single" w:sz="4" w:space="0" w:color="auto"/>
            </w:tcBorders>
          </w:tcPr>
          <w:p w14:paraId="76D15070" w14:textId="77777777" w:rsidR="006A050B" w:rsidRPr="00E10D82"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0.99</w:t>
            </w:r>
          </w:p>
        </w:tc>
      </w:tr>
      <w:tr w:rsidR="006A050B" w:rsidRPr="00F158C7" w14:paraId="4DAED62F" w14:textId="77777777" w:rsidTr="00CC122C">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6271BC13" w14:textId="77777777" w:rsidR="006A050B" w:rsidRPr="00F158C7" w:rsidRDefault="006A050B" w:rsidP="00CC122C">
            <w:pPr>
              <w:rPr>
                <w:sz w:val="20"/>
                <w:szCs w:val="20"/>
              </w:rPr>
            </w:pPr>
          </w:p>
        </w:tc>
        <w:tc>
          <w:tcPr>
            <w:tcW w:w="10120" w:type="dxa"/>
            <w:gridSpan w:val="8"/>
            <w:tcBorders>
              <w:top w:val="single" w:sz="4" w:space="0" w:color="auto"/>
              <w:bottom w:val="single" w:sz="4" w:space="0" w:color="auto"/>
            </w:tcBorders>
          </w:tcPr>
          <w:p w14:paraId="40490E1A"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Negative a</w:t>
            </w:r>
            <w:r w:rsidRPr="00F158C7">
              <w:rPr>
                <w:b/>
                <w:bCs/>
                <w:sz w:val="20"/>
                <w:szCs w:val="20"/>
              </w:rPr>
              <w:t>ffect toward Asian people</w:t>
            </w:r>
          </w:p>
        </w:tc>
      </w:tr>
      <w:tr w:rsidR="006A050B" w:rsidRPr="00F158C7" w14:paraId="568D3D00" w14:textId="77777777" w:rsidTr="00CC1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475BA1A4" w14:textId="77777777" w:rsidR="006A050B" w:rsidRPr="00F158C7" w:rsidRDefault="006A050B" w:rsidP="00CC122C">
            <w:pPr>
              <w:rPr>
                <w:sz w:val="20"/>
                <w:szCs w:val="20"/>
              </w:rPr>
            </w:pPr>
            <w:r w:rsidRPr="00026D59">
              <w:rPr>
                <w:b w:val="0"/>
                <w:bCs w:val="0"/>
                <w:sz w:val="20"/>
                <w:szCs w:val="20"/>
              </w:rPr>
              <w:t>Perceived COVID-19 intensity</w:t>
            </w:r>
          </w:p>
        </w:tc>
        <w:tc>
          <w:tcPr>
            <w:tcW w:w="1250" w:type="dxa"/>
            <w:tcBorders>
              <w:top w:val="single" w:sz="4" w:space="0" w:color="auto"/>
              <w:bottom w:val="nil"/>
            </w:tcBorders>
          </w:tcPr>
          <w:p w14:paraId="2154DEE1"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7.96 x10-4</w:t>
            </w:r>
          </w:p>
        </w:tc>
        <w:tc>
          <w:tcPr>
            <w:tcW w:w="1249" w:type="dxa"/>
            <w:tcBorders>
              <w:top w:val="single" w:sz="4" w:space="0" w:color="auto"/>
              <w:bottom w:val="nil"/>
            </w:tcBorders>
          </w:tcPr>
          <w:p w14:paraId="4FF73075"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6.47 x10-4</w:t>
            </w:r>
          </w:p>
        </w:tc>
        <w:tc>
          <w:tcPr>
            <w:tcW w:w="1238" w:type="dxa"/>
            <w:tcBorders>
              <w:top w:val="single" w:sz="4" w:space="0" w:color="auto"/>
              <w:bottom w:val="nil"/>
            </w:tcBorders>
          </w:tcPr>
          <w:p w14:paraId="590AE6B9"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1.23</w:t>
            </w:r>
          </w:p>
        </w:tc>
        <w:tc>
          <w:tcPr>
            <w:tcW w:w="1244" w:type="dxa"/>
            <w:tcBorders>
              <w:top w:val="single" w:sz="4" w:space="0" w:color="auto"/>
              <w:bottom w:val="nil"/>
            </w:tcBorders>
          </w:tcPr>
          <w:p w14:paraId="12422878"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0.22</w:t>
            </w:r>
          </w:p>
        </w:tc>
        <w:tc>
          <w:tcPr>
            <w:tcW w:w="2070" w:type="dxa"/>
            <w:tcBorders>
              <w:top w:val="single" w:sz="4" w:space="0" w:color="auto"/>
              <w:bottom w:val="nil"/>
            </w:tcBorders>
          </w:tcPr>
          <w:p w14:paraId="0F172E3B"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4.53 x10-5</w:t>
            </w:r>
          </w:p>
        </w:tc>
        <w:tc>
          <w:tcPr>
            <w:tcW w:w="1123" w:type="dxa"/>
            <w:tcBorders>
              <w:top w:val="single" w:sz="4" w:space="0" w:color="auto"/>
              <w:bottom w:val="nil"/>
            </w:tcBorders>
          </w:tcPr>
          <w:p w14:paraId="07554E7A"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5.95 x10-5</w:t>
            </w:r>
          </w:p>
        </w:tc>
        <w:tc>
          <w:tcPr>
            <w:tcW w:w="1199" w:type="dxa"/>
            <w:tcBorders>
              <w:top w:val="single" w:sz="4" w:space="0" w:color="auto"/>
              <w:bottom w:val="nil"/>
            </w:tcBorders>
          </w:tcPr>
          <w:p w14:paraId="6EB044E8"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0.76</w:t>
            </w:r>
          </w:p>
        </w:tc>
        <w:tc>
          <w:tcPr>
            <w:tcW w:w="747" w:type="dxa"/>
            <w:tcBorders>
              <w:top w:val="single" w:sz="4" w:space="0" w:color="auto"/>
              <w:bottom w:val="nil"/>
            </w:tcBorders>
          </w:tcPr>
          <w:p w14:paraId="7B506706"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0.45</w:t>
            </w:r>
          </w:p>
        </w:tc>
      </w:tr>
      <w:tr w:rsidR="006A050B" w:rsidRPr="00F158C7" w14:paraId="5E56ECD6" w14:textId="77777777" w:rsidTr="00CC122C">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036A1187" w14:textId="77777777" w:rsidR="006A050B" w:rsidRPr="00F158C7" w:rsidRDefault="006A050B" w:rsidP="00CC122C">
            <w:pPr>
              <w:rPr>
                <w:b w:val="0"/>
                <w:bCs w:val="0"/>
                <w:sz w:val="20"/>
                <w:szCs w:val="20"/>
              </w:rPr>
            </w:pPr>
            <w:r w:rsidRPr="00026D59">
              <w:rPr>
                <w:b w:val="0"/>
                <w:bCs w:val="0"/>
                <w:sz w:val="20"/>
                <w:szCs w:val="20"/>
              </w:rPr>
              <w:t>Actual COVID-19 intensity</w:t>
            </w:r>
          </w:p>
        </w:tc>
        <w:tc>
          <w:tcPr>
            <w:tcW w:w="1250" w:type="dxa"/>
            <w:tcBorders>
              <w:top w:val="nil"/>
              <w:bottom w:val="nil"/>
            </w:tcBorders>
          </w:tcPr>
          <w:p w14:paraId="172F2A6F"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3.29 x10-3</w:t>
            </w:r>
          </w:p>
        </w:tc>
        <w:tc>
          <w:tcPr>
            <w:tcW w:w="1249" w:type="dxa"/>
            <w:tcBorders>
              <w:top w:val="nil"/>
              <w:bottom w:val="nil"/>
            </w:tcBorders>
          </w:tcPr>
          <w:p w14:paraId="077B9542"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2.44 x10-3</w:t>
            </w:r>
          </w:p>
        </w:tc>
        <w:tc>
          <w:tcPr>
            <w:tcW w:w="1238" w:type="dxa"/>
            <w:tcBorders>
              <w:top w:val="nil"/>
              <w:bottom w:val="nil"/>
            </w:tcBorders>
          </w:tcPr>
          <w:p w14:paraId="2B19A98B"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1.35</w:t>
            </w:r>
          </w:p>
        </w:tc>
        <w:tc>
          <w:tcPr>
            <w:tcW w:w="1244" w:type="dxa"/>
            <w:tcBorders>
              <w:top w:val="nil"/>
              <w:bottom w:val="nil"/>
            </w:tcBorders>
          </w:tcPr>
          <w:p w14:paraId="128A058D"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0.18</w:t>
            </w:r>
          </w:p>
        </w:tc>
        <w:tc>
          <w:tcPr>
            <w:tcW w:w="2070" w:type="dxa"/>
            <w:tcBorders>
              <w:top w:val="nil"/>
              <w:bottom w:val="nil"/>
            </w:tcBorders>
          </w:tcPr>
          <w:p w14:paraId="5403B3B6"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1.47 x10-4</w:t>
            </w:r>
          </w:p>
        </w:tc>
        <w:tc>
          <w:tcPr>
            <w:tcW w:w="1123" w:type="dxa"/>
            <w:tcBorders>
              <w:top w:val="nil"/>
              <w:bottom w:val="nil"/>
            </w:tcBorders>
          </w:tcPr>
          <w:p w14:paraId="2D121D84"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8.25 x10-5</w:t>
            </w:r>
          </w:p>
        </w:tc>
        <w:tc>
          <w:tcPr>
            <w:tcW w:w="1199" w:type="dxa"/>
            <w:tcBorders>
              <w:top w:val="nil"/>
              <w:bottom w:val="nil"/>
            </w:tcBorders>
          </w:tcPr>
          <w:p w14:paraId="2B0326F9"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1.78</w:t>
            </w:r>
          </w:p>
        </w:tc>
        <w:tc>
          <w:tcPr>
            <w:tcW w:w="747" w:type="dxa"/>
            <w:tcBorders>
              <w:top w:val="nil"/>
              <w:bottom w:val="nil"/>
            </w:tcBorders>
          </w:tcPr>
          <w:p w14:paraId="32FAE604"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0.08</w:t>
            </w:r>
          </w:p>
        </w:tc>
      </w:tr>
      <w:tr w:rsidR="006A050B" w:rsidRPr="00F158C7" w14:paraId="40A987D0" w14:textId="77777777" w:rsidTr="00CC1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47C8AF39" w14:textId="77777777" w:rsidR="006A050B" w:rsidRPr="00F158C7" w:rsidRDefault="006A050B" w:rsidP="00CC122C">
            <w:pPr>
              <w:rPr>
                <w:sz w:val="20"/>
                <w:szCs w:val="20"/>
              </w:rPr>
            </w:pPr>
            <w:r w:rsidRPr="00026D59">
              <w:rPr>
                <w:b w:val="0"/>
                <w:bCs w:val="0"/>
                <w:sz w:val="20"/>
                <w:szCs w:val="20"/>
              </w:rPr>
              <w:t>Contact with Asian people</w:t>
            </w:r>
          </w:p>
        </w:tc>
        <w:tc>
          <w:tcPr>
            <w:tcW w:w="1250" w:type="dxa"/>
            <w:tcBorders>
              <w:top w:val="nil"/>
              <w:bottom w:val="nil"/>
            </w:tcBorders>
          </w:tcPr>
          <w:p w14:paraId="78F7039B"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-0.76</w:t>
            </w:r>
          </w:p>
        </w:tc>
        <w:tc>
          <w:tcPr>
            <w:tcW w:w="1249" w:type="dxa"/>
            <w:tcBorders>
              <w:top w:val="nil"/>
              <w:bottom w:val="nil"/>
            </w:tcBorders>
          </w:tcPr>
          <w:p w14:paraId="375252B6"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0.20</w:t>
            </w:r>
          </w:p>
        </w:tc>
        <w:tc>
          <w:tcPr>
            <w:tcW w:w="1238" w:type="dxa"/>
            <w:tcBorders>
              <w:top w:val="nil"/>
              <w:bottom w:val="nil"/>
            </w:tcBorders>
          </w:tcPr>
          <w:p w14:paraId="6C3BDE44"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-3.83</w:t>
            </w:r>
          </w:p>
        </w:tc>
        <w:tc>
          <w:tcPr>
            <w:tcW w:w="1244" w:type="dxa"/>
            <w:tcBorders>
              <w:top w:val="nil"/>
              <w:bottom w:val="nil"/>
            </w:tcBorders>
          </w:tcPr>
          <w:p w14:paraId="4FCAC1DA"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&lt; .001</w:t>
            </w:r>
          </w:p>
        </w:tc>
        <w:tc>
          <w:tcPr>
            <w:tcW w:w="2070" w:type="dxa"/>
            <w:tcBorders>
              <w:top w:val="nil"/>
              <w:bottom w:val="nil"/>
            </w:tcBorders>
          </w:tcPr>
          <w:p w14:paraId="307B9872"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-0.76</w:t>
            </w:r>
          </w:p>
        </w:tc>
        <w:tc>
          <w:tcPr>
            <w:tcW w:w="1123" w:type="dxa"/>
            <w:tcBorders>
              <w:top w:val="nil"/>
              <w:bottom w:val="nil"/>
            </w:tcBorders>
          </w:tcPr>
          <w:p w14:paraId="10941580"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0.20</w:t>
            </w:r>
          </w:p>
        </w:tc>
        <w:tc>
          <w:tcPr>
            <w:tcW w:w="1199" w:type="dxa"/>
            <w:tcBorders>
              <w:top w:val="nil"/>
              <w:bottom w:val="nil"/>
            </w:tcBorders>
          </w:tcPr>
          <w:p w14:paraId="1C0978F0"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-3.81</w:t>
            </w:r>
          </w:p>
        </w:tc>
        <w:tc>
          <w:tcPr>
            <w:tcW w:w="747" w:type="dxa"/>
            <w:tcBorders>
              <w:top w:val="nil"/>
              <w:bottom w:val="nil"/>
            </w:tcBorders>
          </w:tcPr>
          <w:p w14:paraId="327153D3"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&lt; .001</w:t>
            </w:r>
          </w:p>
        </w:tc>
      </w:tr>
      <w:tr w:rsidR="006A050B" w:rsidRPr="00F158C7" w14:paraId="534A2050" w14:textId="77777777" w:rsidTr="00CC122C">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42CC1F50" w14:textId="77777777" w:rsidR="006A050B" w:rsidRPr="00F158C7" w:rsidRDefault="006A050B" w:rsidP="00CC122C">
            <w:pPr>
              <w:rPr>
                <w:sz w:val="20"/>
                <w:szCs w:val="20"/>
              </w:rPr>
            </w:pPr>
            <w:r w:rsidRPr="00026D59">
              <w:rPr>
                <w:b w:val="0"/>
                <w:bCs w:val="0"/>
                <w:sz w:val="20"/>
                <w:szCs w:val="20"/>
              </w:rPr>
              <w:t>Perceived intensity x contact</w:t>
            </w:r>
          </w:p>
        </w:tc>
        <w:tc>
          <w:tcPr>
            <w:tcW w:w="1250" w:type="dxa"/>
            <w:tcBorders>
              <w:top w:val="nil"/>
              <w:bottom w:val="nil"/>
            </w:tcBorders>
          </w:tcPr>
          <w:p w14:paraId="2BDA175B"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5.83 x10-5</w:t>
            </w:r>
          </w:p>
        </w:tc>
        <w:tc>
          <w:tcPr>
            <w:tcW w:w="1249" w:type="dxa"/>
            <w:tcBorders>
              <w:top w:val="nil"/>
              <w:bottom w:val="nil"/>
            </w:tcBorders>
          </w:tcPr>
          <w:p w14:paraId="68BEC8FC"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1.42 x10-4</w:t>
            </w:r>
          </w:p>
        </w:tc>
        <w:tc>
          <w:tcPr>
            <w:tcW w:w="1238" w:type="dxa"/>
            <w:tcBorders>
              <w:top w:val="nil"/>
              <w:bottom w:val="nil"/>
            </w:tcBorders>
          </w:tcPr>
          <w:p w14:paraId="7A315DF6"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0.41</w:t>
            </w:r>
          </w:p>
        </w:tc>
        <w:tc>
          <w:tcPr>
            <w:tcW w:w="1244" w:type="dxa"/>
            <w:tcBorders>
              <w:top w:val="nil"/>
              <w:bottom w:val="nil"/>
            </w:tcBorders>
          </w:tcPr>
          <w:p w14:paraId="52EE8E38"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0.68</w:t>
            </w:r>
          </w:p>
        </w:tc>
        <w:tc>
          <w:tcPr>
            <w:tcW w:w="2070" w:type="dxa"/>
            <w:tcBorders>
              <w:top w:val="nil"/>
              <w:bottom w:val="nil"/>
            </w:tcBorders>
          </w:tcPr>
          <w:p w14:paraId="24D2CAE5"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8.60 x10-6</w:t>
            </w:r>
          </w:p>
        </w:tc>
        <w:tc>
          <w:tcPr>
            <w:tcW w:w="1123" w:type="dxa"/>
            <w:tcBorders>
              <w:top w:val="nil"/>
              <w:bottom w:val="nil"/>
            </w:tcBorders>
          </w:tcPr>
          <w:p w14:paraId="45BE70C8"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1.21 x10-5</w:t>
            </w:r>
          </w:p>
        </w:tc>
        <w:tc>
          <w:tcPr>
            <w:tcW w:w="1199" w:type="dxa"/>
            <w:tcBorders>
              <w:top w:val="nil"/>
              <w:bottom w:val="nil"/>
            </w:tcBorders>
          </w:tcPr>
          <w:p w14:paraId="35F98E56"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0.71</w:t>
            </w:r>
          </w:p>
        </w:tc>
        <w:tc>
          <w:tcPr>
            <w:tcW w:w="747" w:type="dxa"/>
            <w:tcBorders>
              <w:top w:val="nil"/>
              <w:bottom w:val="nil"/>
            </w:tcBorders>
          </w:tcPr>
          <w:p w14:paraId="41D63F60"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0.48</w:t>
            </w:r>
          </w:p>
        </w:tc>
      </w:tr>
      <w:tr w:rsidR="006A050B" w:rsidRPr="00F158C7" w14:paraId="4167C9F2" w14:textId="77777777" w:rsidTr="00CC1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5DC6801E" w14:textId="77777777" w:rsidR="006A050B" w:rsidRPr="00F158C7" w:rsidRDefault="006A050B" w:rsidP="00CC122C">
            <w:pPr>
              <w:rPr>
                <w:sz w:val="20"/>
                <w:szCs w:val="20"/>
              </w:rPr>
            </w:pPr>
            <w:r w:rsidRPr="00026D59">
              <w:rPr>
                <w:b w:val="0"/>
                <w:bCs w:val="0"/>
                <w:sz w:val="20"/>
                <w:szCs w:val="20"/>
              </w:rPr>
              <w:t>Actual intensity x contact</w:t>
            </w:r>
          </w:p>
        </w:tc>
        <w:tc>
          <w:tcPr>
            <w:tcW w:w="1250" w:type="dxa"/>
            <w:tcBorders>
              <w:top w:val="nil"/>
              <w:bottom w:val="nil"/>
            </w:tcBorders>
          </w:tcPr>
          <w:p w14:paraId="232DDDAF"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-1.71 x10-4</w:t>
            </w:r>
          </w:p>
        </w:tc>
        <w:tc>
          <w:tcPr>
            <w:tcW w:w="1249" w:type="dxa"/>
            <w:tcBorders>
              <w:top w:val="nil"/>
              <w:bottom w:val="nil"/>
            </w:tcBorders>
          </w:tcPr>
          <w:p w14:paraId="319E53CC"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3.86 x10-4</w:t>
            </w:r>
          </w:p>
        </w:tc>
        <w:tc>
          <w:tcPr>
            <w:tcW w:w="1238" w:type="dxa"/>
            <w:tcBorders>
              <w:top w:val="nil"/>
              <w:bottom w:val="nil"/>
            </w:tcBorders>
          </w:tcPr>
          <w:p w14:paraId="22018F0E"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-0.43</w:t>
            </w:r>
          </w:p>
        </w:tc>
        <w:tc>
          <w:tcPr>
            <w:tcW w:w="1244" w:type="dxa"/>
            <w:tcBorders>
              <w:top w:val="nil"/>
              <w:bottom w:val="nil"/>
            </w:tcBorders>
          </w:tcPr>
          <w:p w14:paraId="30D9CCAD"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0.67</w:t>
            </w:r>
          </w:p>
        </w:tc>
        <w:tc>
          <w:tcPr>
            <w:tcW w:w="2070" w:type="dxa"/>
            <w:tcBorders>
              <w:top w:val="nil"/>
              <w:bottom w:val="nil"/>
            </w:tcBorders>
          </w:tcPr>
          <w:p w14:paraId="2E8DD25B"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-6.72 x 10-6</w:t>
            </w:r>
          </w:p>
        </w:tc>
        <w:tc>
          <w:tcPr>
            <w:tcW w:w="1123" w:type="dxa"/>
            <w:tcBorders>
              <w:top w:val="nil"/>
              <w:bottom w:val="nil"/>
            </w:tcBorders>
          </w:tcPr>
          <w:p w14:paraId="11CBA7CE"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1.52 x10-5</w:t>
            </w:r>
          </w:p>
        </w:tc>
        <w:tc>
          <w:tcPr>
            <w:tcW w:w="1199" w:type="dxa"/>
            <w:tcBorders>
              <w:top w:val="nil"/>
              <w:bottom w:val="nil"/>
            </w:tcBorders>
          </w:tcPr>
          <w:p w14:paraId="4CF14CE5"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-0.44</w:t>
            </w:r>
          </w:p>
        </w:tc>
        <w:tc>
          <w:tcPr>
            <w:tcW w:w="747" w:type="dxa"/>
            <w:tcBorders>
              <w:top w:val="nil"/>
              <w:bottom w:val="nil"/>
            </w:tcBorders>
          </w:tcPr>
          <w:p w14:paraId="601FDCD5"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0.66</w:t>
            </w:r>
          </w:p>
        </w:tc>
      </w:tr>
      <w:tr w:rsidR="006A050B" w:rsidRPr="00F158C7" w14:paraId="66D3DED4" w14:textId="77777777" w:rsidTr="00CC122C">
        <w:tc>
          <w:tcPr>
            <w:cnfStyle w:val="001000000000" w:firstRow="0" w:lastRow="0" w:firstColumn="1" w:lastColumn="0" w:oddVBand="0" w:evenVBand="0" w:oddHBand="0" w:evenHBand="0" w:firstRowFirstColumn="0" w:firstRowLastColumn="0" w:lastRowFirstColumn="0" w:lastRowLastColumn="0"/>
            <w:tcW w:w="3342" w:type="dxa"/>
            <w:tcBorders>
              <w:top w:val="nil"/>
              <w:bottom w:val="single" w:sz="4" w:space="0" w:color="auto"/>
            </w:tcBorders>
          </w:tcPr>
          <w:p w14:paraId="45BB1857" w14:textId="77777777" w:rsidR="006A050B" w:rsidRPr="00BA0E0E" w:rsidRDefault="006A050B" w:rsidP="00CC122C">
            <w:pPr>
              <w:rPr>
                <w:sz w:val="20"/>
                <w:szCs w:val="20"/>
              </w:rPr>
            </w:pPr>
            <w:r w:rsidRPr="00BA0E0E">
              <w:rPr>
                <w:b w:val="0"/>
                <w:bCs w:val="0"/>
                <w:sz w:val="20"/>
                <w:szCs w:val="20"/>
              </w:rPr>
              <w:t>Asian neighborhood proportion</w:t>
            </w:r>
          </w:p>
        </w:tc>
        <w:tc>
          <w:tcPr>
            <w:tcW w:w="1250" w:type="dxa"/>
            <w:tcBorders>
              <w:top w:val="nil"/>
              <w:bottom w:val="single" w:sz="4" w:space="0" w:color="auto"/>
            </w:tcBorders>
          </w:tcPr>
          <w:p w14:paraId="35A189C3" w14:textId="77777777" w:rsidR="006A050B" w:rsidRPr="00C56CB3"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14.52 </w:t>
            </w:r>
          </w:p>
        </w:tc>
        <w:tc>
          <w:tcPr>
            <w:tcW w:w="1249" w:type="dxa"/>
            <w:tcBorders>
              <w:top w:val="nil"/>
              <w:bottom w:val="single" w:sz="4" w:space="0" w:color="auto"/>
            </w:tcBorders>
          </w:tcPr>
          <w:p w14:paraId="112ED49C" w14:textId="77777777" w:rsidR="006A050B" w:rsidRPr="00C56CB3"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10.19</w:t>
            </w:r>
          </w:p>
        </w:tc>
        <w:tc>
          <w:tcPr>
            <w:tcW w:w="1238" w:type="dxa"/>
            <w:tcBorders>
              <w:top w:val="nil"/>
              <w:bottom w:val="single" w:sz="4" w:space="0" w:color="auto"/>
            </w:tcBorders>
          </w:tcPr>
          <w:p w14:paraId="4C9F252F" w14:textId="77777777" w:rsidR="006A050B" w:rsidRPr="00C56CB3"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1.43</w:t>
            </w:r>
          </w:p>
        </w:tc>
        <w:tc>
          <w:tcPr>
            <w:tcW w:w="1244" w:type="dxa"/>
            <w:tcBorders>
              <w:top w:val="nil"/>
              <w:bottom w:val="single" w:sz="4" w:space="0" w:color="auto"/>
            </w:tcBorders>
          </w:tcPr>
          <w:p w14:paraId="106264FA" w14:textId="77777777" w:rsidR="006A050B" w:rsidRPr="00C56CB3"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0.15</w:t>
            </w:r>
          </w:p>
        </w:tc>
        <w:tc>
          <w:tcPr>
            <w:tcW w:w="2070" w:type="dxa"/>
            <w:tcBorders>
              <w:top w:val="nil"/>
              <w:bottom w:val="single" w:sz="4" w:space="0" w:color="auto"/>
            </w:tcBorders>
          </w:tcPr>
          <w:p w14:paraId="29C889B0" w14:textId="77777777" w:rsidR="006A050B" w:rsidRPr="006178EA"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13.88</w:t>
            </w:r>
          </w:p>
        </w:tc>
        <w:tc>
          <w:tcPr>
            <w:tcW w:w="1123" w:type="dxa"/>
            <w:tcBorders>
              <w:top w:val="nil"/>
              <w:bottom w:val="single" w:sz="4" w:space="0" w:color="auto"/>
            </w:tcBorders>
          </w:tcPr>
          <w:p w14:paraId="0D56E7A1" w14:textId="77777777" w:rsidR="006A050B" w:rsidRPr="006178EA"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10.21</w:t>
            </w:r>
          </w:p>
        </w:tc>
        <w:tc>
          <w:tcPr>
            <w:tcW w:w="1199" w:type="dxa"/>
            <w:tcBorders>
              <w:top w:val="nil"/>
              <w:bottom w:val="single" w:sz="4" w:space="0" w:color="auto"/>
            </w:tcBorders>
          </w:tcPr>
          <w:p w14:paraId="5A00B1ED" w14:textId="77777777" w:rsidR="006A050B" w:rsidRPr="006178EA"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1.36</w:t>
            </w:r>
          </w:p>
        </w:tc>
        <w:tc>
          <w:tcPr>
            <w:tcW w:w="747" w:type="dxa"/>
            <w:tcBorders>
              <w:top w:val="nil"/>
              <w:bottom w:val="single" w:sz="4" w:space="0" w:color="auto"/>
            </w:tcBorders>
          </w:tcPr>
          <w:p w14:paraId="67B6B1E7" w14:textId="77777777" w:rsidR="006A050B" w:rsidRPr="006178EA"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0.17</w:t>
            </w:r>
          </w:p>
        </w:tc>
      </w:tr>
    </w:tbl>
    <w:p w14:paraId="69186B24" w14:textId="77777777" w:rsidR="006A050B" w:rsidRDefault="006A050B" w:rsidP="006A050B">
      <w:pPr>
        <w:rPr>
          <w:b/>
          <w:bCs/>
        </w:rPr>
      </w:pPr>
    </w:p>
    <w:p w14:paraId="68D33525" w14:textId="77777777" w:rsidR="006A050B" w:rsidRDefault="006A050B" w:rsidP="006A050B">
      <w:pPr>
        <w:rPr>
          <w:b/>
          <w:bCs/>
        </w:rPr>
      </w:pPr>
    </w:p>
    <w:p w14:paraId="3B1CFDA5" w14:textId="1F0B0FE7" w:rsidR="006A050B" w:rsidRDefault="006A050B">
      <w:pPr>
        <w:rPr>
          <w:b/>
          <w:bCs/>
        </w:rPr>
      </w:pPr>
    </w:p>
    <w:p w14:paraId="354386F6" w14:textId="72DA4885" w:rsidR="006A050B" w:rsidRDefault="006A050B" w:rsidP="006A050B">
      <w:r>
        <w:rPr>
          <w:b/>
          <w:bCs/>
        </w:rPr>
        <w:t>Table 3</w:t>
      </w:r>
    </w:p>
    <w:p w14:paraId="7A9D5086" w14:textId="2036FCF8" w:rsidR="006A050B" w:rsidRPr="005241C8" w:rsidRDefault="006A050B" w:rsidP="006A050B">
      <w:r w:rsidRPr="00361413">
        <w:rPr>
          <w:i/>
          <w:iCs/>
        </w:rPr>
        <w:t>Summary of model results, including parameter estimates and p-values</w:t>
      </w:r>
      <w:r>
        <w:rPr>
          <w:i/>
          <w:iCs/>
        </w:rPr>
        <w:t xml:space="preserve"> when anti-Black prejudice is the outcome variable.</w:t>
      </w:r>
      <w:r w:rsidR="00C24E53" w:rsidRPr="00C24E53">
        <w:rPr>
          <w:i/>
          <w:iCs/>
        </w:rPr>
        <w:t xml:space="preserve"> </w:t>
      </w:r>
      <w:r w:rsidR="00C24E53">
        <w:rPr>
          <w:i/>
          <w:iCs/>
        </w:rPr>
        <w:t>Bold values indicate relations where p &lt; .05.</w:t>
      </w:r>
    </w:p>
    <w:tbl>
      <w:tblPr>
        <w:tblStyle w:val="PlainTable2"/>
        <w:tblW w:w="13462" w:type="dxa"/>
        <w:tblInd w:w="-862" w:type="dxa"/>
        <w:tblLook w:val="04A0" w:firstRow="1" w:lastRow="0" w:firstColumn="1" w:lastColumn="0" w:noHBand="0" w:noVBand="1"/>
      </w:tblPr>
      <w:tblGrid>
        <w:gridCol w:w="3342"/>
        <w:gridCol w:w="1250"/>
        <w:gridCol w:w="1249"/>
        <w:gridCol w:w="1238"/>
        <w:gridCol w:w="1244"/>
        <w:gridCol w:w="2070"/>
        <w:gridCol w:w="1123"/>
        <w:gridCol w:w="1199"/>
        <w:gridCol w:w="747"/>
      </w:tblGrid>
      <w:tr w:rsidR="006A050B" w:rsidRPr="00F158C7" w14:paraId="7ED0F24A" w14:textId="77777777" w:rsidTr="00CC12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2" w:type="dxa"/>
          </w:tcPr>
          <w:p w14:paraId="002717A0" w14:textId="77777777" w:rsidR="006A050B" w:rsidRPr="00F158C7" w:rsidRDefault="006A050B" w:rsidP="00CC122C">
            <w:pPr>
              <w:rPr>
                <w:i/>
                <w:iCs/>
                <w:sz w:val="20"/>
                <w:szCs w:val="20"/>
              </w:rPr>
            </w:pPr>
          </w:p>
        </w:tc>
        <w:tc>
          <w:tcPr>
            <w:tcW w:w="4981" w:type="dxa"/>
            <w:gridSpan w:val="4"/>
          </w:tcPr>
          <w:p w14:paraId="76C1FAD0" w14:textId="77777777" w:rsidR="006A050B" w:rsidRPr="00F158C7" w:rsidRDefault="006A050B" w:rsidP="00CC122C">
            <w:pPr>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F158C7">
              <w:rPr>
                <w:sz w:val="20"/>
                <w:szCs w:val="20"/>
              </w:rPr>
              <w:t xml:space="preserve">Analyses with COVID-19 Intensity based on </w:t>
            </w:r>
            <w:r w:rsidRPr="00F158C7">
              <w:rPr>
                <w:i/>
                <w:iCs/>
                <w:sz w:val="20"/>
                <w:szCs w:val="20"/>
              </w:rPr>
              <w:t>DEATHS</w:t>
            </w:r>
          </w:p>
        </w:tc>
        <w:tc>
          <w:tcPr>
            <w:tcW w:w="5139" w:type="dxa"/>
            <w:gridSpan w:val="4"/>
          </w:tcPr>
          <w:p w14:paraId="0ABFE56B" w14:textId="77777777" w:rsidR="006A050B" w:rsidRPr="00F158C7" w:rsidRDefault="006A050B" w:rsidP="00CC122C">
            <w:pPr>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F158C7">
              <w:rPr>
                <w:sz w:val="20"/>
                <w:szCs w:val="20"/>
              </w:rPr>
              <w:t xml:space="preserve">Analyses with COVID-19 Intensity based on </w:t>
            </w:r>
            <w:r w:rsidRPr="00F158C7">
              <w:rPr>
                <w:i/>
                <w:sz w:val="20"/>
                <w:szCs w:val="20"/>
              </w:rPr>
              <w:t>CASES</w:t>
            </w:r>
          </w:p>
        </w:tc>
      </w:tr>
      <w:tr w:rsidR="006A050B" w:rsidRPr="00F158C7" w14:paraId="2FB713B9" w14:textId="77777777" w:rsidTr="00CC1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2" w:type="dxa"/>
          </w:tcPr>
          <w:p w14:paraId="30EBF878" w14:textId="77777777" w:rsidR="006A050B" w:rsidRPr="00F158C7" w:rsidRDefault="006A050B" w:rsidP="00CC122C">
            <w:pPr>
              <w:rPr>
                <w:i/>
                <w:iCs/>
                <w:sz w:val="20"/>
                <w:szCs w:val="20"/>
              </w:rPr>
            </w:pPr>
          </w:p>
        </w:tc>
        <w:tc>
          <w:tcPr>
            <w:tcW w:w="10120" w:type="dxa"/>
            <w:gridSpan w:val="8"/>
          </w:tcPr>
          <w:p w14:paraId="67A7E989"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b/>
                <w:bCs/>
                <w:i/>
                <w:iCs/>
                <w:sz w:val="20"/>
                <w:szCs w:val="20"/>
              </w:rPr>
            </w:pPr>
            <w:r w:rsidRPr="00F158C7">
              <w:rPr>
                <w:b/>
                <w:bCs/>
                <w:sz w:val="20"/>
                <w:szCs w:val="20"/>
              </w:rPr>
              <w:t xml:space="preserve">Desire </w:t>
            </w:r>
            <w:r>
              <w:rPr>
                <w:b/>
                <w:bCs/>
                <w:sz w:val="20"/>
                <w:szCs w:val="20"/>
              </w:rPr>
              <w:t>for social distance from</w:t>
            </w:r>
            <w:r w:rsidRPr="00F158C7">
              <w:rPr>
                <w:b/>
                <w:bCs/>
                <w:sz w:val="20"/>
                <w:szCs w:val="20"/>
              </w:rPr>
              <w:t xml:space="preserve"> </w:t>
            </w:r>
            <w:r>
              <w:rPr>
                <w:b/>
                <w:bCs/>
                <w:sz w:val="20"/>
                <w:szCs w:val="20"/>
              </w:rPr>
              <w:t>Black</w:t>
            </w:r>
            <w:r w:rsidRPr="00F158C7">
              <w:rPr>
                <w:b/>
                <w:bCs/>
                <w:sz w:val="20"/>
                <w:szCs w:val="20"/>
              </w:rPr>
              <w:t xml:space="preserve"> people</w:t>
            </w:r>
          </w:p>
        </w:tc>
      </w:tr>
      <w:tr w:rsidR="006A050B" w:rsidRPr="00F158C7" w14:paraId="3E01FD31" w14:textId="77777777" w:rsidTr="00CC122C">
        <w:tc>
          <w:tcPr>
            <w:cnfStyle w:val="001000000000" w:firstRow="0" w:lastRow="0" w:firstColumn="1" w:lastColumn="0" w:oddVBand="0" w:evenVBand="0" w:oddHBand="0" w:evenHBand="0" w:firstRowFirstColumn="0" w:firstRowLastColumn="0" w:lastRowFirstColumn="0" w:lastRowLastColumn="0"/>
            <w:tcW w:w="3342" w:type="dxa"/>
          </w:tcPr>
          <w:p w14:paraId="1D7C69B7" w14:textId="77777777" w:rsidR="006A050B" w:rsidRPr="00F158C7" w:rsidRDefault="006A050B" w:rsidP="00CC122C">
            <w:pPr>
              <w:rPr>
                <w:b w:val="0"/>
                <w:bCs w:val="0"/>
                <w:i/>
                <w:iCs/>
                <w:sz w:val="20"/>
                <w:szCs w:val="20"/>
              </w:rPr>
            </w:pPr>
            <w:r w:rsidRPr="00F158C7">
              <w:rPr>
                <w:b w:val="0"/>
                <w:bCs w:val="0"/>
                <w:i/>
                <w:iCs/>
                <w:sz w:val="20"/>
                <w:szCs w:val="20"/>
              </w:rPr>
              <w:t>Predictor</w:t>
            </w:r>
          </w:p>
        </w:tc>
        <w:tc>
          <w:tcPr>
            <w:tcW w:w="1250" w:type="dxa"/>
          </w:tcPr>
          <w:p w14:paraId="48F04C39" w14:textId="77777777" w:rsidR="006A050B" w:rsidRPr="00F158C7" w:rsidRDefault="006A050B" w:rsidP="00CC122C">
            <w:pPr>
              <w:tabs>
                <w:tab w:val="left" w:pos="756"/>
              </w:tabs>
              <w:jc w:val="center"/>
              <w:cnfStyle w:val="000000000000" w:firstRow="0" w:lastRow="0" w:firstColumn="0" w:lastColumn="0" w:oddVBand="0" w:evenVBand="0" w:oddHBand="0" w:evenHBand="0" w:firstRowFirstColumn="0" w:firstRowLastColumn="0" w:lastRowFirstColumn="0" w:lastRowLastColumn="0"/>
              <w:rPr>
                <w:i/>
                <w:iCs/>
                <w:sz w:val="20"/>
                <w:szCs w:val="20"/>
              </w:rPr>
            </w:pPr>
            <m:oMathPara>
              <m:oMath>
                <m:r>
                  <w:rPr>
                    <w:rFonts w:ascii="Cambria Math" w:hAnsi="Cambria Math"/>
                    <w:sz w:val="20"/>
                    <w:szCs w:val="20"/>
                  </w:rPr>
                  <m:t>β</m:t>
                </m:r>
              </m:oMath>
            </m:oMathPara>
          </w:p>
        </w:tc>
        <w:tc>
          <w:tcPr>
            <w:tcW w:w="1249" w:type="dxa"/>
          </w:tcPr>
          <w:p w14:paraId="45A91022"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F158C7">
              <w:rPr>
                <w:i/>
                <w:iCs/>
                <w:sz w:val="20"/>
                <w:szCs w:val="20"/>
              </w:rPr>
              <w:t>SE</w:t>
            </w:r>
          </w:p>
        </w:tc>
        <w:tc>
          <w:tcPr>
            <w:tcW w:w="1238" w:type="dxa"/>
          </w:tcPr>
          <w:p w14:paraId="01DCB1A3"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F158C7">
              <w:rPr>
                <w:i/>
                <w:iCs/>
                <w:sz w:val="20"/>
                <w:szCs w:val="20"/>
              </w:rPr>
              <w:t>t</w:t>
            </w:r>
          </w:p>
        </w:tc>
        <w:tc>
          <w:tcPr>
            <w:tcW w:w="1244" w:type="dxa"/>
          </w:tcPr>
          <w:p w14:paraId="0A97600F"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F158C7">
              <w:rPr>
                <w:i/>
                <w:iCs/>
                <w:sz w:val="20"/>
                <w:szCs w:val="20"/>
              </w:rPr>
              <w:t>p</w:t>
            </w:r>
          </w:p>
        </w:tc>
        <w:tc>
          <w:tcPr>
            <w:tcW w:w="2070" w:type="dxa"/>
          </w:tcPr>
          <w:p w14:paraId="6C4CC883"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m:oMathPara>
              <m:oMath>
                <m:r>
                  <w:rPr>
                    <w:rFonts w:ascii="Cambria Math" w:hAnsi="Cambria Math"/>
                    <w:sz w:val="20"/>
                    <w:szCs w:val="20"/>
                  </w:rPr>
                  <m:t>β</m:t>
                </m:r>
              </m:oMath>
            </m:oMathPara>
          </w:p>
        </w:tc>
        <w:tc>
          <w:tcPr>
            <w:tcW w:w="1123" w:type="dxa"/>
          </w:tcPr>
          <w:p w14:paraId="58B528BD"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158C7">
              <w:rPr>
                <w:i/>
                <w:iCs/>
                <w:sz w:val="20"/>
                <w:szCs w:val="20"/>
              </w:rPr>
              <w:t>SE</w:t>
            </w:r>
          </w:p>
        </w:tc>
        <w:tc>
          <w:tcPr>
            <w:tcW w:w="1199" w:type="dxa"/>
          </w:tcPr>
          <w:p w14:paraId="38E8BF97"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158C7">
              <w:rPr>
                <w:i/>
                <w:iCs/>
                <w:sz w:val="20"/>
                <w:szCs w:val="20"/>
              </w:rPr>
              <w:t>t</w:t>
            </w:r>
          </w:p>
        </w:tc>
        <w:tc>
          <w:tcPr>
            <w:tcW w:w="747" w:type="dxa"/>
          </w:tcPr>
          <w:p w14:paraId="540AD108"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158C7">
              <w:rPr>
                <w:i/>
                <w:iCs/>
                <w:sz w:val="20"/>
                <w:szCs w:val="20"/>
              </w:rPr>
              <w:t>p</w:t>
            </w:r>
          </w:p>
        </w:tc>
      </w:tr>
      <w:tr w:rsidR="006A050B" w:rsidRPr="00F158C7" w14:paraId="65013831" w14:textId="77777777" w:rsidTr="00CC1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2" w:type="dxa"/>
            <w:tcBorders>
              <w:bottom w:val="nil"/>
            </w:tcBorders>
          </w:tcPr>
          <w:p w14:paraId="6D5B201B" w14:textId="77777777" w:rsidR="006A050B" w:rsidRPr="00026D59" w:rsidRDefault="006A050B" w:rsidP="00CC122C">
            <w:pPr>
              <w:rPr>
                <w:b w:val="0"/>
                <w:bCs w:val="0"/>
                <w:sz w:val="20"/>
                <w:szCs w:val="20"/>
              </w:rPr>
            </w:pPr>
            <w:r w:rsidRPr="00026D59">
              <w:rPr>
                <w:b w:val="0"/>
                <w:bCs w:val="0"/>
                <w:sz w:val="20"/>
                <w:szCs w:val="20"/>
              </w:rPr>
              <w:t>Perceived COVID-19 intensity</w:t>
            </w:r>
          </w:p>
        </w:tc>
        <w:tc>
          <w:tcPr>
            <w:tcW w:w="1250" w:type="dxa"/>
            <w:tcBorders>
              <w:bottom w:val="nil"/>
            </w:tcBorders>
          </w:tcPr>
          <w:p w14:paraId="5BEBADCF"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7.82 x10-5</w:t>
            </w:r>
          </w:p>
        </w:tc>
        <w:tc>
          <w:tcPr>
            <w:tcW w:w="1249" w:type="dxa"/>
            <w:tcBorders>
              <w:bottom w:val="nil"/>
            </w:tcBorders>
          </w:tcPr>
          <w:p w14:paraId="7B77BDBB"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3.04 x10-5</w:t>
            </w:r>
          </w:p>
        </w:tc>
        <w:tc>
          <w:tcPr>
            <w:tcW w:w="1238" w:type="dxa"/>
            <w:tcBorders>
              <w:bottom w:val="nil"/>
            </w:tcBorders>
          </w:tcPr>
          <w:p w14:paraId="3BB69F7A"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2.57</w:t>
            </w:r>
          </w:p>
        </w:tc>
        <w:tc>
          <w:tcPr>
            <w:tcW w:w="1244" w:type="dxa"/>
            <w:tcBorders>
              <w:bottom w:val="nil"/>
            </w:tcBorders>
          </w:tcPr>
          <w:p w14:paraId="6810DE90"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0.01</w:t>
            </w:r>
          </w:p>
        </w:tc>
        <w:tc>
          <w:tcPr>
            <w:tcW w:w="2070" w:type="dxa"/>
            <w:tcBorders>
              <w:bottom w:val="nil"/>
            </w:tcBorders>
          </w:tcPr>
          <w:p w14:paraId="6A3732F2" w14:textId="77777777" w:rsidR="006A050B" w:rsidRPr="00724D98" w:rsidRDefault="006A050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724D98">
              <w:rPr>
                <w:b/>
                <w:bCs/>
                <w:sz w:val="20"/>
                <w:szCs w:val="20"/>
              </w:rPr>
              <w:t>7.66 x10-6</w:t>
            </w:r>
          </w:p>
        </w:tc>
        <w:tc>
          <w:tcPr>
            <w:tcW w:w="1123" w:type="dxa"/>
            <w:tcBorders>
              <w:bottom w:val="nil"/>
            </w:tcBorders>
          </w:tcPr>
          <w:p w14:paraId="62AA58AF" w14:textId="77777777" w:rsidR="006A050B" w:rsidRPr="00724D98" w:rsidRDefault="006A050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724D98">
              <w:rPr>
                <w:b/>
                <w:bCs/>
                <w:sz w:val="20"/>
                <w:szCs w:val="20"/>
              </w:rPr>
              <w:t>3.14 x10-6</w:t>
            </w:r>
          </w:p>
        </w:tc>
        <w:tc>
          <w:tcPr>
            <w:tcW w:w="1199" w:type="dxa"/>
            <w:tcBorders>
              <w:bottom w:val="nil"/>
            </w:tcBorders>
          </w:tcPr>
          <w:p w14:paraId="3C192B8F" w14:textId="77777777" w:rsidR="006A050B" w:rsidRPr="00724D98" w:rsidRDefault="006A050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724D98">
              <w:rPr>
                <w:b/>
                <w:bCs/>
                <w:sz w:val="20"/>
                <w:szCs w:val="20"/>
              </w:rPr>
              <w:t>2.44</w:t>
            </w:r>
          </w:p>
        </w:tc>
        <w:tc>
          <w:tcPr>
            <w:tcW w:w="747" w:type="dxa"/>
            <w:tcBorders>
              <w:bottom w:val="nil"/>
            </w:tcBorders>
          </w:tcPr>
          <w:p w14:paraId="2CA8DBB3" w14:textId="77777777" w:rsidR="006A050B" w:rsidRPr="00724D98" w:rsidRDefault="006A050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724D98">
              <w:rPr>
                <w:b/>
                <w:bCs/>
                <w:sz w:val="20"/>
                <w:szCs w:val="20"/>
              </w:rPr>
              <w:t>0.</w:t>
            </w:r>
            <w:r>
              <w:rPr>
                <w:b/>
                <w:bCs/>
                <w:sz w:val="20"/>
                <w:szCs w:val="20"/>
              </w:rPr>
              <w:t>02</w:t>
            </w:r>
          </w:p>
        </w:tc>
      </w:tr>
      <w:tr w:rsidR="006A050B" w:rsidRPr="00F158C7" w14:paraId="1F9C03D7" w14:textId="77777777" w:rsidTr="00CC122C">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7AD5ABA7" w14:textId="77777777" w:rsidR="006A050B" w:rsidRPr="00026D59" w:rsidRDefault="006A050B" w:rsidP="00CC122C">
            <w:pPr>
              <w:rPr>
                <w:b w:val="0"/>
                <w:bCs w:val="0"/>
                <w:sz w:val="20"/>
                <w:szCs w:val="20"/>
              </w:rPr>
            </w:pPr>
            <w:r w:rsidRPr="00026D59">
              <w:rPr>
                <w:b w:val="0"/>
                <w:bCs w:val="0"/>
                <w:sz w:val="20"/>
                <w:szCs w:val="20"/>
              </w:rPr>
              <w:t>Actual COVID-19 intensity</w:t>
            </w:r>
          </w:p>
        </w:tc>
        <w:tc>
          <w:tcPr>
            <w:tcW w:w="1250" w:type="dxa"/>
            <w:tcBorders>
              <w:top w:val="nil"/>
              <w:bottom w:val="nil"/>
            </w:tcBorders>
          </w:tcPr>
          <w:p w14:paraId="72272F89" w14:textId="77777777" w:rsidR="006A050B" w:rsidRPr="00F158C7" w:rsidRDefault="006A050B" w:rsidP="00CC12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-6.25 x10-5</w:t>
            </w:r>
          </w:p>
        </w:tc>
        <w:tc>
          <w:tcPr>
            <w:tcW w:w="1249" w:type="dxa"/>
            <w:tcBorders>
              <w:top w:val="nil"/>
              <w:bottom w:val="nil"/>
            </w:tcBorders>
          </w:tcPr>
          <w:p w14:paraId="64577D00"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8.74 x10-5</w:t>
            </w:r>
          </w:p>
        </w:tc>
        <w:tc>
          <w:tcPr>
            <w:tcW w:w="1238" w:type="dxa"/>
            <w:tcBorders>
              <w:top w:val="nil"/>
              <w:bottom w:val="nil"/>
            </w:tcBorders>
          </w:tcPr>
          <w:p w14:paraId="0B6347F0"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-0.72</w:t>
            </w:r>
          </w:p>
        </w:tc>
        <w:tc>
          <w:tcPr>
            <w:tcW w:w="1244" w:type="dxa"/>
            <w:tcBorders>
              <w:top w:val="nil"/>
              <w:bottom w:val="nil"/>
            </w:tcBorders>
          </w:tcPr>
          <w:p w14:paraId="7ACB7AFB"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0.47</w:t>
            </w:r>
          </w:p>
        </w:tc>
        <w:tc>
          <w:tcPr>
            <w:tcW w:w="2070" w:type="dxa"/>
            <w:tcBorders>
              <w:top w:val="nil"/>
              <w:bottom w:val="nil"/>
            </w:tcBorders>
          </w:tcPr>
          <w:p w14:paraId="6B39E33F"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-3.74 x10-6</w:t>
            </w:r>
          </w:p>
        </w:tc>
        <w:tc>
          <w:tcPr>
            <w:tcW w:w="1123" w:type="dxa"/>
            <w:tcBorders>
              <w:top w:val="nil"/>
              <w:bottom w:val="nil"/>
            </w:tcBorders>
          </w:tcPr>
          <w:p w14:paraId="26CFCFAA"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3.79 x10-6</w:t>
            </w:r>
          </w:p>
        </w:tc>
        <w:tc>
          <w:tcPr>
            <w:tcW w:w="1199" w:type="dxa"/>
            <w:tcBorders>
              <w:top w:val="nil"/>
              <w:bottom w:val="nil"/>
            </w:tcBorders>
          </w:tcPr>
          <w:p w14:paraId="0D5E7644"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-0.99</w:t>
            </w:r>
          </w:p>
        </w:tc>
        <w:tc>
          <w:tcPr>
            <w:tcW w:w="747" w:type="dxa"/>
            <w:tcBorders>
              <w:top w:val="nil"/>
              <w:bottom w:val="nil"/>
            </w:tcBorders>
          </w:tcPr>
          <w:p w14:paraId="7BEBC972"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0.32</w:t>
            </w:r>
          </w:p>
        </w:tc>
      </w:tr>
      <w:tr w:rsidR="006A050B" w:rsidRPr="00F158C7" w14:paraId="45E6B424" w14:textId="77777777" w:rsidTr="00CC1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3F4C1876" w14:textId="77777777" w:rsidR="006A050B" w:rsidRPr="00026D59" w:rsidRDefault="006A050B" w:rsidP="00CC122C">
            <w:pPr>
              <w:rPr>
                <w:b w:val="0"/>
                <w:bCs w:val="0"/>
                <w:sz w:val="20"/>
                <w:szCs w:val="20"/>
              </w:rPr>
            </w:pPr>
            <w:r w:rsidRPr="00026D59">
              <w:rPr>
                <w:b w:val="0"/>
                <w:bCs w:val="0"/>
                <w:sz w:val="20"/>
                <w:szCs w:val="20"/>
              </w:rPr>
              <w:t xml:space="preserve">Contact with </w:t>
            </w:r>
            <w:r>
              <w:rPr>
                <w:b w:val="0"/>
                <w:bCs w:val="0"/>
                <w:sz w:val="20"/>
                <w:szCs w:val="20"/>
              </w:rPr>
              <w:t xml:space="preserve">Black </w:t>
            </w:r>
            <w:r w:rsidRPr="00026D59">
              <w:rPr>
                <w:b w:val="0"/>
                <w:bCs w:val="0"/>
                <w:sz w:val="20"/>
                <w:szCs w:val="20"/>
              </w:rPr>
              <w:t>people</w:t>
            </w:r>
          </w:p>
        </w:tc>
        <w:tc>
          <w:tcPr>
            <w:tcW w:w="1250" w:type="dxa"/>
            <w:tcBorders>
              <w:top w:val="nil"/>
              <w:bottom w:val="nil"/>
            </w:tcBorders>
          </w:tcPr>
          <w:p w14:paraId="65533A09"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-.033</w:t>
            </w:r>
          </w:p>
        </w:tc>
        <w:tc>
          <w:tcPr>
            <w:tcW w:w="1249" w:type="dxa"/>
            <w:tcBorders>
              <w:top w:val="nil"/>
              <w:bottom w:val="nil"/>
            </w:tcBorders>
          </w:tcPr>
          <w:p w14:paraId="44E65CF0"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9.00 x10-3</w:t>
            </w:r>
          </w:p>
        </w:tc>
        <w:tc>
          <w:tcPr>
            <w:tcW w:w="1238" w:type="dxa"/>
            <w:tcBorders>
              <w:top w:val="nil"/>
              <w:bottom w:val="nil"/>
            </w:tcBorders>
          </w:tcPr>
          <w:p w14:paraId="54882BB8"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-3.65</w:t>
            </w:r>
          </w:p>
        </w:tc>
        <w:tc>
          <w:tcPr>
            <w:tcW w:w="1244" w:type="dxa"/>
            <w:tcBorders>
              <w:top w:val="nil"/>
              <w:bottom w:val="nil"/>
            </w:tcBorders>
          </w:tcPr>
          <w:p w14:paraId="07020518"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&lt; .001</w:t>
            </w:r>
          </w:p>
        </w:tc>
        <w:tc>
          <w:tcPr>
            <w:tcW w:w="2070" w:type="dxa"/>
            <w:tcBorders>
              <w:top w:val="nil"/>
              <w:bottom w:val="nil"/>
            </w:tcBorders>
          </w:tcPr>
          <w:p w14:paraId="738A15A0"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-0.034</w:t>
            </w:r>
          </w:p>
        </w:tc>
        <w:tc>
          <w:tcPr>
            <w:tcW w:w="1123" w:type="dxa"/>
            <w:tcBorders>
              <w:top w:val="nil"/>
              <w:bottom w:val="nil"/>
            </w:tcBorders>
          </w:tcPr>
          <w:p w14:paraId="136C85E7" w14:textId="77777777" w:rsidR="006A050B" w:rsidRPr="00724D98" w:rsidRDefault="006A050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724D98">
              <w:rPr>
                <w:b/>
                <w:bCs/>
                <w:sz w:val="20"/>
                <w:szCs w:val="20"/>
              </w:rPr>
              <w:t>9.04 x10-3</w:t>
            </w:r>
          </w:p>
        </w:tc>
        <w:tc>
          <w:tcPr>
            <w:tcW w:w="1199" w:type="dxa"/>
            <w:tcBorders>
              <w:top w:val="nil"/>
              <w:bottom w:val="nil"/>
            </w:tcBorders>
          </w:tcPr>
          <w:p w14:paraId="45599C40" w14:textId="77777777" w:rsidR="006A050B" w:rsidRPr="00724D98" w:rsidRDefault="006A050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724D98">
              <w:rPr>
                <w:b/>
                <w:bCs/>
                <w:sz w:val="20"/>
                <w:szCs w:val="20"/>
              </w:rPr>
              <w:t>-3.73</w:t>
            </w:r>
          </w:p>
        </w:tc>
        <w:tc>
          <w:tcPr>
            <w:tcW w:w="747" w:type="dxa"/>
            <w:tcBorders>
              <w:top w:val="nil"/>
              <w:bottom w:val="nil"/>
            </w:tcBorders>
          </w:tcPr>
          <w:p w14:paraId="19CC18F8"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&lt; .001</w:t>
            </w:r>
          </w:p>
        </w:tc>
      </w:tr>
      <w:tr w:rsidR="006A050B" w:rsidRPr="00F158C7" w14:paraId="0EB61461" w14:textId="77777777" w:rsidTr="00CC122C">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3E999EF2" w14:textId="77777777" w:rsidR="006A050B" w:rsidRPr="00026D59" w:rsidRDefault="006A050B" w:rsidP="00CC122C">
            <w:pPr>
              <w:rPr>
                <w:b w:val="0"/>
                <w:bCs w:val="0"/>
                <w:sz w:val="20"/>
                <w:szCs w:val="20"/>
              </w:rPr>
            </w:pPr>
            <w:r w:rsidRPr="00026D59">
              <w:rPr>
                <w:b w:val="0"/>
                <w:bCs w:val="0"/>
                <w:sz w:val="20"/>
                <w:szCs w:val="20"/>
              </w:rPr>
              <w:t>Perceived intensity x contact</w:t>
            </w:r>
          </w:p>
        </w:tc>
        <w:tc>
          <w:tcPr>
            <w:tcW w:w="1250" w:type="dxa"/>
            <w:tcBorders>
              <w:top w:val="nil"/>
              <w:bottom w:val="nil"/>
            </w:tcBorders>
          </w:tcPr>
          <w:p w14:paraId="267389E6"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1.08 x10-5</w:t>
            </w:r>
          </w:p>
        </w:tc>
        <w:tc>
          <w:tcPr>
            <w:tcW w:w="1249" w:type="dxa"/>
            <w:tcBorders>
              <w:top w:val="nil"/>
              <w:bottom w:val="nil"/>
            </w:tcBorders>
          </w:tcPr>
          <w:p w14:paraId="397E0A2E"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7.71 x10-6</w:t>
            </w:r>
          </w:p>
        </w:tc>
        <w:tc>
          <w:tcPr>
            <w:tcW w:w="1238" w:type="dxa"/>
            <w:tcBorders>
              <w:top w:val="nil"/>
              <w:bottom w:val="nil"/>
            </w:tcBorders>
          </w:tcPr>
          <w:p w14:paraId="33596772"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1.40</w:t>
            </w:r>
          </w:p>
        </w:tc>
        <w:tc>
          <w:tcPr>
            <w:tcW w:w="1244" w:type="dxa"/>
            <w:tcBorders>
              <w:top w:val="nil"/>
              <w:bottom w:val="nil"/>
            </w:tcBorders>
          </w:tcPr>
          <w:p w14:paraId="07E24700"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0.16</w:t>
            </w:r>
          </w:p>
        </w:tc>
        <w:tc>
          <w:tcPr>
            <w:tcW w:w="2070" w:type="dxa"/>
            <w:tcBorders>
              <w:top w:val="nil"/>
              <w:bottom w:val="nil"/>
            </w:tcBorders>
          </w:tcPr>
          <w:p w14:paraId="0ECA8286"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-1.87 x10-7</w:t>
            </w:r>
          </w:p>
        </w:tc>
        <w:tc>
          <w:tcPr>
            <w:tcW w:w="1123" w:type="dxa"/>
            <w:tcBorders>
              <w:top w:val="nil"/>
              <w:bottom w:val="nil"/>
            </w:tcBorders>
          </w:tcPr>
          <w:p w14:paraId="09FE1903"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6.43 x10-7</w:t>
            </w:r>
          </w:p>
        </w:tc>
        <w:tc>
          <w:tcPr>
            <w:tcW w:w="1199" w:type="dxa"/>
            <w:tcBorders>
              <w:top w:val="nil"/>
              <w:bottom w:val="nil"/>
            </w:tcBorders>
          </w:tcPr>
          <w:p w14:paraId="741242C1"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-0.29</w:t>
            </w:r>
          </w:p>
        </w:tc>
        <w:tc>
          <w:tcPr>
            <w:tcW w:w="747" w:type="dxa"/>
            <w:tcBorders>
              <w:top w:val="nil"/>
              <w:bottom w:val="nil"/>
            </w:tcBorders>
          </w:tcPr>
          <w:p w14:paraId="7B97EEEE"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0.61</w:t>
            </w:r>
          </w:p>
        </w:tc>
      </w:tr>
      <w:tr w:rsidR="006A050B" w:rsidRPr="00F158C7" w14:paraId="3CA499C5" w14:textId="77777777" w:rsidTr="00CC1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7A3880B6" w14:textId="77777777" w:rsidR="006A050B" w:rsidRPr="00026D59" w:rsidRDefault="006A050B" w:rsidP="00CC122C">
            <w:pPr>
              <w:rPr>
                <w:sz w:val="20"/>
                <w:szCs w:val="20"/>
              </w:rPr>
            </w:pPr>
            <w:r w:rsidRPr="00026D59">
              <w:rPr>
                <w:b w:val="0"/>
                <w:bCs w:val="0"/>
                <w:sz w:val="20"/>
                <w:szCs w:val="20"/>
              </w:rPr>
              <w:t>Actual intensity x contact</w:t>
            </w:r>
          </w:p>
        </w:tc>
        <w:tc>
          <w:tcPr>
            <w:tcW w:w="1250" w:type="dxa"/>
            <w:tcBorders>
              <w:top w:val="nil"/>
              <w:bottom w:val="nil"/>
            </w:tcBorders>
          </w:tcPr>
          <w:p w14:paraId="64AEBE27"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 x10-5</w:t>
            </w:r>
          </w:p>
        </w:tc>
        <w:tc>
          <w:tcPr>
            <w:tcW w:w="1249" w:type="dxa"/>
            <w:tcBorders>
              <w:top w:val="nil"/>
              <w:bottom w:val="nil"/>
            </w:tcBorders>
          </w:tcPr>
          <w:p w14:paraId="1EC1B7B6"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2.23 x10-5</w:t>
            </w:r>
          </w:p>
        </w:tc>
        <w:tc>
          <w:tcPr>
            <w:tcW w:w="1238" w:type="dxa"/>
            <w:tcBorders>
              <w:top w:val="nil"/>
              <w:bottom w:val="nil"/>
            </w:tcBorders>
          </w:tcPr>
          <w:p w14:paraId="08B176EB"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-0.45</w:t>
            </w:r>
          </w:p>
        </w:tc>
        <w:tc>
          <w:tcPr>
            <w:tcW w:w="1244" w:type="dxa"/>
            <w:tcBorders>
              <w:top w:val="nil"/>
              <w:bottom w:val="nil"/>
            </w:tcBorders>
          </w:tcPr>
          <w:p w14:paraId="1B2BD8E2"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0.65</w:t>
            </w:r>
          </w:p>
        </w:tc>
        <w:tc>
          <w:tcPr>
            <w:tcW w:w="2070" w:type="dxa"/>
            <w:tcBorders>
              <w:top w:val="nil"/>
              <w:bottom w:val="nil"/>
            </w:tcBorders>
          </w:tcPr>
          <w:p w14:paraId="7C2C22D3"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4.00 x10-7</w:t>
            </w:r>
          </w:p>
        </w:tc>
        <w:tc>
          <w:tcPr>
            <w:tcW w:w="1123" w:type="dxa"/>
            <w:tcBorders>
              <w:top w:val="nil"/>
              <w:bottom w:val="nil"/>
            </w:tcBorders>
          </w:tcPr>
          <w:p w14:paraId="4440F8DB"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7.89 x10-7</w:t>
            </w:r>
          </w:p>
        </w:tc>
        <w:tc>
          <w:tcPr>
            <w:tcW w:w="1199" w:type="dxa"/>
            <w:tcBorders>
              <w:top w:val="nil"/>
              <w:bottom w:val="nil"/>
            </w:tcBorders>
          </w:tcPr>
          <w:p w14:paraId="0B97BB4F"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0.51</w:t>
            </w:r>
          </w:p>
        </w:tc>
        <w:tc>
          <w:tcPr>
            <w:tcW w:w="747" w:type="dxa"/>
            <w:tcBorders>
              <w:top w:val="nil"/>
              <w:bottom w:val="nil"/>
            </w:tcBorders>
          </w:tcPr>
          <w:p w14:paraId="56F97FB1"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0.61</w:t>
            </w:r>
          </w:p>
        </w:tc>
      </w:tr>
      <w:tr w:rsidR="006A050B" w:rsidRPr="00F158C7" w14:paraId="24A64979" w14:textId="77777777" w:rsidTr="00CC122C">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11ABE6B2" w14:textId="77777777" w:rsidR="006A050B" w:rsidRPr="00D75700" w:rsidRDefault="006A050B" w:rsidP="00CC122C">
            <w:pPr>
              <w:rPr>
                <w:b w:val="0"/>
                <w:bCs w:val="0"/>
                <w:sz w:val="20"/>
                <w:szCs w:val="20"/>
              </w:rPr>
            </w:pPr>
            <w:r w:rsidRPr="00BA420E">
              <w:rPr>
                <w:b w:val="0"/>
                <w:bCs w:val="0"/>
                <w:sz w:val="20"/>
                <w:szCs w:val="20"/>
              </w:rPr>
              <w:t>Black neighborhood proportion</w:t>
            </w:r>
            <w:r w:rsidRPr="00D75700">
              <w:rPr>
                <w:b w:val="0"/>
                <w:bCs w:val="0"/>
                <w:sz w:val="20"/>
                <w:szCs w:val="20"/>
              </w:rPr>
              <w:t xml:space="preserve"> </w:t>
            </w:r>
          </w:p>
        </w:tc>
        <w:tc>
          <w:tcPr>
            <w:tcW w:w="1250" w:type="dxa"/>
            <w:tcBorders>
              <w:top w:val="nil"/>
              <w:bottom w:val="single" w:sz="4" w:space="0" w:color="auto"/>
            </w:tcBorders>
          </w:tcPr>
          <w:p w14:paraId="0ABE0320" w14:textId="77777777" w:rsidR="006A050B" w:rsidRPr="007263CF"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0.37</w:t>
            </w:r>
          </w:p>
        </w:tc>
        <w:tc>
          <w:tcPr>
            <w:tcW w:w="1249" w:type="dxa"/>
            <w:tcBorders>
              <w:top w:val="nil"/>
              <w:bottom w:val="single" w:sz="4" w:space="0" w:color="auto"/>
            </w:tcBorders>
          </w:tcPr>
          <w:p w14:paraId="368A888A" w14:textId="77777777" w:rsidR="006A050B" w:rsidRPr="007263CF"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0.25</w:t>
            </w:r>
          </w:p>
        </w:tc>
        <w:tc>
          <w:tcPr>
            <w:tcW w:w="1238" w:type="dxa"/>
            <w:tcBorders>
              <w:top w:val="nil"/>
              <w:bottom w:val="single" w:sz="4" w:space="0" w:color="auto"/>
            </w:tcBorders>
          </w:tcPr>
          <w:p w14:paraId="7BA4EC86" w14:textId="77777777" w:rsidR="006A050B" w:rsidRPr="007263CF"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1.49</w:t>
            </w:r>
          </w:p>
        </w:tc>
        <w:tc>
          <w:tcPr>
            <w:tcW w:w="1244" w:type="dxa"/>
            <w:tcBorders>
              <w:top w:val="nil"/>
              <w:bottom w:val="single" w:sz="4" w:space="0" w:color="auto"/>
            </w:tcBorders>
          </w:tcPr>
          <w:p w14:paraId="0112BB15" w14:textId="77777777" w:rsidR="006A050B" w:rsidRPr="007263CF"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0.14</w:t>
            </w:r>
          </w:p>
        </w:tc>
        <w:tc>
          <w:tcPr>
            <w:tcW w:w="2070" w:type="dxa"/>
            <w:tcBorders>
              <w:top w:val="nil"/>
              <w:bottom w:val="single" w:sz="4" w:space="0" w:color="auto"/>
            </w:tcBorders>
          </w:tcPr>
          <w:p w14:paraId="469FC568" w14:textId="77777777" w:rsidR="006A050B" w:rsidRPr="007263CF"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0.40</w:t>
            </w:r>
          </w:p>
        </w:tc>
        <w:tc>
          <w:tcPr>
            <w:tcW w:w="1123" w:type="dxa"/>
            <w:tcBorders>
              <w:top w:val="nil"/>
              <w:bottom w:val="single" w:sz="4" w:space="0" w:color="auto"/>
            </w:tcBorders>
          </w:tcPr>
          <w:p w14:paraId="7A650A22" w14:textId="77777777" w:rsidR="006A050B" w:rsidRPr="007263CF"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0.25</w:t>
            </w:r>
          </w:p>
        </w:tc>
        <w:tc>
          <w:tcPr>
            <w:tcW w:w="1199" w:type="dxa"/>
            <w:tcBorders>
              <w:top w:val="nil"/>
              <w:bottom w:val="single" w:sz="4" w:space="0" w:color="auto"/>
            </w:tcBorders>
          </w:tcPr>
          <w:p w14:paraId="1142C07A" w14:textId="77777777" w:rsidR="006A050B" w:rsidRPr="007263CF"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1.57</w:t>
            </w:r>
          </w:p>
        </w:tc>
        <w:tc>
          <w:tcPr>
            <w:tcW w:w="747" w:type="dxa"/>
            <w:tcBorders>
              <w:top w:val="nil"/>
              <w:bottom w:val="single" w:sz="4" w:space="0" w:color="auto"/>
            </w:tcBorders>
          </w:tcPr>
          <w:p w14:paraId="48DEC131" w14:textId="77777777" w:rsidR="006A050B" w:rsidRPr="007263CF"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0.12</w:t>
            </w:r>
          </w:p>
        </w:tc>
      </w:tr>
      <w:tr w:rsidR="006A050B" w:rsidRPr="00F158C7" w14:paraId="187746D1" w14:textId="77777777" w:rsidTr="00CC1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1A5D642D" w14:textId="77777777" w:rsidR="006A050B" w:rsidRPr="00F158C7" w:rsidRDefault="006A050B" w:rsidP="00CC122C">
            <w:pPr>
              <w:rPr>
                <w:sz w:val="20"/>
                <w:szCs w:val="20"/>
              </w:rPr>
            </w:pPr>
          </w:p>
        </w:tc>
        <w:tc>
          <w:tcPr>
            <w:tcW w:w="10120" w:type="dxa"/>
            <w:gridSpan w:val="8"/>
            <w:tcBorders>
              <w:top w:val="single" w:sz="4" w:space="0" w:color="auto"/>
              <w:bottom w:val="single" w:sz="4" w:space="0" w:color="auto"/>
            </w:tcBorders>
          </w:tcPr>
          <w:p w14:paraId="0BD8D530"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Negative a</w:t>
            </w:r>
            <w:r w:rsidRPr="00F158C7">
              <w:rPr>
                <w:b/>
                <w:bCs/>
                <w:sz w:val="20"/>
                <w:szCs w:val="20"/>
              </w:rPr>
              <w:t xml:space="preserve">ffect toward </w:t>
            </w:r>
            <w:r>
              <w:rPr>
                <w:b/>
                <w:bCs/>
                <w:sz w:val="20"/>
                <w:szCs w:val="20"/>
              </w:rPr>
              <w:t>Black</w:t>
            </w:r>
            <w:r w:rsidRPr="00F158C7">
              <w:rPr>
                <w:b/>
                <w:bCs/>
                <w:sz w:val="20"/>
                <w:szCs w:val="20"/>
              </w:rPr>
              <w:t xml:space="preserve"> people</w:t>
            </w:r>
          </w:p>
        </w:tc>
      </w:tr>
      <w:tr w:rsidR="006A050B" w:rsidRPr="00F158C7" w14:paraId="07FADEFB" w14:textId="77777777" w:rsidTr="00CC122C">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32E47221" w14:textId="77777777" w:rsidR="006A050B" w:rsidRPr="00F158C7" w:rsidRDefault="006A050B" w:rsidP="00CC122C">
            <w:pPr>
              <w:rPr>
                <w:sz w:val="20"/>
                <w:szCs w:val="20"/>
              </w:rPr>
            </w:pPr>
            <w:r w:rsidRPr="00026D59">
              <w:rPr>
                <w:b w:val="0"/>
                <w:bCs w:val="0"/>
                <w:sz w:val="20"/>
                <w:szCs w:val="20"/>
              </w:rPr>
              <w:t>Perceived COVID-19 intensity</w:t>
            </w:r>
          </w:p>
        </w:tc>
        <w:tc>
          <w:tcPr>
            <w:tcW w:w="1250" w:type="dxa"/>
            <w:tcBorders>
              <w:top w:val="single" w:sz="4" w:space="0" w:color="auto"/>
              <w:bottom w:val="nil"/>
            </w:tcBorders>
          </w:tcPr>
          <w:p w14:paraId="00FB2A4B"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3.50 x10-4</w:t>
            </w:r>
          </w:p>
        </w:tc>
        <w:tc>
          <w:tcPr>
            <w:tcW w:w="1249" w:type="dxa"/>
            <w:tcBorders>
              <w:top w:val="single" w:sz="4" w:space="0" w:color="auto"/>
              <w:bottom w:val="nil"/>
            </w:tcBorders>
          </w:tcPr>
          <w:p w14:paraId="3E922B9B"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6.40 x10-4</w:t>
            </w:r>
          </w:p>
        </w:tc>
        <w:tc>
          <w:tcPr>
            <w:tcW w:w="1238" w:type="dxa"/>
            <w:tcBorders>
              <w:top w:val="single" w:sz="4" w:space="0" w:color="auto"/>
              <w:bottom w:val="nil"/>
            </w:tcBorders>
          </w:tcPr>
          <w:p w14:paraId="089FA12B"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0.55</w:t>
            </w:r>
          </w:p>
        </w:tc>
        <w:tc>
          <w:tcPr>
            <w:tcW w:w="1244" w:type="dxa"/>
            <w:tcBorders>
              <w:top w:val="single" w:sz="4" w:space="0" w:color="auto"/>
              <w:bottom w:val="nil"/>
            </w:tcBorders>
          </w:tcPr>
          <w:p w14:paraId="6EF6B4FA"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0.58</w:t>
            </w:r>
          </w:p>
        </w:tc>
        <w:tc>
          <w:tcPr>
            <w:tcW w:w="2070" w:type="dxa"/>
            <w:tcBorders>
              <w:top w:val="single" w:sz="4" w:space="0" w:color="auto"/>
              <w:bottom w:val="nil"/>
            </w:tcBorders>
          </w:tcPr>
          <w:p w14:paraId="0989CA2B"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3.06 x10-5</w:t>
            </w:r>
          </w:p>
        </w:tc>
        <w:tc>
          <w:tcPr>
            <w:tcW w:w="1123" w:type="dxa"/>
            <w:tcBorders>
              <w:top w:val="single" w:sz="4" w:space="0" w:color="auto"/>
              <w:bottom w:val="nil"/>
            </w:tcBorders>
          </w:tcPr>
          <w:p w14:paraId="061D841B"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3.31 x10-5</w:t>
            </w:r>
          </w:p>
        </w:tc>
        <w:tc>
          <w:tcPr>
            <w:tcW w:w="1199" w:type="dxa"/>
            <w:tcBorders>
              <w:top w:val="single" w:sz="4" w:space="0" w:color="auto"/>
              <w:bottom w:val="nil"/>
            </w:tcBorders>
          </w:tcPr>
          <w:p w14:paraId="3561A0EE"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0.46</w:t>
            </w:r>
          </w:p>
        </w:tc>
        <w:tc>
          <w:tcPr>
            <w:tcW w:w="747" w:type="dxa"/>
            <w:tcBorders>
              <w:top w:val="single" w:sz="4" w:space="0" w:color="auto"/>
              <w:bottom w:val="nil"/>
            </w:tcBorders>
          </w:tcPr>
          <w:p w14:paraId="7D6788DF"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0.64</w:t>
            </w:r>
          </w:p>
        </w:tc>
      </w:tr>
      <w:tr w:rsidR="006A050B" w:rsidRPr="00F158C7" w14:paraId="7D26B75B" w14:textId="77777777" w:rsidTr="00CC1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3E490259" w14:textId="77777777" w:rsidR="006A050B" w:rsidRPr="00F158C7" w:rsidRDefault="006A050B" w:rsidP="00CC122C">
            <w:pPr>
              <w:rPr>
                <w:b w:val="0"/>
                <w:bCs w:val="0"/>
                <w:sz w:val="20"/>
                <w:szCs w:val="20"/>
              </w:rPr>
            </w:pPr>
            <w:r w:rsidRPr="00026D59">
              <w:rPr>
                <w:b w:val="0"/>
                <w:bCs w:val="0"/>
                <w:sz w:val="20"/>
                <w:szCs w:val="20"/>
              </w:rPr>
              <w:t>Actual COVID-19 intensity</w:t>
            </w:r>
          </w:p>
        </w:tc>
        <w:tc>
          <w:tcPr>
            <w:tcW w:w="1250" w:type="dxa"/>
            <w:tcBorders>
              <w:top w:val="nil"/>
              <w:bottom w:val="nil"/>
            </w:tcBorders>
          </w:tcPr>
          <w:p w14:paraId="11EBEEE5"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3.23 x10-3</w:t>
            </w:r>
          </w:p>
        </w:tc>
        <w:tc>
          <w:tcPr>
            <w:tcW w:w="1249" w:type="dxa"/>
            <w:tcBorders>
              <w:top w:val="nil"/>
              <w:bottom w:val="nil"/>
            </w:tcBorders>
          </w:tcPr>
          <w:p w14:paraId="23388383"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1.84 x10-3</w:t>
            </w:r>
          </w:p>
        </w:tc>
        <w:tc>
          <w:tcPr>
            <w:tcW w:w="1238" w:type="dxa"/>
            <w:tcBorders>
              <w:top w:val="nil"/>
              <w:bottom w:val="nil"/>
            </w:tcBorders>
          </w:tcPr>
          <w:p w14:paraId="4A19F488"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1.75</w:t>
            </w:r>
          </w:p>
        </w:tc>
        <w:tc>
          <w:tcPr>
            <w:tcW w:w="1244" w:type="dxa"/>
            <w:tcBorders>
              <w:top w:val="nil"/>
              <w:bottom w:val="nil"/>
            </w:tcBorders>
          </w:tcPr>
          <w:p w14:paraId="60C6EB3B"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0.08</w:t>
            </w:r>
          </w:p>
        </w:tc>
        <w:tc>
          <w:tcPr>
            <w:tcW w:w="2070" w:type="dxa"/>
            <w:tcBorders>
              <w:top w:val="nil"/>
              <w:bottom w:val="nil"/>
            </w:tcBorders>
          </w:tcPr>
          <w:p w14:paraId="4A3B30DE"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1.26 x10-4</w:t>
            </w:r>
          </w:p>
        </w:tc>
        <w:tc>
          <w:tcPr>
            <w:tcW w:w="1123" w:type="dxa"/>
            <w:tcBorders>
              <w:top w:val="nil"/>
              <w:bottom w:val="nil"/>
            </w:tcBorders>
          </w:tcPr>
          <w:p w14:paraId="5BCE86D8"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7.97 x10-5</w:t>
            </w:r>
          </w:p>
        </w:tc>
        <w:tc>
          <w:tcPr>
            <w:tcW w:w="1199" w:type="dxa"/>
            <w:tcBorders>
              <w:top w:val="nil"/>
              <w:bottom w:val="nil"/>
            </w:tcBorders>
          </w:tcPr>
          <w:p w14:paraId="1D17F047"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1.57</w:t>
            </w:r>
          </w:p>
        </w:tc>
        <w:tc>
          <w:tcPr>
            <w:tcW w:w="747" w:type="dxa"/>
            <w:tcBorders>
              <w:top w:val="nil"/>
              <w:bottom w:val="nil"/>
            </w:tcBorders>
          </w:tcPr>
          <w:p w14:paraId="3A69852C"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0.11</w:t>
            </w:r>
          </w:p>
        </w:tc>
      </w:tr>
      <w:tr w:rsidR="006A050B" w:rsidRPr="00F158C7" w14:paraId="2CB88071" w14:textId="77777777" w:rsidTr="00CC122C">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51551E1C" w14:textId="77777777" w:rsidR="006A050B" w:rsidRPr="00F158C7" w:rsidRDefault="006A050B" w:rsidP="00CC122C">
            <w:pPr>
              <w:rPr>
                <w:sz w:val="20"/>
                <w:szCs w:val="20"/>
              </w:rPr>
            </w:pPr>
            <w:r w:rsidRPr="00026D59">
              <w:rPr>
                <w:b w:val="0"/>
                <w:bCs w:val="0"/>
                <w:sz w:val="20"/>
                <w:szCs w:val="20"/>
              </w:rPr>
              <w:t xml:space="preserve">Contact with </w:t>
            </w:r>
            <w:r>
              <w:rPr>
                <w:b w:val="0"/>
                <w:bCs w:val="0"/>
                <w:sz w:val="20"/>
                <w:szCs w:val="20"/>
              </w:rPr>
              <w:t xml:space="preserve">Black </w:t>
            </w:r>
            <w:r w:rsidRPr="00026D59">
              <w:rPr>
                <w:b w:val="0"/>
                <w:bCs w:val="0"/>
                <w:sz w:val="20"/>
                <w:szCs w:val="20"/>
              </w:rPr>
              <w:t>people</w:t>
            </w:r>
          </w:p>
        </w:tc>
        <w:tc>
          <w:tcPr>
            <w:tcW w:w="1250" w:type="dxa"/>
            <w:tcBorders>
              <w:top w:val="nil"/>
              <w:bottom w:val="nil"/>
            </w:tcBorders>
          </w:tcPr>
          <w:p w14:paraId="49710258"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-1.23</w:t>
            </w:r>
          </w:p>
        </w:tc>
        <w:tc>
          <w:tcPr>
            <w:tcW w:w="1249" w:type="dxa"/>
            <w:tcBorders>
              <w:top w:val="nil"/>
              <w:bottom w:val="nil"/>
            </w:tcBorders>
          </w:tcPr>
          <w:p w14:paraId="0F73D292"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0.19</w:t>
            </w:r>
          </w:p>
        </w:tc>
        <w:tc>
          <w:tcPr>
            <w:tcW w:w="1238" w:type="dxa"/>
            <w:tcBorders>
              <w:top w:val="nil"/>
              <w:bottom w:val="nil"/>
            </w:tcBorders>
          </w:tcPr>
          <w:p w14:paraId="6961F464"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-6.53</w:t>
            </w:r>
          </w:p>
        </w:tc>
        <w:tc>
          <w:tcPr>
            <w:tcW w:w="1244" w:type="dxa"/>
            <w:tcBorders>
              <w:top w:val="nil"/>
              <w:bottom w:val="nil"/>
            </w:tcBorders>
          </w:tcPr>
          <w:p w14:paraId="6DE999DC"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&lt;.001</w:t>
            </w:r>
          </w:p>
        </w:tc>
        <w:tc>
          <w:tcPr>
            <w:tcW w:w="2070" w:type="dxa"/>
            <w:tcBorders>
              <w:top w:val="nil"/>
              <w:bottom w:val="nil"/>
            </w:tcBorders>
          </w:tcPr>
          <w:p w14:paraId="35C07E97"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-1.22</w:t>
            </w:r>
          </w:p>
        </w:tc>
        <w:tc>
          <w:tcPr>
            <w:tcW w:w="1123" w:type="dxa"/>
            <w:tcBorders>
              <w:top w:val="nil"/>
              <w:bottom w:val="nil"/>
            </w:tcBorders>
          </w:tcPr>
          <w:p w14:paraId="34C52F76"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0.19</w:t>
            </w:r>
          </w:p>
        </w:tc>
        <w:tc>
          <w:tcPr>
            <w:tcW w:w="1199" w:type="dxa"/>
            <w:tcBorders>
              <w:top w:val="nil"/>
              <w:bottom w:val="nil"/>
            </w:tcBorders>
          </w:tcPr>
          <w:p w14:paraId="0BBA9C16"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-6.44</w:t>
            </w:r>
          </w:p>
        </w:tc>
        <w:tc>
          <w:tcPr>
            <w:tcW w:w="747" w:type="dxa"/>
            <w:tcBorders>
              <w:top w:val="nil"/>
              <w:bottom w:val="nil"/>
            </w:tcBorders>
          </w:tcPr>
          <w:p w14:paraId="11029FC8"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&lt; .001</w:t>
            </w:r>
          </w:p>
        </w:tc>
      </w:tr>
      <w:tr w:rsidR="006A050B" w:rsidRPr="00F158C7" w14:paraId="06B8D363" w14:textId="77777777" w:rsidTr="00CC1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3D243F26" w14:textId="77777777" w:rsidR="006A050B" w:rsidRPr="00F158C7" w:rsidRDefault="006A050B" w:rsidP="00CC122C">
            <w:pPr>
              <w:rPr>
                <w:sz w:val="20"/>
                <w:szCs w:val="20"/>
              </w:rPr>
            </w:pPr>
            <w:r w:rsidRPr="00026D59">
              <w:rPr>
                <w:b w:val="0"/>
                <w:bCs w:val="0"/>
                <w:sz w:val="20"/>
                <w:szCs w:val="20"/>
              </w:rPr>
              <w:t>Perceived intensity x contact</w:t>
            </w:r>
          </w:p>
        </w:tc>
        <w:tc>
          <w:tcPr>
            <w:tcW w:w="1250" w:type="dxa"/>
            <w:tcBorders>
              <w:top w:val="nil"/>
              <w:bottom w:val="nil"/>
            </w:tcBorders>
          </w:tcPr>
          <w:p w14:paraId="32977550"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1.22 x10-4</w:t>
            </w:r>
          </w:p>
        </w:tc>
        <w:tc>
          <w:tcPr>
            <w:tcW w:w="1249" w:type="dxa"/>
            <w:tcBorders>
              <w:top w:val="nil"/>
              <w:bottom w:val="nil"/>
            </w:tcBorders>
          </w:tcPr>
          <w:p w14:paraId="777C561A"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1.62 x10-4</w:t>
            </w:r>
          </w:p>
        </w:tc>
        <w:tc>
          <w:tcPr>
            <w:tcW w:w="1238" w:type="dxa"/>
            <w:tcBorders>
              <w:top w:val="nil"/>
              <w:bottom w:val="nil"/>
            </w:tcBorders>
          </w:tcPr>
          <w:p w14:paraId="78000DB1"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0.75</w:t>
            </w:r>
          </w:p>
        </w:tc>
        <w:tc>
          <w:tcPr>
            <w:tcW w:w="1244" w:type="dxa"/>
            <w:tcBorders>
              <w:top w:val="nil"/>
              <w:bottom w:val="nil"/>
            </w:tcBorders>
          </w:tcPr>
          <w:p w14:paraId="351A2F05"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0.45</w:t>
            </w:r>
          </w:p>
        </w:tc>
        <w:tc>
          <w:tcPr>
            <w:tcW w:w="2070" w:type="dxa"/>
            <w:tcBorders>
              <w:top w:val="nil"/>
              <w:bottom w:val="nil"/>
            </w:tcBorders>
          </w:tcPr>
          <w:p w14:paraId="488AA610"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4.31 x10-6</w:t>
            </w:r>
          </w:p>
        </w:tc>
        <w:tc>
          <w:tcPr>
            <w:tcW w:w="1123" w:type="dxa"/>
            <w:tcBorders>
              <w:top w:val="nil"/>
              <w:bottom w:val="nil"/>
            </w:tcBorders>
          </w:tcPr>
          <w:p w14:paraId="0A118616"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1.35 x10-5</w:t>
            </w:r>
          </w:p>
        </w:tc>
        <w:tc>
          <w:tcPr>
            <w:tcW w:w="1199" w:type="dxa"/>
            <w:tcBorders>
              <w:top w:val="nil"/>
              <w:bottom w:val="nil"/>
            </w:tcBorders>
          </w:tcPr>
          <w:p w14:paraId="5D51BE66"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0.32</w:t>
            </w:r>
          </w:p>
        </w:tc>
        <w:tc>
          <w:tcPr>
            <w:tcW w:w="747" w:type="dxa"/>
            <w:tcBorders>
              <w:top w:val="nil"/>
              <w:bottom w:val="nil"/>
            </w:tcBorders>
          </w:tcPr>
          <w:p w14:paraId="2402490A" w14:textId="77777777" w:rsidR="006A050B" w:rsidRPr="00F158C7" w:rsidRDefault="006A050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0.75</w:t>
            </w:r>
          </w:p>
        </w:tc>
      </w:tr>
      <w:tr w:rsidR="006A050B" w:rsidRPr="00F158C7" w14:paraId="51DB9D7B" w14:textId="77777777" w:rsidTr="00CC122C">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7B922CC4" w14:textId="77777777" w:rsidR="006A050B" w:rsidRPr="00F158C7" w:rsidRDefault="006A050B" w:rsidP="00CC122C">
            <w:pPr>
              <w:rPr>
                <w:sz w:val="20"/>
                <w:szCs w:val="20"/>
              </w:rPr>
            </w:pPr>
            <w:r w:rsidRPr="00026D59">
              <w:rPr>
                <w:b w:val="0"/>
                <w:bCs w:val="0"/>
                <w:sz w:val="20"/>
                <w:szCs w:val="20"/>
              </w:rPr>
              <w:t>Actual intensity x contact</w:t>
            </w:r>
          </w:p>
        </w:tc>
        <w:tc>
          <w:tcPr>
            <w:tcW w:w="1250" w:type="dxa"/>
            <w:tcBorders>
              <w:top w:val="nil"/>
              <w:bottom w:val="nil"/>
            </w:tcBorders>
          </w:tcPr>
          <w:p w14:paraId="31CC5710"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-4.97 x10-4</w:t>
            </w:r>
          </w:p>
        </w:tc>
        <w:tc>
          <w:tcPr>
            <w:tcW w:w="1249" w:type="dxa"/>
            <w:tcBorders>
              <w:top w:val="nil"/>
              <w:bottom w:val="nil"/>
            </w:tcBorders>
          </w:tcPr>
          <w:p w14:paraId="0734BE08"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4.69 x10-4</w:t>
            </w:r>
          </w:p>
        </w:tc>
        <w:tc>
          <w:tcPr>
            <w:tcW w:w="1238" w:type="dxa"/>
            <w:tcBorders>
              <w:top w:val="nil"/>
              <w:bottom w:val="nil"/>
            </w:tcBorders>
          </w:tcPr>
          <w:p w14:paraId="0D6AFBBF"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-1.06</w:t>
            </w:r>
          </w:p>
        </w:tc>
        <w:tc>
          <w:tcPr>
            <w:tcW w:w="1244" w:type="dxa"/>
            <w:tcBorders>
              <w:top w:val="nil"/>
              <w:bottom w:val="nil"/>
            </w:tcBorders>
          </w:tcPr>
          <w:p w14:paraId="5C4882C3"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0.29</w:t>
            </w:r>
          </w:p>
        </w:tc>
        <w:tc>
          <w:tcPr>
            <w:tcW w:w="2070" w:type="dxa"/>
            <w:tcBorders>
              <w:top w:val="nil"/>
              <w:bottom w:val="nil"/>
            </w:tcBorders>
          </w:tcPr>
          <w:p w14:paraId="64CD4B67"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-8.60 x10-6</w:t>
            </w:r>
          </w:p>
        </w:tc>
        <w:tc>
          <w:tcPr>
            <w:tcW w:w="1123" w:type="dxa"/>
            <w:tcBorders>
              <w:top w:val="nil"/>
              <w:bottom w:val="nil"/>
            </w:tcBorders>
          </w:tcPr>
          <w:p w14:paraId="32D2A315"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1.66 x10-5</w:t>
            </w:r>
          </w:p>
        </w:tc>
        <w:tc>
          <w:tcPr>
            <w:tcW w:w="1199" w:type="dxa"/>
            <w:tcBorders>
              <w:top w:val="nil"/>
              <w:bottom w:val="nil"/>
            </w:tcBorders>
          </w:tcPr>
          <w:p w14:paraId="55C72F59"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-0.52</w:t>
            </w:r>
          </w:p>
        </w:tc>
        <w:tc>
          <w:tcPr>
            <w:tcW w:w="747" w:type="dxa"/>
            <w:tcBorders>
              <w:top w:val="nil"/>
              <w:bottom w:val="nil"/>
            </w:tcBorders>
          </w:tcPr>
          <w:p w14:paraId="5570578D" w14:textId="77777777" w:rsidR="006A050B" w:rsidRPr="00F158C7" w:rsidRDefault="006A050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0.60</w:t>
            </w:r>
          </w:p>
        </w:tc>
      </w:tr>
      <w:tr w:rsidR="006A050B" w:rsidRPr="00F158C7" w14:paraId="118632C0" w14:textId="77777777" w:rsidTr="00CC1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2" w:type="dxa"/>
            <w:tcBorders>
              <w:top w:val="nil"/>
              <w:bottom w:val="single" w:sz="4" w:space="0" w:color="auto"/>
            </w:tcBorders>
          </w:tcPr>
          <w:p w14:paraId="713548AE" w14:textId="77777777" w:rsidR="006A050B" w:rsidRPr="00944229" w:rsidRDefault="006A050B" w:rsidP="00CC122C">
            <w:pPr>
              <w:rPr>
                <w:sz w:val="20"/>
                <w:szCs w:val="20"/>
              </w:rPr>
            </w:pPr>
            <w:r w:rsidRPr="00944229">
              <w:rPr>
                <w:b w:val="0"/>
                <w:bCs w:val="0"/>
                <w:sz w:val="20"/>
                <w:szCs w:val="20"/>
              </w:rPr>
              <w:t>Black neighborhood proportion</w:t>
            </w:r>
          </w:p>
        </w:tc>
        <w:tc>
          <w:tcPr>
            <w:tcW w:w="1250" w:type="dxa"/>
            <w:tcBorders>
              <w:top w:val="nil"/>
              <w:bottom w:val="single" w:sz="4" w:space="0" w:color="auto"/>
            </w:tcBorders>
          </w:tcPr>
          <w:p w14:paraId="2432229D" w14:textId="77777777" w:rsidR="006A050B" w:rsidRPr="002F69DC" w:rsidRDefault="006A050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F69DC">
              <w:rPr>
                <w:b/>
                <w:bCs/>
                <w:sz w:val="20"/>
                <w:szCs w:val="20"/>
              </w:rPr>
              <w:t>12.31</w:t>
            </w:r>
          </w:p>
        </w:tc>
        <w:tc>
          <w:tcPr>
            <w:tcW w:w="1249" w:type="dxa"/>
            <w:tcBorders>
              <w:top w:val="nil"/>
              <w:bottom w:val="single" w:sz="4" w:space="0" w:color="auto"/>
            </w:tcBorders>
          </w:tcPr>
          <w:p w14:paraId="3266ADFD" w14:textId="77777777" w:rsidR="006A050B" w:rsidRPr="002F69DC" w:rsidRDefault="006A050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F69DC">
              <w:rPr>
                <w:b/>
                <w:bCs/>
                <w:sz w:val="20"/>
                <w:szCs w:val="20"/>
              </w:rPr>
              <w:t>5.28</w:t>
            </w:r>
          </w:p>
        </w:tc>
        <w:tc>
          <w:tcPr>
            <w:tcW w:w="1238" w:type="dxa"/>
            <w:tcBorders>
              <w:top w:val="nil"/>
              <w:bottom w:val="single" w:sz="4" w:space="0" w:color="auto"/>
            </w:tcBorders>
          </w:tcPr>
          <w:p w14:paraId="282D8B4B" w14:textId="77777777" w:rsidR="006A050B" w:rsidRPr="002F69DC" w:rsidRDefault="006A050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F69DC">
              <w:rPr>
                <w:b/>
                <w:bCs/>
                <w:sz w:val="20"/>
                <w:szCs w:val="20"/>
              </w:rPr>
              <w:t>2.33</w:t>
            </w:r>
          </w:p>
        </w:tc>
        <w:tc>
          <w:tcPr>
            <w:tcW w:w="1244" w:type="dxa"/>
            <w:tcBorders>
              <w:top w:val="nil"/>
              <w:bottom w:val="single" w:sz="4" w:space="0" w:color="auto"/>
            </w:tcBorders>
          </w:tcPr>
          <w:p w14:paraId="7645818D" w14:textId="77777777" w:rsidR="006A050B" w:rsidRPr="002F69DC" w:rsidRDefault="006A050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F69DC">
              <w:rPr>
                <w:b/>
                <w:bCs/>
                <w:sz w:val="20"/>
                <w:szCs w:val="20"/>
              </w:rPr>
              <w:t>0.02</w:t>
            </w:r>
          </w:p>
        </w:tc>
        <w:tc>
          <w:tcPr>
            <w:tcW w:w="2070" w:type="dxa"/>
            <w:tcBorders>
              <w:top w:val="nil"/>
              <w:bottom w:val="single" w:sz="4" w:space="0" w:color="auto"/>
            </w:tcBorders>
          </w:tcPr>
          <w:p w14:paraId="6387FF19" w14:textId="77777777" w:rsidR="006A050B" w:rsidRPr="002F69DC" w:rsidRDefault="006A050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F69DC">
              <w:rPr>
                <w:b/>
                <w:bCs/>
                <w:sz w:val="20"/>
                <w:szCs w:val="20"/>
              </w:rPr>
              <w:t>12.17</w:t>
            </w:r>
          </w:p>
        </w:tc>
        <w:tc>
          <w:tcPr>
            <w:tcW w:w="1123" w:type="dxa"/>
            <w:tcBorders>
              <w:top w:val="nil"/>
              <w:bottom w:val="single" w:sz="4" w:space="0" w:color="auto"/>
            </w:tcBorders>
          </w:tcPr>
          <w:p w14:paraId="73524C1A" w14:textId="77777777" w:rsidR="006A050B" w:rsidRPr="002F69DC" w:rsidRDefault="006A050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F69DC">
              <w:rPr>
                <w:b/>
                <w:bCs/>
                <w:sz w:val="20"/>
                <w:szCs w:val="20"/>
              </w:rPr>
              <w:t>5.28</w:t>
            </w:r>
          </w:p>
        </w:tc>
        <w:tc>
          <w:tcPr>
            <w:tcW w:w="1199" w:type="dxa"/>
            <w:tcBorders>
              <w:top w:val="nil"/>
              <w:bottom w:val="single" w:sz="4" w:space="0" w:color="auto"/>
            </w:tcBorders>
          </w:tcPr>
          <w:p w14:paraId="373E8279" w14:textId="77777777" w:rsidR="006A050B" w:rsidRPr="002F69DC" w:rsidRDefault="006A050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F69DC">
              <w:rPr>
                <w:b/>
                <w:bCs/>
                <w:sz w:val="20"/>
                <w:szCs w:val="20"/>
              </w:rPr>
              <w:t>2.30</w:t>
            </w:r>
          </w:p>
        </w:tc>
        <w:tc>
          <w:tcPr>
            <w:tcW w:w="747" w:type="dxa"/>
            <w:tcBorders>
              <w:top w:val="nil"/>
              <w:bottom w:val="single" w:sz="4" w:space="0" w:color="auto"/>
            </w:tcBorders>
          </w:tcPr>
          <w:p w14:paraId="74202DB3" w14:textId="77777777" w:rsidR="006A050B" w:rsidRPr="002F69DC" w:rsidRDefault="006A050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2F69DC">
              <w:rPr>
                <w:b/>
                <w:bCs/>
                <w:sz w:val="20"/>
                <w:szCs w:val="20"/>
              </w:rPr>
              <w:t>0.02</w:t>
            </w:r>
          </w:p>
        </w:tc>
      </w:tr>
    </w:tbl>
    <w:p w14:paraId="6455BA01" w14:textId="77777777" w:rsidR="006A050B" w:rsidRDefault="006A050B" w:rsidP="006A050B"/>
    <w:p w14:paraId="53601B7C" w14:textId="77777777" w:rsidR="006A050B" w:rsidRDefault="006A050B">
      <w:pPr>
        <w:rPr>
          <w:b/>
          <w:bCs/>
          <w:i/>
          <w:iCs/>
        </w:rPr>
      </w:pPr>
      <w:r>
        <w:rPr>
          <w:b/>
          <w:bCs/>
          <w:i/>
          <w:iCs/>
        </w:rPr>
        <w:br w:type="page"/>
      </w:r>
    </w:p>
    <w:p w14:paraId="32DB7666" w14:textId="77777777" w:rsidR="006A050B" w:rsidRDefault="006A050B" w:rsidP="000D0C3A">
      <w:pPr>
        <w:spacing w:line="480" w:lineRule="auto"/>
        <w:rPr>
          <w:b/>
          <w:bCs/>
          <w:i/>
          <w:iCs/>
        </w:rPr>
        <w:sectPr w:rsidR="006A050B" w:rsidSect="006A050B">
          <w:pgSz w:w="15840" w:h="12240" w:orient="landscape"/>
          <w:pgMar w:top="1440" w:right="1440" w:bottom="1440" w:left="1440" w:header="720" w:footer="720" w:gutter="0"/>
          <w:cols w:space="720"/>
          <w:docGrid w:linePitch="360"/>
        </w:sectPr>
      </w:pPr>
    </w:p>
    <w:p w14:paraId="27344C99" w14:textId="77777777" w:rsidR="004532C6" w:rsidRDefault="004532C6" w:rsidP="004532C6">
      <w:pPr>
        <w:spacing w:line="480" w:lineRule="auto"/>
      </w:pPr>
      <w:r>
        <w:rPr>
          <w:b/>
          <w:bCs/>
          <w:i/>
          <w:iCs/>
        </w:rPr>
        <w:lastRenderedPageBreak/>
        <w:t xml:space="preserve">Desire for social distance </w:t>
      </w:r>
    </w:p>
    <w:p w14:paraId="1C6B4CDF" w14:textId="77777777" w:rsidR="004532C6" w:rsidRDefault="004532C6" w:rsidP="004532C6">
      <w:pPr>
        <w:spacing w:line="480" w:lineRule="auto"/>
        <w:ind w:firstLine="720"/>
      </w:pPr>
      <w:r w:rsidRPr="00916024">
        <w:rPr>
          <w:i/>
          <w:iCs/>
        </w:rPr>
        <w:t>Deaths due to COVID-19.</w:t>
      </w:r>
      <w:r>
        <w:t xml:space="preserve"> Only perceived intensity of COVID-19 was positively associated with a desire for social distance from Asian people; actual intensity of COVID-19 was not significantly related to desire for social distance from Asian people. There were no main effects of neighborhood proportion or contact, and no interactive effects of contact</w:t>
      </w:r>
      <w:r>
        <w:rPr>
          <w:rStyle w:val="FootnoteReference"/>
        </w:rPr>
        <w:footnoteReference w:id="9"/>
      </w:r>
      <w:r>
        <w:t>.</w:t>
      </w:r>
    </w:p>
    <w:p w14:paraId="5B70BED5" w14:textId="77777777" w:rsidR="004532C6" w:rsidRDefault="004532C6" w:rsidP="004532C6">
      <w:pPr>
        <w:spacing w:line="480" w:lineRule="auto"/>
        <w:ind w:firstLine="720"/>
      </w:pPr>
      <w:r>
        <w:t>We found a similar pattern of results when predicting desire for social distance from Black people. Again, only perceived intensity of COVID-19 was positively associated with a desire for social distance from Black people; actual intensity of COVID-19 was not significantly related to desire for social distance from Black people. There was no main effect of neighborhood proportion of Black people, but there was an effect of contact; participants who had greater contact with Black people expressed less of a desire for social distance from Black people. However, contact did not interact with either COVID-19 intensity variable.</w:t>
      </w:r>
    </w:p>
    <w:p w14:paraId="0F55D796" w14:textId="77777777" w:rsidR="004532C6" w:rsidRDefault="004532C6" w:rsidP="004532C6">
      <w:pPr>
        <w:spacing w:line="480" w:lineRule="auto"/>
        <w:ind w:firstLine="720"/>
      </w:pPr>
      <w:r>
        <w:rPr>
          <w:i/>
          <w:iCs/>
        </w:rPr>
        <w:t>Cases</w:t>
      </w:r>
      <w:r w:rsidRPr="008D07EE">
        <w:rPr>
          <w:i/>
          <w:iCs/>
        </w:rPr>
        <w:t xml:space="preserve"> due to COVID-19.</w:t>
      </w:r>
      <w:r>
        <w:t xml:space="preserve"> When cases due to COVID-19 was used as the predictor variable, we find the same pattern of results as when deaths due to COVID-19 was used. </w:t>
      </w:r>
    </w:p>
    <w:p w14:paraId="6B3C3FAD" w14:textId="77777777" w:rsidR="004532C6" w:rsidRDefault="004532C6" w:rsidP="004532C6">
      <w:pPr>
        <w:spacing w:line="480" w:lineRule="auto"/>
        <w:ind w:firstLine="720"/>
      </w:pPr>
      <w:r>
        <w:t>Taken together, this pattern of results suggest that perceptions of COVID-19 intensity are not related to a specific desire for social distance from Asian people, but rather a more generalized desire for social distance from racial outgroups, including both Asian and Black people. Additionally, we found no evidence that contact with outgroup members moderates the relation between COVID-19 intensity and desire for social distance, although greater contact with Black people was associated with less prejudice toward Black people, suggesting that the benefits of contact sometimes persist during period of crisis.</w:t>
      </w:r>
    </w:p>
    <w:p w14:paraId="0163B3CE" w14:textId="77777777" w:rsidR="004532C6" w:rsidRPr="000147DB" w:rsidRDefault="004532C6" w:rsidP="004532C6">
      <w:pPr>
        <w:spacing w:line="480" w:lineRule="auto"/>
        <w:rPr>
          <w:b/>
          <w:bCs/>
          <w:i/>
          <w:iCs/>
        </w:rPr>
      </w:pPr>
      <w:r>
        <w:rPr>
          <w:b/>
          <w:bCs/>
          <w:i/>
          <w:iCs/>
        </w:rPr>
        <w:lastRenderedPageBreak/>
        <w:t>Support for exclusionary</w:t>
      </w:r>
      <w:r w:rsidRPr="000147DB">
        <w:rPr>
          <w:b/>
          <w:bCs/>
          <w:i/>
          <w:iCs/>
        </w:rPr>
        <w:t xml:space="preserve"> </w:t>
      </w:r>
      <w:r>
        <w:rPr>
          <w:b/>
          <w:bCs/>
          <w:i/>
          <w:iCs/>
        </w:rPr>
        <w:t>travel policies</w:t>
      </w:r>
    </w:p>
    <w:p w14:paraId="68F5A54C" w14:textId="77777777" w:rsidR="004532C6" w:rsidRDefault="004532C6" w:rsidP="004532C6">
      <w:pPr>
        <w:spacing w:line="480" w:lineRule="auto"/>
        <w:ind w:firstLine="720"/>
      </w:pPr>
      <w:r w:rsidRPr="005A6579">
        <w:rPr>
          <w:i/>
          <w:iCs/>
        </w:rPr>
        <w:t>Deaths due to COVID-19</w:t>
      </w:r>
      <w:r>
        <w:rPr>
          <w:i/>
          <w:iCs/>
        </w:rPr>
        <w:t xml:space="preserve">. </w:t>
      </w:r>
      <w:r>
        <w:t>Neither actual nor perceived intensity of COVID-19 were associated with support for an anti-Asian travel policy. We observed a significant interaction between official reports of COVID-19 intensity and contact on support for an anti-Asian travel policy. Among participants who scored high on contact with Asian people, higher COVID-19 intensity corresponded with significantly less support for anti-Asian policy (see Figure 1 for a graphical depiction of this relation, where the data are split into 1 SD above (4.79 or greater) and 1SD below (-4.95 or lower) the mean of standardized contact with Asian people). To clarify the nature of the interaction, we decomposed the interaction using the Johnson-Neyman technique (using the “sim_slopes” function in the “interactions” package in R), using a conservative test statistic to reduce the likelihood of Type 1 error (see Esarey &amp; Sumner, 2017). This approach revealed that we only observed a significant (</w:t>
      </w:r>
      <w:proofErr w:type="gramStart"/>
      <w:r w:rsidRPr="009955F2">
        <w:rPr>
          <w:i/>
          <w:iCs/>
        </w:rPr>
        <w:t>p</w:t>
      </w:r>
      <w:r>
        <w:t xml:space="preserve">  &lt;</w:t>
      </w:r>
      <w:proofErr w:type="gramEnd"/>
      <w:r>
        <w:t xml:space="preserve"> .05) relation between official reports of COVID-19 intensity and decreased support for anti-Asian travel policy among participants for whom the standardized variable capturing contact with Asian people fell </w:t>
      </w:r>
      <w:r w:rsidRPr="003970CD">
        <w:rPr>
          <w:i/>
          <w:iCs/>
        </w:rPr>
        <w:t>above</w:t>
      </w:r>
      <w:r>
        <w:t xml:space="preserve"> 3.68 (a value that is slightly less than 1 SD above the mean contact score).</w:t>
      </w:r>
    </w:p>
    <w:p w14:paraId="51FDFFD2" w14:textId="77777777" w:rsidR="000D0C3A" w:rsidRDefault="000D0C3A" w:rsidP="000D0C3A">
      <w:pPr>
        <w:spacing w:line="480" w:lineRule="auto"/>
        <w:ind w:firstLine="720"/>
      </w:pPr>
    </w:p>
    <w:p w14:paraId="184BF79A" w14:textId="77777777" w:rsidR="000D0C3A" w:rsidRDefault="000D0C3A" w:rsidP="000D0C3A">
      <w:pPr>
        <w:spacing w:line="480" w:lineRule="auto"/>
        <w:ind w:firstLine="720"/>
      </w:pPr>
      <w:r>
        <w:rPr>
          <w:noProof/>
        </w:rPr>
        <w:lastRenderedPageBreak/>
        <w:drawing>
          <wp:anchor distT="0" distB="0" distL="114300" distR="114300" simplePos="0" relativeHeight="251661312" behindDoc="1" locked="0" layoutInCell="1" allowOverlap="1" wp14:anchorId="03949750" wp14:editId="767D99D9">
            <wp:simplePos x="0" y="0"/>
            <wp:positionH relativeFrom="column">
              <wp:posOffset>-149860</wp:posOffset>
            </wp:positionH>
            <wp:positionV relativeFrom="paragraph">
              <wp:posOffset>62230</wp:posOffset>
            </wp:positionV>
            <wp:extent cx="4961255" cy="3964940"/>
            <wp:effectExtent l="0" t="0" r="4445" b="0"/>
            <wp:wrapSquare wrapText="bothSides"/>
            <wp:docPr id="8" name="Picture 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line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61255" cy="3964940"/>
                    </a:xfrm>
                    <a:prstGeom prst="rect">
                      <a:avLst/>
                    </a:prstGeom>
                  </pic:spPr>
                </pic:pic>
              </a:graphicData>
            </a:graphic>
            <wp14:sizeRelH relativeFrom="page">
              <wp14:pctWidth>0</wp14:pctWidth>
            </wp14:sizeRelH>
            <wp14:sizeRelV relativeFrom="page">
              <wp14:pctHeight>0</wp14:pctHeight>
            </wp14:sizeRelV>
          </wp:anchor>
        </w:drawing>
      </w:r>
    </w:p>
    <w:p w14:paraId="3566A065" w14:textId="77777777" w:rsidR="000D0C3A" w:rsidRDefault="000D0C3A" w:rsidP="000D0C3A">
      <w:pPr>
        <w:spacing w:line="480" w:lineRule="auto"/>
        <w:rPr>
          <w:b/>
          <w:bCs/>
        </w:rPr>
      </w:pPr>
    </w:p>
    <w:p w14:paraId="3D24072D" w14:textId="77777777" w:rsidR="000D0C3A" w:rsidRDefault="000D0C3A" w:rsidP="000D0C3A">
      <w:pPr>
        <w:spacing w:line="480" w:lineRule="auto"/>
        <w:rPr>
          <w:b/>
          <w:bCs/>
        </w:rPr>
      </w:pPr>
    </w:p>
    <w:p w14:paraId="2A3423F0" w14:textId="77777777" w:rsidR="000D0C3A" w:rsidRDefault="000D0C3A" w:rsidP="000D0C3A">
      <w:pPr>
        <w:spacing w:line="480" w:lineRule="auto"/>
        <w:rPr>
          <w:b/>
          <w:bCs/>
        </w:rPr>
      </w:pPr>
    </w:p>
    <w:p w14:paraId="2D5378D1" w14:textId="77777777" w:rsidR="000D0C3A" w:rsidRDefault="000D0C3A" w:rsidP="000D0C3A">
      <w:pPr>
        <w:spacing w:line="480" w:lineRule="auto"/>
        <w:rPr>
          <w:b/>
          <w:bCs/>
        </w:rPr>
      </w:pPr>
    </w:p>
    <w:p w14:paraId="764EC077" w14:textId="77777777" w:rsidR="000D0C3A" w:rsidRDefault="000D0C3A" w:rsidP="000D0C3A">
      <w:pPr>
        <w:spacing w:line="480" w:lineRule="auto"/>
        <w:rPr>
          <w:b/>
          <w:bCs/>
        </w:rPr>
      </w:pPr>
    </w:p>
    <w:p w14:paraId="463A8D91" w14:textId="77777777" w:rsidR="000D0C3A" w:rsidRDefault="000D0C3A" w:rsidP="000D0C3A">
      <w:pPr>
        <w:spacing w:line="480" w:lineRule="auto"/>
        <w:rPr>
          <w:b/>
          <w:bCs/>
        </w:rPr>
      </w:pPr>
    </w:p>
    <w:p w14:paraId="4F55C2B9" w14:textId="77777777" w:rsidR="000D0C3A" w:rsidRDefault="000D0C3A" w:rsidP="000D0C3A">
      <w:pPr>
        <w:spacing w:line="480" w:lineRule="auto"/>
        <w:rPr>
          <w:b/>
          <w:bCs/>
        </w:rPr>
      </w:pPr>
    </w:p>
    <w:p w14:paraId="281C2540" w14:textId="77777777" w:rsidR="000D0C3A" w:rsidRDefault="000D0C3A" w:rsidP="000D0C3A">
      <w:pPr>
        <w:spacing w:line="480" w:lineRule="auto"/>
        <w:rPr>
          <w:b/>
          <w:bCs/>
        </w:rPr>
      </w:pPr>
    </w:p>
    <w:p w14:paraId="5ACDCD42" w14:textId="77777777" w:rsidR="000D0C3A" w:rsidRDefault="000D0C3A" w:rsidP="000D0C3A">
      <w:pPr>
        <w:spacing w:line="480" w:lineRule="auto"/>
        <w:rPr>
          <w:b/>
          <w:bCs/>
        </w:rPr>
      </w:pPr>
    </w:p>
    <w:p w14:paraId="244841FB" w14:textId="77777777" w:rsidR="000D0C3A" w:rsidRDefault="000D0C3A" w:rsidP="000D0C3A">
      <w:pPr>
        <w:spacing w:line="480" w:lineRule="auto"/>
        <w:rPr>
          <w:b/>
          <w:bCs/>
        </w:rPr>
      </w:pPr>
    </w:p>
    <w:p w14:paraId="03180E55" w14:textId="77777777" w:rsidR="000D0C3A" w:rsidRDefault="000D0C3A" w:rsidP="000D0C3A">
      <w:pPr>
        <w:spacing w:line="480" w:lineRule="auto"/>
        <w:rPr>
          <w:b/>
          <w:bCs/>
        </w:rPr>
      </w:pPr>
    </w:p>
    <w:p w14:paraId="4CEA85AE" w14:textId="50F2C0BF" w:rsidR="000D0C3A" w:rsidRPr="001C581F" w:rsidRDefault="000D0C3A" w:rsidP="000D0C3A">
      <w:pPr>
        <w:spacing w:line="480" w:lineRule="auto"/>
      </w:pPr>
      <w:r w:rsidRPr="004C499F">
        <w:rPr>
          <w:b/>
          <w:bCs/>
        </w:rPr>
        <w:t>Figure 1.</w:t>
      </w:r>
      <w:r>
        <w:t xml:space="preserve"> </w:t>
      </w:r>
      <w:r w:rsidR="00BF1DAB" w:rsidRPr="007C2019">
        <w:t xml:space="preserve">Relations between </w:t>
      </w:r>
      <w:r w:rsidR="00BF1DAB">
        <w:t xml:space="preserve">actual intensity of COVID-19 </w:t>
      </w:r>
      <w:r w:rsidR="00BF1DAB" w:rsidRPr="007C2019">
        <w:t>(</w:t>
      </w:r>
      <w:r w:rsidR="00BF1DAB">
        <w:t>based on official reports</w:t>
      </w:r>
      <w:r w:rsidR="00BF1DAB" w:rsidRPr="007C2019">
        <w:t xml:space="preserve"> of COVID</w:t>
      </w:r>
      <w:r w:rsidR="00BF1DAB">
        <w:t>-</w:t>
      </w:r>
      <w:r w:rsidR="00BF1DAB" w:rsidRPr="007C2019">
        <w:t>19 deaths) and</w:t>
      </w:r>
      <w:r w:rsidR="00BF1DAB">
        <w:t xml:space="preserve"> support for an exclusionary anti-Asian policy, with participants separated by relative contact with Asian people. Official reports of the number of deaths from COVID-19 was related to less support for exclusionary anti-Asian policy among participants with greater contact with Asian people. </w:t>
      </w:r>
      <w:r w:rsidR="00BF1DAB" w:rsidRPr="007C2019">
        <w:t xml:space="preserve">Colored lines represent the </w:t>
      </w:r>
      <w:r w:rsidR="00BF1DAB">
        <w:t xml:space="preserve">model fit </w:t>
      </w:r>
      <w:r w:rsidR="00BF1DAB" w:rsidRPr="007C2019">
        <w:t>regression lines</w:t>
      </w:r>
      <w:r w:rsidR="00BF1DAB">
        <w:t xml:space="preserve"> at the mean and</w:t>
      </w:r>
      <w:r w:rsidR="00BF1DAB" w:rsidRPr="007C2019">
        <w:t xml:space="preserve"> for each </w:t>
      </w:r>
      <w:r w:rsidR="00BF1DAB">
        <w:t xml:space="preserve">level of the moderator (+1 SD, -1 SD). For participants +1 SD above the contact mean, there was a significant relation between actual intensity of COVID-19 and decreased support for anti-Asian policy: </w:t>
      </w:r>
      <m:oMath>
        <m:r>
          <w:rPr>
            <w:rFonts w:ascii="Cambria Math" w:hAnsi="Cambria Math"/>
            <w:sz w:val="20"/>
            <w:szCs w:val="20"/>
          </w:rPr>
          <m:t>β</m:t>
        </m:r>
      </m:oMath>
      <w:r w:rsidR="00BF1DAB">
        <w:t xml:space="preserve"> = -4.73 x10-4, </w:t>
      </w:r>
      <w:r w:rsidR="00BF1DAB">
        <w:rPr>
          <w:i/>
          <w:iCs/>
        </w:rPr>
        <w:t xml:space="preserve">p </w:t>
      </w:r>
      <w:r w:rsidR="00BF1DAB">
        <w:t xml:space="preserve">= 0.003. There was no relation between actual intensity and support for anti-Asian policy for participants -1 SD below the contact mean: </w:t>
      </w:r>
      <m:oMath>
        <m:r>
          <w:rPr>
            <w:rFonts w:ascii="Cambria Math" w:hAnsi="Cambria Math"/>
            <w:sz w:val="20"/>
            <w:szCs w:val="20"/>
          </w:rPr>
          <m:t>β</m:t>
        </m:r>
      </m:oMath>
      <w:r w:rsidR="00BF1DAB">
        <w:t xml:space="preserve"> = - 7.28 x10-4, </w:t>
      </w:r>
      <w:r w:rsidR="00BF1DAB">
        <w:rPr>
          <w:i/>
          <w:iCs/>
        </w:rPr>
        <w:t xml:space="preserve">p </w:t>
      </w:r>
      <w:r w:rsidR="00BF1DAB">
        <w:t>= 0.17</w:t>
      </w:r>
      <w:r>
        <w:t xml:space="preserve">. </w:t>
      </w:r>
    </w:p>
    <w:p w14:paraId="5C1743E5" w14:textId="77777777" w:rsidR="000D0C3A" w:rsidRDefault="000D0C3A" w:rsidP="000D0C3A"/>
    <w:p w14:paraId="7A11B365" w14:textId="77777777" w:rsidR="000D0C3A" w:rsidRDefault="000D0C3A" w:rsidP="000D0C3A">
      <w:pPr>
        <w:spacing w:line="480" w:lineRule="auto"/>
        <w:ind w:firstLine="720"/>
        <w:jc w:val="center"/>
      </w:pPr>
    </w:p>
    <w:p w14:paraId="4E94873D" w14:textId="77777777" w:rsidR="004532C6" w:rsidRDefault="004532C6" w:rsidP="004532C6">
      <w:pPr>
        <w:spacing w:line="480" w:lineRule="auto"/>
        <w:ind w:firstLine="720"/>
      </w:pPr>
      <w:r>
        <w:rPr>
          <w:i/>
          <w:iCs/>
        </w:rPr>
        <w:lastRenderedPageBreak/>
        <w:t>Cases</w:t>
      </w:r>
      <w:r w:rsidRPr="005A6579">
        <w:rPr>
          <w:i/>
          <w:iCs/>
        </w:rPr>
        <w:t xml:space="preserve"> due to COVID-19</w:t>
      </w:r>
      <w:r>
        <w:rPr>
          <w:i/>
          <w:iCs/>
        </w:rPr>
        <w:t xml:space="preserve">. </w:t>
      </w:r>
      <w:r>
        <w:t xml:space="preserve">There were no main or interactive effects of any variables on support for anti-China travel policy, in contrast to the interactive effect described above. </w:t>
      </w:r>
    </w:p>
    <w:p w14:paraId="3315125E" w14:textId="77777777" w:rsidR="004532C6" w:rsidRDefault="004532C6" w:rsidP="004532C6">
      <w:pPr>
        <w:spacing w:line="480" w:lineRule="auto"/>
        <w:ind w:firstLine="720"/>
      </w:pPr>
      <w:r>
        <w:t>Together, the patterns of results provide some preliminary evidence that contact might moderate the relation between COVID-19 intensity and support for exclusionary policy that targets Asian people. However, the evidence in support of this proposition should be further interrogated before drawing any strong conclusions. Further</w:t>
      </w:r>
      <w:r w:rsidRPr="001C581F">
        <w:t xml:space="preserve">, </w:t>
      </w:r>
      <w:r>
        <w:t>these results suggest that both actual and perceived intensity of COVID-19 may relate to outgroup prejudice, although which type of intensity best relates to prejudice might vary across different indicators of prejudice.</w:t>
      </w:r>
    </w:p>
    <w:p w14:paraId="4A6E6681" w14:textId="77777777" w:rsidR="004532C6" w:rsidRDefault="004532C6" w:rsidP="004532C6">
      <w:pPr>
        <w:spacing w:line="480" w:lineRule="auto"/>
        <w:rPr>
          <w:b/>
          <w:bCs/>
          <w:i/>
          <w:iCs/>
        </w:rPr>
      </w:pPr>
      <w:r>
        <w:rPr>
          <w:b/>
          <w:bCs/>
          <w:i/>
          <w:iCs/>
        </w:rPr>
        <w:t>Negative affect</w:t>
      </w:r>
      <w:r w:rsidRPr="00C959F6">
        <w:rPr>
          <w:b/>
          <w:bCs/>
          <w:i/>
          <w:iCs/>
        </w:rPr>
        <w:t xml:space="preserve"> </w:t>
      </w:r>
    </w:p>
    <w:p w14:paraId="085F5236" w14:textId="77777777" w:rsidR="004532C6" w:rsidRDefault="004532C6" w:rsidP="004532C6">
      <w:pPr>
        <w:spacing w:line="480" w:lineRule="auto"/>
        <w:ind w:firstLine="720"/>
      </w:pPr>
      <w:r w:rsidRPr="005A6579">
        <w:rPr>
          <w:i/>
          <w:iCs/>
        </w:rPr>
        <w:t>Deaths due to COVID-19</w:t>
      </w:r>
      <w:r>
        <w:rPr>
          <w:i/>
          <w:iCs/>
        </w:rPr>
        <w:t xml:space="preserve">. </w:t>
      </w:r>
      <w:r>
        <w:t xml:space="preserve">Neither perceived COVID-19 intensity nor actual COVID-19 intensity was significantly associated with participants’ reported affect toward Asian people. At the same time, the main effect of contact with Asian people was significant, such that </w:t>
      </w:r>
      <w:r w:rsidRPr="00DA2D3D">
        <w:t xml:space="preserve">participants who reported </w:t>
      </w:r>
      <w:r>
        <w:t>greater</w:t>
      </w:r>
      <w:r w:rsidRPr="00DA2D3D">
        <w:t xml:space="preserve"> contact with Asian people expressed </w:t>
      </w:r>
      <w:r>
        <w:t xml:space="preserve">less negative affect toward Asian people. We found no evidence </w:t>
      </w:r>
      <w:r w:rsidRPr="00DA2D3D">
        <w:t>that contact moderated the relation between perceived or actual</w:t>
      </w:r>
      <w:r>
        <w:t xml:space="preserve"> COVID-19</w:t>
      </w:r>
      <w:r w:rsidRPr="00DA2D3D">
        <w:t xml:space="preserve"> intensity and </w:t>
      </w:r>
      <w:r>
        <w:t>negative affect toward</w:t>
      </w:r>
      <w:r w:rsidRPr="00DA2D3D">
        <w:t xml:space="preserve"> Asian people. </w:t>
      </w:r>
    </w:p>
    <w:p w14:paraId="4BE191F2" w14:textId="77777777" w:rsidR="004532C6" w:rsidRDefault="004532C6" w:rsidP="004532C6">
      <w:pPr>
        <w:spacing w:line="480" w:lineRule="auto"/>
        <w:ind w:firstLine="720"/>
      </w:pPr>
      <w:r>
        <w:t>We found a comparable effect of contact with Black people; participants who reported greater contact with Black people also reported less negative affect toward Black people. We found the inverse relation for exposure to Black people; participants with greater exposure to Black people expressed more negative affect toward Black people. However, there were no main or interactive effects of COVID-19 intensity on negative affect toward Black people.</w:t>
      </w:r>
    </w:p>
    <w:p w14:paraId="27A8D0D3" w14:textId="77777777" w:rsidR="004532C6" w:rsidRDefault="004532C6" w:rsidP="004532C6">
      <w:pPr>
        <w:spacing w:line="480" w:lineRule="auto"/>
        <w:ind w:firstLine="720"/>
      </w:pPr>
      <w:r>
        <w:rPr>
          <w:i/>
          <w:iCs/>
        </w:rPr>
        <w:t>Cases</w:t>
      </w:r>
      <w:r w:rsidRPr="005A6579">
        <w:rPr>
          <w:i/>
          <w:iCs/>
        </w:rPr>
        <w:t xml:space="preserve"> due to COVID-19</w:t>
      </w:r>
      <w:r>
        <w:rPr>
          <w:i/>
          <w:iCs/>
        </w:rPr>
        <w:t xml:space="preserve">. </w:t>
      </w:r>
      <w:r>
        <w:t>We found the same pattern of results when cases due to COVID-19 were included in place of deaths due to COVID-19.</w:t>
      </w:r>
    </w:p>
    <w:p w14:paraId="125FF550" w14:textId="77777777" w:rsidR="004532C6" w:rsidRPr="00522406" w:rsidRDefault="004532C6" w:rsidP="004532C6">
      <w:pPr>
        <w:spacing w:line="480" w:lineRule="auto"/>
        <w:ind w:firstLine="720"/>
        <w:rPr>
          <w:i/>
          <w:iCs/>
        </w:rPr>
      </w:pPr>
      <w:r>
        <w:lastRenderedPageBreak/>
        <w:t>In sum, this pattern of results supports the prediction that COVID-19 intensity would be unrelated to affective measures of prejudice, as this dimension of prejudice might be less likely to correspond with the actual likelihood of exposure to infection or disease. However, we did replicate previous work finding a positive relation between intergroup contact and affect-based indicators of prejudice (e.g., Tropp &amp; Pettigrew, 2005) and some evidence that larger neighborhood proportions may be negatively related to affect toward certain racial outgroups (e.g., Quillian, 1995). This suggests that even during exceptional periods in history that have the potential to exacerbate intergroup threat, such as during a global pandemic, intergroup contact and neighborhood proportions might operate as in more typical times</w:t>
      </w:r>
      <w:r w:rsidRPr="00843C34">
        <w:rPr>
          <w:i/>
          <w:iCs/>
        </w:rPr>
        <w:t>.</w:t>
      </w:r>
      <w:r>
        <w:rPr>
          <w:i/>
          <w:iCs/>
        </w:rPr>
        <w:t xml:space="preserve"> </w:t>
      </w:r>
    </w:p>
    <w:p w14:paraId="0652BC8E" w14:textId="77777777" w:rsidR="004532C6" w:rsidRPr="00670C59" w:rsidRDefault="004532C6" w:rsidP="004532C6">
      <w:pPr>
        <w:spacing w:line="480" w:lineRule="auto"/>
        <w:ind w:firstLine="720"/>
        <w:jc w:val="center"/>
        <w:rPr>
          <w:b/>
          <w:bCs/>
        </w:rPr>
      </w:pPr>
      <w:r w:rsidRPr="00670C59">
        <w:rPr>
          <w:b/>
          <w:bCs/>
        </w:rPr>
        <w:t>Discussion</w:t>
      </w:r>
    </w:p>
    <w:p w14:paraId="2F1859CC" w14:textId="77777777" w:rsidR="004532C6" w:rsidRDefault="004532C6" w:rsidP="004532C6">
      <w:pPr>
        <w:spacing w:line="480" w:lineRule="auto"/>
        <w:ind w:firstLine="720"/>
      </w:pPr>
      <w:r>
        <w:t xml:space="preserve">In the context of the COVID-19 pandemic that has been ravaging the United States, we tested five hypotheses about how this period of disease outbreak might correspond with White Americans’ prejudice toward racial outgroups, specifically toward Asian and Black people, and how contact with the relevant racial outgroup might moderate relations between COVID-19 intensity and prejudice. Our first hypothesis was that we would be more likely to observe relations between COVID-19 intensity and anti-Asian prejudice for prejudice measures that represent the possibility of interaction with Asian people and less likely to observed relations for prejudice measures that represent negative affect toward Asian people. This hypothesis, derived from evolutionary frameworks, was supported by the finding that COVID-19 intensity corresponded with indicators of outgroup prejudice that might serve to reduce the likelihood of infection, but not to indicators of outgroup prejudice that assess affect. We </w:t>
      </w:r>
      <w:r w:rsidRPr="00CB32E7">
        <w:t xml:space="preserve">observed that perceived COVID-19 intensity was associated with a greater desire for social distance from both </w:t>
      </w:r>
      <w:r>
        <w:t>Asian people and Black people; at the same time, we</w:t>
      </w:r>
      <w:r w:rsidRPr="00CB32E7">
        <w:t xml:space="preserve"> </w:t>
      </w:r>
      <w:r>
        <w:t xml:space="preserve">observed no relation between COVID-19 </w:t>
      </w:r>
      <w:r>
        <w:lastRenderedPageBreak/>
        <w:t>intensity (either actual or perceived) and negative affect toward these racial outgroups. This finding adds to a body of work illustrating value of examining different indicators of prejudice, and different targets of prejudice, in theoretically informed ways (see Cottrell &amp; Neuberg, 2005; Lin et al., 2005; Tropp &amp; Pettigrew, 2005). Thinking about prejudice from a functional perspective—such as an (unfortunate) adaptation in response to a particular type of threat—can help researchers make clear and precise predictions about when we might expect prejudice to emerge and what form(s) that prejudice might take. Future work should continue to employ nuanced conceptualizations of prejudice in relation to varied outgroups, to gain purchase on the root causes and functions of prejudice across contexts.</w:t>
      </w:r>
    </w:p>
    <w:p w14:paraId="5439A227" w14:textId="77777777" w:rsidR="004532C6" w:rsidRDefault="004532C6" w:rsidP="004532C6">
      <w:pPr>
        <w:spacing w:line="480" w:lineRule="auto"/>
        <w:ind w:firstLine="720"/>
      </w:pPr>
      <w:r w:rsidRPr="005B4A77">
        <w:t>Our second hypothesis was that</w:t>
      </w:r>
      <w:r>
        <w:t>, in line with prior work (e.g., Schlueter &amp; Scheepers, 2010; Semyonov et al., 2008),</w:t>
      </w:r>
      <w:r w:rsidRPr="005B4A77">
        <w:t xml:space="preserve"> p</w:t>
      </w:r>
      <w:r w:rsidRPr="00083C7D">
        <w:t xml:space="preserve">articipants’ subjective estimates of COVID-19 intensity </w:t>
      </w:r>
      <w:r>
        <w:t>would</w:t>
      </w:r>
      <w:r w:rsidRPr="00083C7D">
        <w:t xml:space="preserve"> be more predictive of </w:t>
      </w:r>
      <w:r>
        <w:t xml:space="preserve">outgroup </w:t>
      </w:r>
      <w:r w:rsidRPr="00083C7D">
        <w:t>prejudice</w:t>
      </w:r>
      <w:r>
        <w:t xml:space="preserve"> than </w:t>
      </w:r>
      <w:r w:rsidRPr="00083C7D">
        <w:t>actual COVID-19 intensity</w:t>
      </w:r>
      <w:r>
        <w:t xml:space="preserve">. This was borne out when examining the relation between perceived intensity and desire for social distance from both Asian people and Black people. However, there was some suggestion that actual COVID-19 intensity might better relate to support for anti-Asian travel policies than perceived COVID-19 intensity. </w:t>
      </w:r>
      <w:r w:rsidRPr="007F0EDF">
        <w:t xml:space="preserve">One </w:t>
      </w:r>
      <w:r>
        <w:t>remaining</w:t>
      </w:r>
      <w:r w:rsidRPr="007F0EDF">
        <w:t xml:space="preserve"> question is whether we would observe a similar pattern of results now, in the context of a pandemic that has not just begun, but that has been raging across the U.S.</w:t>
      </w:r>
      <w:r>
        <w:t>, and globally,</w:t>
      </w:r>
      <w:r w:rsidRPr="007F0EDF">
        <w:t xml:space="preserve"> for </w:t>
      </w:r>
      <w:r>
        <w:t>more than a year.</w:t>
      </w:r>
      <w:r w:rsidRPr="007F0EDF">
        <w:t xml:space="preserve"> </w:t>
      </w:r>
      <w:r>
        <w:t>Actual</w:t>
      </w:r>
      <w:r w:rsidRPr="007F0EDF">
        <w:t xml:space="preserve"> and perceived </w:t>
      </w:r>
      <w:r>
        <w:t>intensity of the</w:t>
      </w:r>
      <w:r w:rsidRPr="007F0EDF">
        <w:t xml:space="preserve"> COVID-19 </w:t>
      </w:r>
      <w:r>
        <w:t xml:space="preserve">pandemic </w:t>
      </w:r>
      <w:r w:rsidRPr="007F0EDF">
        <w:t>were reasonably correlated among our participants</w:t>
      </w:r>
      <w:r>
        <w:t xml:space="preserve"> at the initial stages of disease outbreak</w:t>
      </w:r>
      <w:r w:rsidRPr="007F0EDF">
        <w:t xml:space="preserve"> (</w:t>
      </w:r>
      <w:r>
        <w:t>official reports</w:t>
      </w:r>
      <w:r w:rsidRPr="007F0EDF">
        <w:t xml:space="preserve"> and </w:t>
      </w:r>
      <w:r>
        <w:t xml:space="preserve">participant </w:t>
      </w:r>
      <w:r w:rsidRPr="007F0EDF">
        <w:t>estimat</w:t>
      </w:r>
      <w:r>
        <w:t>ed</w:t>
      </w:r>
      <w:r w:rsidRPr="007F0EDF">
        <w:t xml:space="preserve"> number of deaths: </w:t>
      </w:r>
      <w:r w:rsidRPr="007F0EDF">
        <w:rPr>
          <w:i/>
          <w:iCs/>
        </w:rPr>
        <w:t>r</w:t>
      </w:r>
      <w:r w:rsidRPr="007F0EDF">
        <w:t xml:space="preserve"> = 0.45</w:t>
      </w:r>
      <w:r>
        <w:t>; official reports</w:t>
      </w:r>
      <w:r w:rsidRPr="007F0EDF">
        <w:t xml:space="preserve"> and </w:t>
      </w:r>
      <w:r>
        <w:t xml:space="preserve">participant </w:t>
      </w:r>
      <w:r w:rsidRPr="007F0EDF">
        <w:t>estimat</w:t>
      </w:r>
      <w:r>
        <w:t>ed</w:t>
      </w:r>
      <w:r w:rsidRPr="007F0EDF">
        <w:t xml:space="preserve"> number of cases: </w:t>
      </w:r>
      <w:r w:rsidRPr="007F0EDF">
        <w:rPr>
          <w:i/>
          <w:iCs/>
        </w:rPr>
        <w:t>r</w:t>
      </w:r>
      <w:r w:rsidRPr="007F0EDF">
        <w:t xml:space="preserve"> = </w:t>
      </w:r>
      <w:r>
        <w:t>0</w:t>
      </w:r>
      <w:r w:rsidRPr="007F0EDF">
        <w:t>.54)</w:t>
      </w:r>
      <w:r>
        <w:t xml:space="preserve">; this suggests </w:t>
      </w:r>
      <w:r w:rsidRPr="007F0EDF">
        <w:t>that</w:t>
      </w:r>
      <w:r>
        <w:t>, overall,</w:t>
      </w:r>
      <w:r w:rsidRPr="007F0EDF">
        <w:t xml:space="preserve"> </w:t>
      </w:r>
      <w:r>
        <w:t>White Americans in our sample</w:t>
      </w:r>
      <w:r w:rsidRPr="007F0EDF">
        <w:t xml:space="preserve"> were </w:t>
      </w:r>
      <w:r>
        <w:t>moderately</w:t>
      </w:r>
      <w:r w:rsidRPr="007F0EDF">
        <w:t xml:space="preserve"> </w:t>
      </w:r>
      <w:r>
        <w:t>accurate when</w:t>
      </w:r>
      <w:r w:rsidRPr="007F0EDF">
        <w:t xml:space="preserve"> estimating the actual </w:t>
      </w:r>
      <w:r>
        <w:t>intensity of the COVID-19 outbreak during</w:t>
      </w:r>
      <w:r w:rsidRPr="007F0EDF">
        <w:t xml:space="preserve"> the early days of the pandemic. </w:t>
      </w:r>
      <w:r>
        <w:t xml:space="preserve">However, participants in our sample also varied wildly in their </w:t>
      </w:r>
      <w:r>
        <w:lastRenderedPageBreak/>
        <w:t xml:space="preserve">estimates of COVID-19 intensity, as evidenced by the large standard deviations in participant estimates of cases and deaths due to COVID-19 (see Table 1). This huge variation perhaps reflects a general uncertainty about the actual severity of COVID-19 and might explain why we do not consistently observe a relation between participants’ perceptions of COVID-19 intensity and prejudice. It is possible that </w:t>
      </w:r>
      <w:r w:rsidRPr="007F0EDF">
        <w:t>people would provide more accurate estimates of the number of COVID-19 cases now</w:t>
      </w:r>
      <w:r>
        <w:t>, since</w:t>
      </w:r>
      <w:r w:rsidRPr="007F0EDF">
        <w:t xml:space="preserve"> diagnostic testing has </w:t>
      </w:r>
      <w:r>
        <w:t>become more widespread</w:t>
      </w:r>
      <w:r w:rsidRPr="007F0EDF">
        <w:t xml:space="preserve"> in the United States (Tromberg et al., 2020) and information about COVID-19 is more readily available than during the early days of the pandemic</w:t>
      </w:r>
      <w:r>
        <w:t xml:space="preserve"> (see, e.g., Gordon et al., 2020; New York Times, 2020a</w:t>
      </w:r>
      <w:r w:rsidRPr="007F0EDF">
        <w:t xml:space="preserve">). Examining whether </w:t>
      </w:r>
      <w:r>
        <w:t>estimates of actual</w:t>
      </w:r>
      <w:r w:rsidRPr="007F0EDF">
        <w:t xml:space="preserve"> and perceived </w:t>
      </w:r>
      <w:r>
        <w:t>COVID-19 intensity</w:t>
      </w:r>
      <w:r w:rsidRPr="007F0EDF">
        <w:t xml:space="preserve"> have become more highly correlated</w:t>
      </w:r>
      <w:r>
        <w:t xml:space="preserve"> over the course of the pandemic</w:t>
      </w:r>
      <w:r w:rsidRPr="007F0EDF">
        <w:t xml:space="preserve">, and </w:t>
      </w:r>
      <w:r>
        <w:t>whether they have begun to converge in predicting</w:t>
      </w:r>
      <w:r w:rsidRPr="007F0EDF">
        <w:t xml:space="preserve"> prejudice, </w:t>
      </w:r>
      <w:r>
        <w:t xml:space="preserve">would be a worthwhile direction for </w:t>
      </w:r>
      <w:r w:rsidRPr="007F0EDF">
        <w:t xml:space="preserve">future </w:t>
      </w:r>
      <w:r>
        <w:t>research</w:t>
      </w:r>
      <w:r w:rsidRPr="007F0EDF">
        <w:t>.</w:t>
      </w:r>
    </w:p>
    <w:p w14:paraId="420E911A" w14:textId="77777777" w:rsidR="004532C6" w:rsidRDefault="004532C6" w:rsidP="004532C6">
      <w:pPr>
        <w:spacing w:line="480" w:lineRule="auto"/>
        <w:ind w:firstLine="720"/>
      </w:pPr>
      <w:r>
        <w:t xml:space="preserve">Our third hypothesis was that </w:t>
      </w:r>
      <w:r>
        <w:rPr>
          <w:iCs/>
        </w:rPr>
        <w:t xml:space="preserve">COVID-19 intensity would be more strongly linked to prejudice against Asian people than to prejudice against Black people. </w:t>
      </w:r>
      <w:r>
        <w:t>Overall, we observed</w:t>
      </w:r>
      <w:r w:rsidRPr="00AB0515">
        <w:t xml:space="preserve"> that </w:t>
      </w:r>
      <w:r>
        <w:t>the perceived intensity</w:t>
      </w:r>
      <w:r w:rsidRPr="00AB0515">
        <w:t xml:space="preserve"> </w:t>
      </w:r>
      <w:r>
        <w:t>of</w:t>
      </w:r>
      <w:r w:rsidRPr="00AB0515">
        <w:t xml:space="preserve"> the COVID-19 </w:t>
      </w:r>
      <w:r>
        <w:t>outbreak</w:t>
      </w:r>
      <w:r w:rsidRPr="00AB0515">
        <w:t xml:space="preserve"> </w:t>
      </w:r>
      <w:r>
        <w:t xml:space="preserve">tended to be associated with a greater desire to maintain social distance from both </w:t>
      </w:r>
      <w:r w:rsidRPr="00AB0515">
        <w:t xml:space="preserve">Asian </w:t>
      </w:r>
      <w:r>
        <w:t xml:space="preserve">and Black </w:t>
      </w:r>
      <w:r w:rsidRPr="00AB0515">
        <w:t>people</w:t>
      </w:r>
      <w:r>
        <w:t>. The relation between perceived intensity of COVID-19 and anti-Asian prejudice can be explained by appealing both to current cultural narratives—including attempts to tie</w:t>
      </w:r>
      <w:r w:rsidRPr="00AB0515">
        <w:t xml:space="preserve"> the pandemic </w:t>
      </w:r>
      <w:r>
        <w:t xml:space="preserve">to Asian people via </w:t>
      </w:r>
      <w:r w:rsidRPr="00AB0515">
        <w:t>geographic origins of COVID-19</w:t>
      </w:r>
      <w:r>
        <w:t xml:space="preserve"> (</w:t>
      </w:r>
      <w:r w:rsidRPr="00AB0515">
        <w:t>Wu et al., 2020</w:t>
      </w:r>
      <w:r>
        <w:t>) and</w:t>
      </w:r>
      <w:r w:rsidRPr="00AB0515">
        <w:t xml:space="preserve"> </w:t>
      </w:r>
      <w:r>
        <w:t>racist, anti-Asian language used to describe the pandemic (</w:t>
      </w:r>
      <w:r w:rsidRPr="00AB0515">
        <w:t>Zhou, 2020</w:t>
      </w:r>
      <w:r>
        <w:t xml:space="preserve">)—as well as theoretical frameworks focused on evolutionary responses to disease outbreak (e.g., </w:t>
      </w:r>
      <w:r w:rsidRPr="00AB0515">
        <w:t>Schaller &amp; Neuberg, 2012; Schaller &amp; Park, 2011</w:t>
      </w:r>
      <w:r>
        <w:t xml:space="preserve">). However, in contrast to the possibility that this period of disease outbreak would be associated specifically with anti-Asian prejudice, we found similar relations between COVID-19 intensity and anti-Black prejudice. This suggests that periods of disease outbreak might compel White Americans to </w:t>
      </w:r>
      <w:r>
        <w:lastRenderedPageBreak/>
        <w:t xml:space="preserve">distance themselves from any racial outgroup, and not only the racial outgroup most closely tied to the disease in public discourse, or via stereotypes about “foreignness”. Increases in acts of anti-Black racism have been less well publicized in relation to the COVID-19 pandemic than increases in acts of anti-Asian racism; nonetheless, over the past year, both Black and Asian people reported experiences with racism and fears of physical attack at similar rates, and at rates substantially higher than their White or Hispanic peers (Ruiz et al., 2020). Moreover, as described in more detail in the SOM, we found no evidence that a desire for social distance from White people was related to perceived or actual COVID-19 intensity among our White American participants. This suggests that the intensity of disease outbreak is related specifically to prejudice toward racial outgroups, and not related to attitudes toward the racial ingroup. </w:t>
      </w:r>
    </w:p>
    <w:p w14:paraId="43E1719B" w14:textId="77777777" w:rsidR="004532C6" w:rsidRDefault="004532C6" w:rsidP="004532C6">
      <w:pPr>
        <w:spacing w:line="480" w:lineRule="auto"/>
        <w:ind w:firstLine="720"/>
      </w:pPr>
      <w:r w:rsidRPr="005B4A77">
        <w:t xml:space="preserve">Our fourth hypothesis was that </w:t>
      </w:r>
      <w:r>
        <w:t xml:space="preserve">White Americans’ </w:t>
      </w:r>
      <w:r w:rsidRPr="005B4A77">
        <w:t>g</w:t>
      </w:r>
      <w:r w:rsidRPr="003543E0">
        <w:t>r</w:t>
      </w:r>
      <w:r>
        <w:t xml:space="preserve">eater contact with Asian people would correspond with less anti-Asian prejudice even in the context of disease outbreak. In this way, our research speaks to and extends the literature on intergroup contact, by testing whether contact with specific members of racial outgroups generalizes into lower prejudice toward those racial outgroups overall, in a manner that persists even during a period of disease outbreak. Replicating earlier work (see, e.g., Tropp &amp; Pettigrew, 2005), we found that greater contact was associated with less negative affect, and this pattern was consistent when examining links between contact and affect either in relation to Asian people or in relation to Black people.  We also found some evidence that greater contact was associated with less desire for social distance (though, in relation to Asian people, this association was a non-significant trend). We suspect these trends emerged because participants’ reported contact experiences with Asian or Black friends and acquaintances reflect pre-existing cross-group relationships that developed over time (see Pettigrew, 1998), and well before the onset of the COVID-19 pandemic. Cross-group </w:t>
      </w:r>
      <w:r>
        <w:lastRenderedPageBreak/>
        <w:t xml:space="preserve">relationships that grow from repeated interactions over time typically correspond with lower levels of intergroup prejudice (see Pettigrew &amp; Tropp, 2006; 2011). </w:t>
      </w:r>
    </w:p>
    <w:p w14:paraId="3AD01503" w14:textId="77777777" w:rsidR="004532C6" w:rsidRDefault="004532C6" w:rsidP="004532C6">
      <w:pPr>
        <w:spacing w:line="480" w:lineRule="auto"/>
        <w:ind w:firstLine="720"/>
      </w:pPr>
      <w:r>
        <w:t xml:space="preserve">At the same time, in line with work suggesting that larger neighborhood proportions of racial outgroups can sometimes be threatening and have detrimental effects on White people’s intergroup attitudes (e.g., Knowles &amp; Tropp, 2018; Quillian, 1995), we found that larger neighborhood proportions of Black people </w:t>
      </w:r>
      <w:proofErr w:type="gramStart"/>
      <w:r>
        <w:t>was</w:t>
      </w:r>
      <w:proofErr w:type="gramEnd"/>
      <w:r>
        <w:t xml:space="preserve"> associated with more negative affect toward Black people. However, we did not observe this relation when examining associations between neighborhood proportions of Asian people and affect toward Asian people. We suspect that these divergent trends correspond with differences in prevailing stereotypes of Black communities and Asian communities in the U.S., such that larger neighborhood proportions of Black residents tend to be associated with negative attitudes and perceptions of threat (Dixon, 2006) and crime among White Americans (Taylor, 1998; Quillian &amp; Pager, 2011), whereas such negative attitudes tend not to be associated with larger neighborhood proportions of Asian residents (see Dixon, 2006; Oliver, 2010; Taylor, 1998).</w:t>
      </w:r>
    </w:p>
    <w:p w14:paraId="5BC2D56D" w14:textId="77777777" w:rsidR="004532C6" w:rsidRDefault="004532C6" w:rsidP="004532C6">
      <w:pPr>
        <w:spacing w:line="480" w:lineRule="auto"/>
        <w:ind w:firstLine="720"/>
      </w:pPr>
      <w:r>
        <w:t>Finally, our fifth hypothesis was that contact with Asian people would moderate relations between COVID-19 intensity and anti-Asian prejudice among White Americans.</w:t>
      </w:r>
      <w:r w:rsidRPr="005B4A77">
        <w:t xml:space="preserve"> </w:t>
      </w:r>
      <w:r>
        <w:t xml:space="preserve">We found limited evidence for such moderation. </w:t>
      </w:r>
      <w:r w:rsidRPr="009A6E91">
        <w:t xml:space="preserve">It is worth noting that </w:t>
      </w:r>
      <w:r>
        <w:t>our sample</w:t>
      </w:r>
      <w:r w:rsidRPr="009A6E91">
        <w:t xml:space="preserve"> w</w:t>
      </w:r>
      <w:r>
        <w:t>as</w:t>
      </w:r>
      <w:r w:rsidRPr="009A6E91">
        <w:t xml:space="preserve"> slightly underpowered to detect an interaction </w:t>
      </w:r>
      <w:r>
        <w:t>between COVID-19</w:t>
      </w:r>
      <w:r w:rsidRPr="009A6E91">
        <w:t xml:space="preserve"> intensity and contact</w:t>
      </w:r>
      <w:r w:rsidRPr="00EC3DAD">
        <w:t>.</w:t>
      </w:r>
      <w:r>
        <w:t xml:space="preserve"> However, there was some suggestion that contact moderated the relation between actual COVID-19 intensity and support for anti-Asian travel policy: As the actual intensity of COVID-19 increased (assessed by official reports of COVID-19 related deaths), White Americans who reported greater levels of contact with Asian people reported being significantly less likely to support anti-Asian travel policies. Although we wish to be cautious in our interpretation of this moderation effect of </w:t>
      </w:r>
      <w:r>
        <w:lastRenderedPageBreak/>
        <w:t xml:space="preserve">contact, it is worth noting that the moderation we observed was in some ways a variation on what we originally predicted. We expected to observe a </w:t>
      </w:r>
      <w:r w:rsidRPr="007E2EB4">
        <w:rPr>
          <w:i/>
          <w:iCs/>
        </w:rPr>
        <w:t>positive</w:t>
      </w:r>
      <w:r>
        <w:t xml:space="preserve"> relation between COVID-19 intensity and support for anti-Asian travel policies among participants who reported </w:t>
      </w:r>
      <w:r w:rsidRPr="007E2EB4">
        <w:rPr>
          <w:i/>
          <w:iCs/>
        </w:rPr>
        <w:t>less</w:t>
      </w:r>
      <w:r>
        <w:t xml:space="preserve"> contact with Asian people—that as COVID-19 intensity increased, so too would support for exclusionary policy. Given the strong endorsement for anti-Asian travel policy overall (</w:t>
      </w:r>
      <w:r w:rsidRPr="00075258">
        <w:rPr>
          <w:i/>
        </w:rPr>
        <w:t>M</w:t>
      </w:r>
      <w:r>
        <w:t xml:space="preserve"> = 6.09 out of 7; see </w:t>
      </w:r>
      <w:r w:rsidRPr="00260527">
        <w:t>Table 1</w:t>
      </w:r>
      <w:r>
        <w:t xml:space="preserve">), it would have been difficult for us to observe a significant relation between COVID-19 intensity and higher endorsement. Instead, we observed a </w:t>
      </w:r>
      <w:r w:rsidRPr="007E2EB4">
        <w:rPr>
          <w:i/>
          <w:iCs/>
        </w:rPr>
        <w:t>negative</w:t>
      </w:r>
      <w:r>
        <w:t xml:space="preserve"> relation between COVID-19 intensity and support for anti-Asian travel policies among participants who reported </w:t>
      </w:r>
      <w:r w:rsidRPr="007E2EB4">
        <w:rPr>
          <w:i/>
          <w:iCs/>
        </w:rPr>
        <w:t>more</w:t>
      </w:r>
      <w:r>
        <w:t xml:space="preserve"> contact with Asian people—that is, as COVID-19 intensity increased, support for exclusionary policy went down among participants with greater intergroup contact. While speculative, it is possible that greater contact with Asian people may have highlighted the unfair nature of anti-Asian exclusionary policies. When such anti-Asian travel policies were put into place, COVID-19 outbreaks in China were coming under control while outbreaks in European countries were prevalent and rapidly growing: Bollyky &amp; Nuzzo, 2020). As outbreaks of COVID-19 have unfortunately taken hold across a wide variety of countries that vary in their racial demographics, future work can explore whether prior intergroup contact might buffer people from their worst impulses and help them to evaluate exclusionary policies based on fact rather than fear of infection. </w:t>
      </w:r>
    </w:p>
    <w:p w14:paraId="5C829F6C" w14:textId="77777777" w:rsidR="004532C6" w:rsidRPr="00075258" w:rsidRDefault="004532C6" w:rsidP="004532C6">
      <w:pPr>
        <w:spacing w:line="480" w:lineRule="auto"/>
        <w:ind w:firstLine="720"/>
        <w:rPr>
          <w:strike/>
        </w:rPr>
      </w:pPr>
      <w:r>
        <w:t xml:space="preserve">Another curious finding was the lack of a significant main effect of intergroup contact on support for anti-Asian travel policy. This finding is somewhat unexpected given recent work from the U.K. showing that prior positive intergroup contact with Chinese people was associated with less support for anti-Chinese discriminatory policies among White British citizens during the COVID-19 pandemic (Alston et al., 2020). One possible reason for the difference in results </w:t>
      </w:r>
      <w:r>
        <w:lastRenderedPageBreak/>
        <w:t xml:space="preserve">concerns the </w:t>
      </w:r>
      <w:proofErr w:type="gramStart"/>
      <w:r>
        <w:t>particular measures</w:t>
      </w:r>
      <w:proofErr w:type="gramEnd"/>
      <w:r>
        <w:t xml:space="preserve"> used to assess support for discriminatory policies. In the U.K. context, a composite measure was used to assess support for a range of </w:t>
      </w:r>
      <w:r w:rsidRPr="00B43F33">
        <w:rPr>
          <w:i/>
          <w:iCs/>
        </w:rPr>
        <w:t>hypothetical</w:t>
      </w:r>
      <w:r>
        <w:t xml:space="preserve"> discriminatory measures (e.g., “Enforce a quarantine of all Chinese nationals in the UK,” and “Close all Chinese restaurants”), whereas the present study used a single-item measure to assess support for an </w:t>
      </w:r>
      <w:r w:rsidRPr="00B43F33">
        <w:rPr>
          <w:i/>
          <w:iCs/>
        </w:rPr>
        <w:t>official</w:t>
      </w:r>
      <w:r>
        <w:t xml:space="preserve"> U.S. policy that had already been enacted. As noted above, it is also worth mentioning that, in the present study, support for a China-specific travel ban was already quite high among our White American participants at this point in the pandemic</w:t>
      </w:r>
      <w:r w:rsidRPr="00260527">
        <w:t xml:space="preserve">; </w:t>
      </w:r>
      <w:r>
        <w:t>the restricted range in scores may have further</w:t>
      </w:r>
      <w:r w:rsidRPr="00260527">
        <w:t xml:space="preserve"> limit</w:t>
      </w:r>
      <w:r>
        <w:t>ed</w:t>
      </w:r>
      <w:r w:rsidRPr="00260527">
        <w:t xml:space="preserve"> our ability to </w:t>
      </w:r>
      <w:r>
        <w:t>observe links between</w:t>
      </w:r>
      <w:r w:rsidRPr="00260527">
        <w:t xml:space="preserve"> variation in COVID-19 intensity</w:t>
      </w:r>
      <w:r>
        <w:t xml:space="preserve"> and</w:t>
      </w:r>
      <w:r w:rsidRPr="00260527">
        <w:t xml:space="preserve"> variation in support for exclusionary </w:t>
      </w:r>
      <w:r>
        <w:t xml:space="preserve">travel </w:t>
      </w:r>
      <w:r w:rsidRPr="00260527">
        <w:t xml:space="preserve">policies. </w:t>
      </w:r>
    </w:p>
    <w:p w14:paraId="1A2AD07F" w14:textId="77777777" w:rsidR="004532C6" w:rsidRPr="002B7FA0" w:rsidRDefault="004532C6" w:rsidP="004532C6">
      <w:pPr>
        <w:spacing w:line="480" w:lineRule="auto"/>
        <w:ind w:firstLine="720"/>
      </w:pPr>
      <w:r w:rsidRPr="00671765">
        <w:rPr>
          <w:b/>
          <w:bCs/>
        </w:rPr>
        <w:t>Limitations and Future Directions.</w:t>
      </w:r>
      <w:r>
        <w:t xml:space="preserve"> There are, of course, </w:t>
      </w:r>
      <w:proofErr w:type="gramStart"/>
      <w:r>
        <w:t>a number of</w:t>
      </w:r>
      <w:proofErr w:type="gramEnd"/>
      <w:r>
        <w:t xml:space="preserve"> factors that may limit the generalizability of our results and the conclusions that can be drawn from the present research. </w:t>
      </w:r>
      <w:proofErr w:type="gramStart"/>
      <w:r>
        <w:t>In particular, we</w:t>
      </w:r>
      <w:proofErr w:type="gramEnd"/>
      <w:r>
        <w:t xml:space="preserve"> note that our data are limited to responses from White, U.S. citizens during a particular moment in the history of the COVID-19 pandemic. Many aspects of life in the United States have changed since the early days of the COVID-19 </w:t>
      </w:r>
      <w:proofErr w:type="gramStart"/>
      <w:r>
        <w:t>outbreak, when</w:t>
      </w:r>
      <w:proofErr w:type="gramEnd"/>
      <w:r>
        <w:t xml:space="preserve"> our data were collected—perhaps mostly notably the intensity of the COVID-19 pandemic itself. At the time of data collection, approximately 23,000 Americans were reported to have died of COVID-19, with most of those deaths occurring within a few large cities (e.g., New York City, Los Angeles: see Kates et al., 2020). At the time of writing (August 2021), more than 617,000 Americans have died of COVID-19, with those deaths occurring across all 50 states, including in urban, suburban, and rural areas (New York Times, 2020a). We are inclined to believe that the research questions examined here would be as applicable now as they were </w:t>
      </w:r>
      <w:proofErr w:type="gramStart"/>
      <w:r>
        <w:t>early on in the</w:t>
      </w:r>
      <w:proofErr w:type="gramEnd"/>
      <w:r>
        <w:t xml:space="preserve"> pandemic; but future research should explore whether relations between intensity of disease outbreak and prejudice shift or remain consistent across the lifespan of pandemics, especially as </w:t>
      </w:r>
      <w:r>
        <w:lastRenderedPageBreak/>
        <w:t xml:space="preserve">people’s exposure and proximity to disease changes. Additionally, given that we sampled a new group of participants every three days, the present research did not allow us to examine changes in contact and prejudice within participants over time. Recent work exploring the temporal nature of intergroup contact, threat, and prejudice has theorized that during heightened periods of threat, contact between groups might decrease and thus prejudice may subsequently increase (Abrams &amp; Eller, 2016). Likewise, it is possible that efforts to promote social distancing and stay-at-home recommendations during the COVID-19 pandemic could have reduced or changed the quality and nature of intergroup contact. </w:t>
      </w:r>
    </w:p>
    <w:p w14:paraId="778D5EF1" w14:textId="77777777" w:rsidR="004532C6" w:rsidRDefault="004532C6" w:rsidP="004532C6">
      <w:pPr>
        <w:spacing w:line="480" w:lineRule="auto"/>
        <w:ind w:firstLine="720"/>
      </w:pPr>
      <w:r>
        <w:t xml:space="preserve">Additionally, the present research is limited by its inability to speak directly to the roles of perceived threat or perceived foreignness of outgroup members. Although previous work has clearly established that White Americans tend to perceive Asian people as foreign, and as more foreign than Black people (Devos &amp; Banaji, 2005; Kim, 1999; Zou &amp; Cheryan, 2017), we did not assess individual participants’ perceptions of Asian or Black foreignness in this study. </w:t>
      </w:r>
      <w:r w:rsidRPr="002B7FA0">
        <w:t>It would be useful to examine what happens when public discourse linking a disease threat to a particular group comes into conflict with one’s own perceptions or stereotypes about who is “foreign</w:t>
      </w:r>
      <w:r>
        <w:t>.</w:t>
      </w:r>
      <w:r w:rsidRPr="002B7FA0">
        <w:t>”</w:t>
      </w:r>
      <w:r>
        <w:t xml:space="preserve"> </w:t>
      </w:r>
      <w:r w:rsidRPr="002B7FA0">
        <w:t xml:space="preserve">Understanding the relative contribution of both stereotypes and evolved heuristics to relations between </w:t>
      </w:r>
      <w:r>
        <w:t xml:space="preserve">disease </w:t>
      </w:r>
      <w:r w:rsidRPr="002B7FA0">
        <w:t xml:space="preserve">outbreaks and prejudice is important for determining what types of interventions might most effectively reduce the extent to which disease foments prejudice. </w:t>
      </w:r>
    </w:p>
    <w:p w14:paraId="05803658" w14:textId="77777777" w:rsidR="004532C6" w:rsidRDefault="004532C6" w:rsidP="004532C6">
      <w:pPr>
        <w:spacing w:line="480" w:lineRule="auto"/>
        <w:ind w:firstLine="720"/>
      </w:pPr>
      <w:r>
        <w:t xml:space="preserve">Moreover, while it is plausible that people who estimated greater numbers of COVID-19 deaths or cases </w:t>
      </w:r>
      <w:r w:rsidRPr="006B4794">
        <w:rPr>
          <w:iCs/>
        </w:rPr>
        <w:t>also</w:t>
      </w:r>
      <w:r>
        <w:rPr>
          <w:i/>
          <w:iCs/>
        </w:rPr>
        <w:t xml:space="preserve"> </w:t>
      </w:r>
      <w:r>
        <w:t xml:space="preserve">perceived COVID-19 to pose a greater threat, we did not directly assess the extent to which participants perceived the COVID-19 pandemic as threatening. Emerging work suggests that people’s perceptions of COVID-19 as threatening may be shaped by status characteristics such as age, gender, and race, as well as by factors that make chances of health </w:t>
      </w:r>
      <w:r>
        <w:lastRenderedPageBreak/>
        <w:t>complications associated with COVID-19 more likely (Ni</w:t>
      </w:r>
      <w:r w:rsidRPr="004C2763">
        <w:t>ñ</w:t>
      </w:r>
      <w:r>
        <w:t xml:space="preserve">o et al., 2021). Choosing to study COVID-19 intensity, rather than participant’s feelings of risk or threat from COVID-19, might also partially explain why we did not find stronger relations between our measures of COVID-19 intensity and prejudice. However, while we recommend that future studies include more direct indicators of perceived threat, we nevertheless find it compelling that we observed links between COVID-19 intensity and indicators of prejudice most closely tied to cross-group interaction and potential risk of infection (e.g., social distance, exclusionary travel policy), and not with respect to other prejudice indicators (e.g., negative affect). It is also noteworthy that we found similar patterns of results whether perceived intensity of COVID-19 was assessed via estimated cases or deaths. That we were able to replicate our results across both predictors suggests that we captured a meaningful underlying relation between disease threat and certain indicators of prejudice toward racial outgroups. </w:t>
      </w:r>
    </w:p>
    <w:p w14:paraId="22B18BF0" w14:textId="77777777" w:rsidR="004532C6" w:rsidRDefault="004532C6" w:rsidP="004532C6">
      <w:pPr>
        <w:spacing w:line="480" w:lineRule="auto"/>
        <w:ind w:firstLine="720"/>
      </w:pPr>
      <w:r w:rsidRPr="00AB0515">
        <w:t xml:space="preserve">Although there is much </w:t>
      </w:r>
      <w:r>
        <w:t>more to be learned</w:t>
      </w:r>
      <w:r w:rsidRPr="00AB0515">
        <w:t xml:space="preserve">, </w:t>
      </w:r>
      <w:r>
        <w:t xml:space="preserve">this study of White Americans has shown </w:t>
      </w:r>
      <w:r w:rsidRPr="00AB0515">
        <w:t xml:space="preserve">that </w:t>
      </w:r>
      <w:r>
        <w:t xml:space="preserve">specific types of anti-Asian and anti-Black prejudice—and particularly those associated with minimizing the prospect of cross-group interaction—are related to disease intensity. </w:t>
      </w:r>
      <w:r w:rsidRPr="00AB0515">
        <w:t xml:space="preserve">By examining relations between prejudice, </w:t>
      </w:r>
      <w:r>
        <w:t>disease intensity</w:t>
      </w:r>
      <w:r w:rsidRPr="00AB0515">
        <w:t xml:space="preserve">, and </w:t>
      </w:r>
      <w:r>
        <w:t xml:space="preserve">intergroup </w:t>
      </w:r>
      <w:r w:rsidRPr="00AB0515">
        <w:t xml:space="preserve">contact during an unprecedented period of disease outbreak, this research usefully extends and integrates prior work </w:t>
      </w:r>
      <w:r>
        <w:t>from both evolutionary and social psychological frameworks. These findings have</w:t>
      </w:r>
      <w:r w:rsidRPr="00AB0515">
        <w:t xml:space="preserve"> applied </w:t>
      </w:r>
      <w:r>
        <w:t>value, as</w:t>
      </w:r>
      <w:r w:rsidRPr="00AB0515">
        <w:t xml:space="preserve"> intergroup relations are most likely to deteriorate during periods of </w:t>
      </w:r>
      <w:r>
        <w:t>threat</w:t>
      </w:r>
      <w:r w:rsidRPr="00AB0515">
        <w:t xml:space="preserve"> and uncertainty (</w:t>
      </w:r>
      <w:r>
        <w:t>Fritsche et al., 2011; Stephan et al., 2009</w:t>
      </w:r>
      <w:r w:rsidRPr="00AB0515">
        <w:t>), including periods of disease outbreak (see Schaller &amp; Neuberg, 2012; Schaller &amp; Park, 2011)</w:t>
      </w:r>
      <w:r>
        <w:t xml:space="preserve">. As </w:t>
      </w:r>
      <w:r w:rsidRPr="009057BA">
        <w:t xml:space="preserve">intense outbreaks continue across the globe and the emergence of new COVID-19 variants pose a </w:t>
      </w:r>
      <w:r>
        <w:t>continual</w:t>
      </w:r>
      <w:r w:rsidRPr="009057BA">
        <w:t xml:space="preserve"> threat (</w:t>
      </w:r>
      <w:r>
        <w:t>Stein, 2021),</w:t>
      </w:r>
      <w:r w:rsidRPr="009057BA">
        <w:t xml:space="preserve"> </w:t>
      </w:r>
      <w:r w:rsidRPr="009057BA">
        <w:lastRenderedPageBreak/>
        <w:t xml:space="preserve">understanding how prejudice relates to the intensity of the COVID-19 outbreak, and especially people’s </w:t>
      </w:r>
      <w:r w:rsidRPr="009057BA">
        <w:rPr>
          <w:i/>
          <w:iCs/>
        </w:rPr>
        <w:t>estimates</w:t>
      </w:r>
      <w:r w:rsidRPr="009057BA">
        <w:t xml:space="preserve"> of the intensity of </w:t>
      </w:r>
      <w:r>
        <w:t>disease</w:t>
      </w:r>
      <w:r w:rsidRPr="009057BA">
        <w:t xml:space="preserve"> outbreak, remains quite relevant.</w:t>
      </w:r>
    </w:p>
    <w:p w14:paraId="2FE86201" w14:textId="77777777" w:rsidR="004532C6" w:rsidRDefault="004532C6" w:rsidP="004532C6">
      <w:pPr>
        <w:spacing w:line="480" w:lineRule="auto"/>
        <w:rPr>
          <w:b/>
          <w:bCs/>
        </w:rPr>
      </w:pPr>
      <w:r>
        <w:t>These findings also have theoretical value, in that</w:t>
      </w:r>
      <w:r w:rsidRPr="00474777">
        <w:t xml:space="preserve"> studying relations between intergroup contact and prejudice during periods of disease outbreak can complement research conducted during periods of societal well-being</w:t>
      </w:r>
      <w:r>
        <w:t xml:space="preserve"> and</w:t>
      </w:r>
      <w:r w:rsidRPr="00474777">
        <w:t xml:space="preserve"> illuminate</w:t>
      </w:r>
      <w:r>
        <w:t xml:space="preserve"> both</w:t>
      </w:r>
      <w:r w:rsidRPr="00474777">
        <w:t xml:space="preserve"> the processes by which</w:t>
      </w:r>
      <w:r>
        <w:t>,</w:t>
      </w:r>
      <w:r w:rsidRPr="00474777">
        <w:t xml:space="preserve"> </w:t>
      </w:r>
      <w:r>
        <w:t>and the</w:t>
      </w:r>
      <w:r w:rsidRPr="00474777">
        <w:t xml:space="preserve"> boundary conditions </w:t>
      </w:r>
      <w:r>
        <w:t>under which,</w:t>
      </w:r>
      <w:r w:rsidRPr="00474777">
        <w:t xml:space="preserve"> contact </w:t>
      </w:r>
      <w:r>
        <w:t xml:space="preserve">may yield salutary </w:t>
      </w:r>
      <w:r w:rsidRPr="00474777">
        <w:t>effects (e.g., Rosenfeld et al., 2020).</w:t>
      </w:r>
      <w:r>
        <w:t xml:space="preserve"> Like other forces driving societal instability </w:t>
      </w:r>
      <w:r w:rsidRPr="00474777">
        <w:t>(e.g., Doherty &amp; Clayton, 2011; Tir &amp; Diehl, 1998)</w:t>
      </w:r>
      <w:r>
        <w:t>, global pandemics</w:t>
      </w:r>
      <w:r w:rsidRPr="00AB0515">
        <w:t xml:space="preserve"> are likely to become more frequent in the future</w:t>
      </w:r>
      <w:r>
        <w:t xml:space="preserve"> (Jones et al., 2008)</w:t>
      </w:r>
      <w:r w:rsidRPr="00AB0515">
        <w:t xml:space="preserve"> </w:t>
      </w:r>
      <w:r>
        <w:t>making clear the urgency of understanding how and when disease outbreaks may contribute to intergroup prejudice.</w:t>
      </w:r>
      <w:r w:rsidRPr="00AB0515">
        <w:t xml:space="preserve"> </w:t>
      </w:r>
      <w:r>
        <w:t>Moreover, the present results reinforce</w:t>
      </w:r>
      <w:r w:rsidRPr="00AB0515">
        <w:t xml:space="preserve"> the </w:t>
      </w:r>
      <w:r>
        <w:t>potential for</w:t>
      </w:r>
      <w:r w:rsidRPr="00AB0515">
        <w:t xml:space="preserve"> intergroup contact</w:t>
      </w:r>
      <w:r>
        <w:t xml:space="preserve"> to lessen prejudice</w:t>
      </w:r>
      <w:r w:rsidRPr="00AB0515">
        <w:t xml:space="preserve">, suggesting that programs, policies, and personal actions that </w:t>
      </w:r>
      <w:r>
        <w:t>encourage</w:t>
      </w:r>
      <w:r w:rsidRPr="00AB0515">
        <w:t xml:space="preserve"> contact </w:t>
      </w:r>
      <w:r>
        <w:t xml:space="preserve">between groups </w:t>
      </w:r>
      <w:r w:rsidRPr="00AB0515">
        <w:t>are likely to have sustained benefits</w:t>
      </w:r>
      <w:r>
        <w:t xml:space="preserve"> for intergroup relations</w:t>
      </w:r>
      <w:r w:rsidRPr="00AB0515">
        <w:t xml:space="preserve">, even during our most trying times.  </w:t>
      </w:r>
    </w:p>
    <w:p w14:paraId="265508D1" w14:textId="77777777" w:rsidR="004532C6" w:rsidRDefault="004532C6">
      <w:pPr>
        <w:rPr>
          <w:b/>
          <w:bCs/>
        </w:rPr>
      </w:pPr>
      <w:r>
        <w:rPr>
          <w:b/>
          <w:bCs/>
        </w:rPr>
        <w:br w:type="page"/>
      </w:r>
    </w:p>
    <w:p w14:paraId="73CF08CC" w14:textId="01048AFF" w:rsidR="005958BC" w:rsidRPr="00DA2E87" w:rsidRDefault="005958BC" w:rsidP="004532C6">
      <w:pPr>
        <w:spacing w:line="480" w:lineRule="auto"/>
        <w:jc w:val="center"/>
        <w:rPr>
          <w:b/>
          <w:bCs/>
        </w:rPr>
      </w:pPr>
      <w:r w:rsidRPr="00AB0515">
        <w:rPr>
          <w:b/>
          <w:bCs/>
        </w:rPr>
        <w:lastRenderedPageBreak/>
        <w:t>References</w:t>
      </w:r>
    </w:p>
    <w:p w14:paraId="68916BB3" w14:textId="77777777" w:rsidR="005958BC" w:rsidRPr="00A526D4" w:rsidRDefault="005958BC" w:rsidP="005958BC">
      <w:pPr>
        <w:pStyle w:val="NormalWeb"/>
        <w:spacing w:line="480" w:lineRule="auto"/>
        <w:ind w:left="540" w:hanging="540"/>
      </w:pPr>
      <w:r w:rsidRPr="00A526D4">
        <w:t xml:space="preserve">Abrams, </w:t>
      </w:r>
      <w:r w:rsidRPr="009F066E">
        <w:t xml:space="preserve">D., &amp; </w:t>
      </w:r>
      <w:r w:rsidRPr="00A526D4">
        <w:t xml:space="preserve">Eller, </w:t>
      </w:r>
      <w:r w:rsidRPr="009F066E">
        <w:t>A.</w:t>
      </w:r>
      <w:r w:rsidRPr="00A526D4">
        <w:t> (201</w:t>
      </w:r>
      <w:r w:rsidRPr="009F066E">
        <w:t>7</w:t>
      </w:r>
      <w:r w:rsidRPr="00A526D4">
        <w:t>)</w:t>
      </w:r>
      <w:r w:rsidRPr="009F066E">
        <w:t>.</w:t>
      </w:r>
      <w:r w:rsidRPr="00A526D4">
        <w:t> </w:t>
      </w:r>
      <w:r w:rsidRPr="009F066E">
        <w:t>A temporally integrated model of intergroup contact and threat (TIMICAT)</w:t>
      </w:r>
      <w:r>
        <w:t>.</w:t>
      </w:r>
      <w:r w:rsidRPr="009F066E">
        <w:t xml:space="preserve"> </w:t>
      </w:r>
      <w:r>
        <w:t xml:space="preserve">In: </w:t>
      </w:r>
      <w:r w:rsidRPr="00A526D4">
        <w:t>L. Vezzali</w:t>
      </w:r>
      <w:r>
        <w:t xml:space="preserve"> &amp; </w:t>
      </w:r>
      <w:r w:rsidRPr="00A526D4">
        <w:t>S. Stathi (Eds.), </w:t>
      </w:r>
      <w:r w:rsidRPr="00A526D4">
        <w:rPr>
          <w:i/>
          <w:iCs/>
        </w:rPr>
        <w:t>Intergroup contact theory: Recent developments and future directions</w:t>
      </w:r>
      <w:r>
        <w:rPr>
          <w:i/>
          <w:iCs/>
        </w:rPr>
        <w:t xml:space="preserve"> </w:t>
      </w:r>
      <w:r w:rsidRPr="00531EDB">
        <w:t>(pp. 72-91)</w:t>
      </w:r>
      <w:r>
        <w:t>.</w:t>
      </w:r>
      <w:r w:rsidRPr="00531EDB">
        <w:t xml:space="preserve"> Abingdon, U.K.: Routledge.</w:t>
      </w:r>
    </w:p>
    <w:p w14:paraId="2DDD99F4" w14:textId="77777777" w:rsidR="005958BC" w:rsidRDefault="005958BC" w:rsidP="005958BC">
      <w:pPr>
        <w:pStyle w:val="NormalWeb"/>
        <w:spacing w:line="480" w:lineRule="auto"/>
        <w:ind w:left="540" w:hanging="540"/>
      </w:pPr>
      <w:r w:rsidRPr="00B76CC1">
        <w:t xml:space="preserve">Ackerman, J.M., Hill, S.E., &amp; Murray, D.R. (2018). The behavioral immune system: Current concerns and future directions. </w:t>
      </w:r>
      <w:r w:rsidRPr="00B76CC1">
        <w:rPr>
          <w:i/>
          <w:iCs/>
        </w:rPr>
        <w:t>Social and Personality Psychology Compass</w:t>
      </w:r>
      <w:r w:rsidRPr="00B76CC1">
        <w:t xml:space="preserve">, e12371–.         doi:10.1111/spc3.12371     </w:t>
      </w:r>
    </w:p>
    <w:p w14:paraId="2967FD02" w14:textId="77777777" w:rsidR="005958BC" w:rsidRPr="00BA6A1C" w:rsidRDefault="005958BC" w:rsidP="005958BC">
      <w:pPr>
        <w:pStyle w:val="NormalWeb"/>
        <w:spacing w:line="480" w:lineRule="auto"/>
        <w:ind w:left="540" w:hanging="540"/>
      </w:pPr>
      <w:r w:rsidRPr="00BA6A1C">
        <w:t>Alston</w:t>
      </w:r>
      <w:r>
        <w:t xml:space="preserve">, L., Meleady, R., &amp; Seger, C.R. (2020). Can past intergroup contact shape support for policies in a pandemic? Processes predicting endorsement of discriminatory Chinese restrictions during the COVID-19 crisis. </w:t>
      </w:r>
      <w:r>
        <w:rPr>
          <w:i/>
          <w:iCs/>
        </w:rPr>
        <w:t xml:space="preserve">Group Processes and Intergroup Relations. </w:t>
      </w:r>
      <w:hyperlink r:id="rId11" w:history="1">
        <w:r w:rsidRPr="00BA6A1C">
          <w:rPr>
            <w:rStyle w:val="Hyperlink"/>
            <w:i/>
            <w:iCs/>
          </w:rPr>
          <w:t>https://doi.org/10.1177/1368430220959710</w:t>
        </w:r>
      </w:hyperlink>
    </w:p>
    <w:p w14:paraId="156207A0" w14:textId="77777777" w:rsidR="005958BC" w:rsidRPr="00B76CC1" w:rsidRDefault="005958BC" w:rsidP="005958BC">
      <w:pPr>
        <w:pStyle w:val="NormalWeb"/>
        <w:spacing w:line="480" w:lineRule="auto"/>
        <w:ind w:left="540" w:hanging="540"/>
      </w:pPr>
      <w:r w:rsidRPr="00B76CC1">
        <w:t xml:space="preserve">Bates, D., Mächler, M., Bolker, B., &amp; Walker, S. (2015). Fitting Linear Mixed-Effects Models Using lme4. </w:t>
      </w:r>
      <w:r w:rsidRPr="00B76CC1">
        <w:rPr>
          <w:i/>
          <w:iCs/>
        </w:rPr>
        <w:t>Journal of Statistical Software</w:t>
      </w:r>
      <w:r w:rsidRPr="00B76CC1">
        <w:t xml:space="preserve">, </w:t>
      </w:r>
      <w:r w:rsidRPr="00B76CC1">
        <w:rPr>
          <w:i/>
          <w:iCs/>
        </w:rPr>
        <w:t>67</w:t>
      </w:r>
      <w:r w:rsidRPr="00B76CC1">
        <w:t xml:space="preserve">(1). </w:t>
      </w:r>
      <w:hyperlink r:id="rId12" w:history="1">
        <w:r w:rsidRPr="00B76CC1">
          <w:rPr>
            <w:rStyle w:val="Hyperlink"/>
          </w:rPr>
          <w:t>https://doi.org/10.18637/jss.v067.i01</w:t>
        </w:r>
      </w:hyperlink>
    </w:p>
    <w:p w14:paraId="6CCB4D0E" w14:textId="77777777" w:rsidR="005958BC" w:rsidRDefault="005958BC" w:rsidP="005958BC">
      <w:pPr>
        <w:pStyle w:val="NormalWeb"/>
        <w:spacing w:line="480" w:lineRule="auto"/>
        <w:ind w:left="540" w:hanging="540"/>
      </w:pPr>
      <w:r w:rsidRPr="00B76CC1">
        <w:t>Bogardus, E. S. (1933). A Social Distance Scale. </w:t>
      </w:r>
      <w:r w:rsidRPr="00B76CC1">
        <w:rPr>
          <w:i/>
          <w:iCs/>
        </w:rPr>
        <w:t>Sociology &amp; Social Research, 17,</w:t>
      </w:r>
      <w:r w:rsidRPr="00B76CC1">
        <w:t> 265–271.</w:t>
      </w:r>
    </w:p>
    <w:p w14:paraId="4E57FA50" w14:textId="77777777" w:rsidR="005958BC" w:rsidRDefault="005958BC" w:rsidP="005958BC">
      <w:pPr>
        <w:pStyle w:val="NormalWeb"/>
        <w:spacing w:line="480" w:lineRule="auto"/>
        <w:ind w:left="540" w:hanging="540"/>
      </w:pPr>
      <w:r>
        <w:t>Bollyky, T.J. &amp; Nuzzo, J.B.</w:t>
      </w:r>
      <w:r w:rsidRPr="00B76CC1">
        <w:t xml:space="preserve"> (</w:t>
      </w:r>
      <w:r>
        <w:t>2020, October 1</w:t>
      </w:r>
      <w:r w:rsidRPr="00B76CC1">
        <w:t xml:space="preserve">). </w:t>
      </w:r>
      <w:r>
        <w:rPr>
          <w:i/>
          <w:iCs/>
        </w:rPr>
        <w:t>Trump’s ‘early’ travel ‘bans’ weren’t early, weren’t bans and didn’t work</w:t>
      </w:r>
      <w:r w:rsidRPr="00B76CC1">
        <w:t>.</w:t>
      </w:r>
      <w:r>
        <w:t xml:space="preserve"> </w:t>
      </w:r>
      <w:hyperlink r:id="rId13" w:history="1">
        <w:r w:rsidRPr="00533C55">
          <w:rPr>
            <w:rStyle w:val="Hyperlink"/>
          </w:rPr>
          <w:t>https://www.washingtonpost.com/outlook/2020/10/01/debate-early-travel-bans-china/</w:t>
        </w:r>
      </w:hyperlink>
    </w:p>
    <w:p w14:paraId="202A9C04" w14:textId="77777777" w:rsidR="005958BC" w:rsidRDefault="005958BC" w:rsidP="005958BC">
      <w:pPr>
        <w:pStyle w:val="NormalWeb"/>
        <w:spacing w:line="480" w:lineRule="auto"/>
        <w:ind w:left="540" w:hanging="540"/>
      </w:pPr>
      <w:r w:rsidRPr="006D35CE">
        <w:t xml:space="preserve">Cottrell, C. A., &amp; Neuberg, S. L. (2005). Different Emotional Reactions to Different Groups: A Sociofunctional Threat-Based Approach to "Prejudice". </w:t>
      </w:r>
      <w:r w:rsidRPr="006D35CE">
        <w:rPr>
          <w:i/>
          <w:iCs/>
        </w:rPr>
        <w:t>Journal of Personality and Social Psychology, 88</w:t>
      </w:r>
      <w:r w:rsidRPr="006D35CE">
        <w:t xml:space="preserve">(5), 770–789. </w:t>
      </w:r>
      <w:r w:rsidRPr="001568FC">
        <w:t>doi: 10.1037/0022-3514.88.5.770.</w:t>
      </w:r>
    </w:p>
    <w:p w14:paraId="1DB00DD6" w14:textId="77777777" w:rsidR="005958BC" w:rsidRDefault="005958BC" w:rsidP="005958BC">
      <w:pPr>
        <w:spacing w:before="100" w:beforeAutospacing="1" w:after="100" w:afterAutospacing="1" w:line="480" w:lineRule="auto"/>
        <w:ind w:left="567" w:hanging="567"/>
        <w:rPr>
          <w:rStyle w:val="Hyperlink"/>
        </w:rPr>
      </w:pPr>
      <w:r w:rsidRPr="00B76CC1">
        <w:lastRenderedPageBreak/>
        <w:t>Devos, T., &amp; Banaji, M. R. (2005). American = White? </w:t>
      </w:r>
      <w:r w:rsidRPr="00B76CC1">
        <w:rPr>
          <w:i/>
          <w:iCs/>
        </w:rPr>
        <w:t>Journal of Personality and Social Psychology, 88</w:t>
      </w:r>
      <w:r w:rsidRPr="00B76CC1">
        <w:t>(3), 447–466. </w:t>
      </w:r>
      <w:hyperlink r:id="rId14" w:tgtFrame="_blank" w:history="1">
        <w:r w:rsidRPr="00B76CC1">
          <w:rPr>
            <w:rStyle w:val="Hyperlink"/>
          </w:rPr>
          <w:t>https://doi.org/10.1037/0022-3514.88.3.447</w:t>
        </w:r>
      </w:hyperlink>
    </w:p>
    <w:p w14:paraId="060F900E" w14:textId="77777777" w:rsidR="005958BC" w:rsidRPr="00875521" w:rsidRDefault="005958BC" w:rsidP="005958BC">
      <w:pPr>
        <w:spacing w:before="100" w:beforeAutospacing="1" w:after="100" w:afterAutospacing="1" w:line="480" w:lineRule="auto"/>
        <w:ind w:left="567" w:hanging="567"/>
        <w:rPr>
          <w:color w:val="0563C1" w:themeColor="hyperlink"/>
          <w:u w:val="single"/>
        </w:rPr>
      </w:pPr>
      <w:r>
        <w:t xml:space="preserve">Dixon, J.C. (2006). The ties that bind and those that don’t: Toward reconciling group threat and contact theories of prejudice. </w:t>
      </w:r>
      <w:r>
        <w:rPr>
          <w:i/>
          <w:iCs/>
        </w:rPr>
        <w:t>Social Forces, 84</w:t>
      </w:r>
      <w:r>
        <w:t>(4), 2179-2204.</w:t>
      </w:r>
      <w:r w:rsidRPr="00875521">
        <w:t xml:space="preserve"> </w:t>
      </w:r>
      <w:hyperlink r:id="rId15" w:tgtFrame="_blank" w:history="1">
        <w:r w:rsidRPr="00875521">
          <w:rPr>
            <w:rStyle w:val="Hyperlink"/>
          </w:rPr>
          <w:t>https://doi.org/10.1353/sof.2006.0085</w:t>
        </w:r>
      </w:hyperlink>
    </w:p>
    <w:p w14:paraId="1E161D3D" w14:textId="77777777" w:rsidR="005958BC" w:rsidRDefault="005958BC" w:rsidP="005958BC">
      <w:pPr>
        <w:pStyle w:val="NormalWeb"/>
        <w:spacing w:line="480" w:lineRule="auto"/>
        <w:ind w:left="540" w:hanging="540"/>
        <w:rPr>
          <w:rStyle w:val="Hyperlink"/>
        </w:rPr>
      </w:pPr>
      <w:r w:rsidRPr="00B76CC1">
        <w:t xml:space="preserve">Doherty, T. J., &amp; Clayton, S. (2011). The psychological impacts of global climate change. </w:t>
      </w:r>
      <w:r w:rsidRPr="00B76CC1">
        <w:rPr>
          <w:i/>
          <w:iCs/>
        </w:rPr>
        <w:t>American Psychologist</w:t>
      </w:r>
      <w:r w:rsidRPr="00B76CC1">
        <w:t xml:space="preserve">, </w:t>
      </w:r>
      <w:r w:rsidRPr="00B76CC1">
        <w:rPr>
          <w:i/>
          <w:iCs/>
        </w:rPr>
        <w:t>66</w:t>
      </w:r>
      <w:r w:rsidRPr="00B76CC1">
        <w:t xml:space="preserve">(4), 265–276. </w:t>
      </w:r>
      <w:hyperlink r:id="rId16" w:history="1">
        <w:r w:rsidRPr="00B76CC1">
          <w:rPr>
            <w:rStyle w:val="Hyperlink"/>
          </w:rPr>
          <w:t>https://doi.org/10.1037/a0023141</w:t>
        </w:r>
      </w:hyperlink>
    </w:p>
    <w:p w14:paraId="516C70D2" w14:textId="77777777" w:rsidR="005958BC" w:rsidRDefault="005958BC" w:rsidP="005958BC">
      <w:pPr>
        <w:pStyle w:val="NormalWeb"/>
        <w:spacing w:line="480" w:lineRule="auto"/>
        <w:ind w:left="540" w:hanging="540"/>
      </w:pPr>
      <w:r w:rsidRPr="008C1CAE">
        <w:t>Esarey, J., &amp; Sumner, J. L. (2017). Marginal effects in interaction models: Determining and controlling the false positive rate. Comparative Political Studies, 1–33. Advance online publication. </w:t>
      </w:r>
      <w:hyperlink r:id="rId17" w:history="1">
        <w:r w:rsidRPr="008C1CAE">
          <w:rPr>
            <w:rStyle w:val="Hyperlink"/>
          </w:rPr>
          <w:t>https://doi.org/10.1177/0010414017730080</w:t>
        </w:r>
      </w:hyperlink>
    </w:p>
    <w:p w14:paraId="483102F4" w14:textId="77777777" w:rsidR="005958BC" w:rsidRPr="00B76CC1" w:rsidRDefault="005958BC" w:rsidP="005958BC">
      <w:pPr>
        <w:pStyle w:val="NormalWeb"/>
        <w:spacing w:line="480" w:lineRule="auto"/>
        <w:ind w:left="540" w:hanging="540"/>
      </w:pPr>
      <w:r w:rsidRPr="00B76CC1">
        <w:t xml:space="preserve">Ellerbeck, A. (2020, May 11). </w:t>
      </w:r>
      <w:r w:rsidRPr="00B76CC1">
        <w:rPr>
          <w:i/>
          <w:iCs/>
        </w:rPr>
        <w:t>Over 30 percent of Americans have witnessed COVID-19 bias against Asians, poll says</w:t>
      </w:r>
      <w:r w:rsidRPr="00B76CC1">
        <w:t xml:space="preserve">. NBCNews.com. </w:t>
      </w:r>
      <w:hyperlink r:id="rId18" w:history="1">
        <w:r w:rsidRPr="00B76CC1">
          <w:rPr>
            <w:rStyle w:val="Hyperlink"/>
          </w:rPr>
          <w:t>https://www.nbcnews.com/news/asian-america/over-30-americans-have-witnessed-covid-19-bias-against-asians-n1193901</w:t>
        </w:r>
      </w:hyperlink>
      <w:r w:rsidRPr="00B76CC1">
        <w:t>.</w:t>
      </w:r>
    </w:p>
    <w:p w14:paraId="1B4B1C3D" w14:textId="77777777" w:rsidR="005958BC" w:rsidRPr="00B76CC1" w:rsidRDefault="005958BC" w:rsidP="005958BC">
      <w:pPr>
        <w:pStyle w:val="NormalWeb"/>
        <w:spacing w:line="480" w:lineRule="auto"/>
        <w:ind w:left="540" w:hanging="540"/>
      </w:pPr>
      <w:r w:rsidRPr="00B76CC1">
        <w:rPr>
          <w:color w:val="222222"/>
          <w:shd w:val="clear" w:color="auto" w:fill="FFFFFF"/>
        </w:rPr>
        <w:t>Faul, F., Erdfelder, E., Lang, A. G., &amp; Buchner, A. (2007). G* Power 3: A flexible statistical power analysis program for the social, behavioral, and biomedical sciences.</w:t>
      </w:r>
      <w:r w:rsidRPr="00B76CC1">
        <w:rPr>
          <w:rStyle w:val="apple-converted-space"/>
          <w:color w:val="222222"/>
          <w:shd w:val="clear" w:color="auto" w:fill="FFFFFF"/>
        </w:rPr>
        <w:t> </w:t>
      </w:r>
      <w:r w:rsidRPr="00B76CC1">
        <w:rPr>
          <w:i/>
          <w:iCs/>
          <w:color w:val="222222"/>
        </w:rPr>
        <w:t>Behavior Research Methods</w:t>
      </w:r>
      <w:r w:rsidRPr="00B76CC1">
        <w:rPr>
          <w:color w:val="222222"/>
          <w:shd w:val="clear" w:color="auto" w:fill="FFFFFF"/>
        </w:rPr>
        <w:t>,</w:t>
      </w:r>
      <w:r w:rsidRPr="00B76CC1">
        <w:rPr>
          <w:rStyle w:val="apple-converted-space"/>
          <w:color w:val="222222"/>
          <w:shd w:val="clear" w:color="auto" w:fill="FFFFFF"/>
        </w:rPr>
        <w:t> </w:t>
      </w:r>
      <w:r w:rsidRPr="00B76CC1">
        <w:rPr>
          <w:i/>
          <w:iCs/>
          <w:color w:val="222222"/>
        </w:rPr>
        <w:t>39</w:t>
      </w:r>
      <w:r w:rsidRPr="00B76CC1">
        <w:rPr>
          <w:color w:val="222222"/>
          <w:shd w:val="clear" w:color="auto" w:fill="FFFFFF"/>
        </w:rPr>
        <w:t xml:space="preserve">(2), 175-191. </w:t>
      </w:r>
      <w:hyperlink r:id="rId19" w:history="1">
        <w:r w:rsidRPr="00B76CC1">
          <w:rPr>
            <w:rStyle w:val="Hyperlink"/>
            <w:shd w:val="clear" w:color="auto" w:fill="FFFFFF"/>
          </w:rPr>
          <w:t>https://doi.org/10.3758/BF03193146</w:t>
        </w:r>
      </w:hyperlink>
    </w:p>
    <w:p w14:paraId="2B872295" w14:textId="77777777" w:rsidR="005958BC" w:rsidRPr="00B76CC1" w:rsidRDefault="005958BC" w:rsidP="005958BC">
      <w:pPr>
        <w:pStyle w:val="NormalWeb"/>
        <w:spacing w:line="480" w:lineRule="auto"/>
        <w:ind w:left="540" w:hanging="540"/>
      </w:pPr>
      <w:r w:rsidRPr="00B76CC1">
        <w:t xml:space="preserve">Faulkner, J., Schaller, M., Park, J. H., &amp; Duncan, L. A. (2004). Evolved Disease-Avoidance Mechanisms and Contemporary Xenophobic Attitudes. </w:t>
      </w:r>
      <w:r w:rsidRPr="00B76CC1">
        <w:rPr>
          <w:i/>
          <w:iCs/>
        </w:rPr>
        <w:t>Group Processes &amp; Intergroup Relations</w:t>
      </w:r>
      <w:r w:rsidRPr="00B76CC1">
        <w:t xml:space="preserve">, </w:t>
      </w:r>
      <w:r w:rsidRPr="00B76CC1">
        <w:rPr>
          <w:i/>
          <w:iCs/>
        </w:rPr>
        <w:t>7</w:t>
      </w:r>
      <w:r w:rsidRPr="00B76CC1">
        <w:t xml:space="preserve">(4), 333–353. </w:t>
      </w:r>
      <w:hyperlink r:id="rId20" w:history="1">
        <w:r w:rsidRPr="00B76CC1">
          <w:rPr>
            <w:rStyle w:val="Hyperlink"/>
          </w:rPr>
          <w:t>https://doi.org/10.1177/1368430204046142</w:t>
        </w:r>
      </w:hyperlink>
    </w:p>
    <w:p w14:paraId="7A468079" w14:textId="77777777" w:rsidR="005958BC" w:rsidRPr="00B76CC1" w:rsidRDefault="005958BC" w:rsidP="005958BC">
      <w:pPr>
        <w:pStyle w:val="NormalWeb"/>
        <w:spacing w:line="480" w:lineRule="auto"/>
        <w:ind w:left="540" w:hanging="540"/>
        <w:rPr>
          <w:rStyle w:val="Hyperlink"/>
        </w:rPr>
      </w:pPr>
      <w:r w:rsidRPr="00B76CC1">
        <w:lastRenderedPageBreak/>
        <w:t xml:space="preserve">Fritsche, I., Jonas, E., &amp; Kessler, T. (2011). Collective Reactions to Threat: Implications for Intergroup Conflict and for Solving Societal Crises: Collective Reactions to Threat. </w:t>
      </w:r>
      <w:r w:rsidRPr="00B76CC1">
        <w:rPr>
          <w:i/>
          <w:iCs/>
        </w:rPr>
        <w:t>Social Issues and Policy Review</w:t>
      </w:r>
      <w:r w:rsidRPr="00B76CC1">
        <w:t xml:space="preserve">, </w:t>
      </w:r>
      <w:r w:rsidRPr="00B76CC1">
        <w:rPr>
          <w:i/>
          <w:iCs/>
        </w:rPr>
        <w:t>5</w:t>
      </w:r>
      <w:r w:rsidRPr="00B76CC1">
        <w:t xml:space="preserve">(1), 101–136. </w:t>
      </w:r>
      <w:hyperlink r:id="rId21" w:history="1">
        <w:r w:rsidRPr="00B76CC1">
          <w:rPr>
            <w:rStyle w:val="Hyperlink"/>
          </w:rPr>
          <w:t>https://doi.org/10.1111/j.1751-2409.2011.01027.x</w:t>
        </w:r>
      </w:hyperlink>
    </w:p>
    <w:p w14:paraId="7DBB93B2" w14:textId="77777777" w:rsidR="005958BC" w:rsidRPr="00B76CC1" w:rsidRDefault="005958BC" w:rsidP="005958BC">
      <w:pPr>
        <w:pStyle w:val="NormalWeb"/>
        <w:spacing w:line="480" w:lineRule="auto"/>
        <w:ind w:left="540" w:hanging="540"/>
        <w:rPr>
          <w:color w:val="222222"/>
          <w:shd w:val="clear" w:color="auto" w:fill="FFFFFF"/>
        </w:rPr>
      </w:pPr>
      <w:r w:rsidRPr="00B76CC1">
        <w:rPr>
          <w:color w:val="222222"/>
          <w:shd w:val="clear" w:color="auto" w:fill="FFFFFF"/>
        </w:rPr>
        <w:t>Fox</w:t>
      </w:r>
      <w:r>
        <w:rPr>
          <w:color w:val="222222"/>
          <w:shd w:val="clear" w:color="auto" w:fill="FFFFFF"/>
        </w:rPr>
        <w:t>,</w:t>
      </w:r>
      <w:r w:rsidRPr="00B76CC1">
        <w:rPr>
          <w:color w:val="222222"/>
          <w:shd w:val="clear" w:color="auto" w:fill="FFFFFF"/>
        </w:rPr>
        <w:t xml:space="preserve"> J</w:t>
      </w:r>
      <w:r>
        <w:rPr>
          <w:color w:val="222222"/>
          <w:shd w:val="clear" w:color="auto" w:fill="FFFFFF"/>
        </w:rPr>
        <w:t>.</w:t>
      </w:r>
      <w:r w:rsidRPr="00B76CC1">
        <w:rPr>
          <w:color w:val="222222"/>
          <w:shd w:val="clear" w:color="auto" w:fill="FFFFFF"/>
        </w:rPr>
        <w:t>,</w:t>
      </w:r>
      <w:r>
        <w:rPr>
          <w:color w:val="222222"/>
          <w:shd w:val="clear" w:color="auto" w:fill="FFFFFF"/>
        </w:rPr>
        <w:t xml:space="preserve"> &amp;</w:t>
      </w:r>
      <w:r w:rsidRPr="00B76CC1">
        <w:rPr>
          <w:color w:val="222222"/>
          <w:shd w:val="clear" w:color="auto" w:fill="FFFFFF"/>
        </w:rPr>
        <w:t xml:space="preserve"> Weisberg S</w:t>
      </w:r>
      <w:r>
        <w:rPr>
          <w:color w:val="222222"/>
          <w:shd w:val="clear" w:color="auto" w:fill="FFFFFF"/>
        </w:rPr>
        <w:t>.</w:t>
      </w:r>
      <w:r w:rsidRPr="00B76CC1">
        <w:rPr>
          <w:color w:val="222222"/>
          <w:shd w:val="clear" w:color="auto" w:fill="FFFFFF"/>
        </w:rPr>
        <w:t xml:space="preserve"> (2019). </w:t>
      </w:r>
      <w:r w:rsidRPr="00B76CC1">
        <w:rPr>
          <w:i/>
          <w:iCs/>
          <w:color w:val="222222"/>
          <w:shd w:val="clear" w:color="auto" w:fill="FFFFFF"/>
        </w:rPr>
        <w:t>An R Companion to Applied Regression</w:t>
      </w:r>
      <w:r w:rsidRPr="00B76CC1">
        <w:rPr>
          <w:color w:val="222222"/>
          <w:shd w:val="clear" w:color="auto" w:fill="FFFFFF"/>
        </w:rPr>
        <w:t>, Third edition. Sage, Thousand Oaks CA. </w:t>
      </w:r>
      <w:hyperlink r:id="rId22" w:history="1">
        <w:r w:rsidRPr="00B76CC1">
          <w:rPr>
            <w:rStyle w:val="Hyperlink"/>
            <w:shd w:val="clear" w:color="auto" w:fill="FFFFFF"/>
          </w:rPr>
          <w:t>https://socialsciences.mcmaster.ca/jfox/Books/Companion/</w:t>
        </w:r>
      </w:hyperlink>
      <w:r w:rsidRPr="00B76CC1">
        <w:rPr>
          <w:color w:val="222222"/>
          <w:shd w:val="clear" w:color="auto" w:fill="FFFFFF"/>
        </w:rPr>
        <w:t>.</w:t>
      </w:r>
    </w:p>
    <w:p w14:paraId="201E09AE" w14:textId="77777777" w:rsidR="005958BC" w:rsidRDefault="005958BC" w:rsidP="005958BC">
      <w:pPr>
        <w:pStyle w:val="NormalWeb"/>
        <w:spacing w:line="480" w:lineRule="auto"/>
        <w:ind w:left="540" w:hanging="540"/>
        <w:rPr>
          <w:color w:val="222222"/>
          <w:shd w:val="clear" w:color="auto" w:fill="FFFFFF"/>
        </w:rPr>
      </w:pPr>
      <w:r>
        <w:rPr>
          <w:color w:val="222222"/>
          <w:shd w:val="clear" w:color="auto" w:fill="FFFFFF"/>
        </w:rPr>
        <w:t>Gordon, C., Posner, J., Klein, E., Mumm, C., &amp; Olsen, M.W.</w:t>
      </w:r>
      <w:r w:rsidRPr="00271BFF">
        <w:rPr>
          <w:color w:val="222222"/>
          <w:shd w:val="clear" w:color="auto" w:fill="FFFFFF"/>
        </w:rPr>
        <w:t xml:space="preserve"> (Producers). (</w:t>
      </w:r>
      <w:r>
        <w:rPr>
          <w:color w:val="222222"/>
          <w:shd w:val="clear" w:color="auto" w:fill="FFFFFF"/>
        </w:rPr>
        <w:t>2020</w:t>
      </w:r>
      <w:r w:rsidRPr="00271BFF">
        <w:rPr>
          <w:color w:val="222222"/>
          <w:shd w:val="clear" w:color="auto" w:fill="FFFFFF"/>
        </w:rPr>
        <w:t>). </w:t>
      </w:r>
      <w:r>
        <w:rPr>
          <w:i/>
          <w:iCs/>
          <w:color w:val="222222"/>
          <w:shd w:val="clear" w:color="auto" w:fill="FFFFFF"/>
        </w:rPr>
        <w:t>Coronavirus, Explained</w:t>
      </w:r>
      <w:r w:rsidRPr="00271BFF">
        <w:rPr>
          <w:color w:val="222222"/>
          <w:shd w:val="clear" w:color="auto" w:fill="FFFFFF"/>
        </w:rPr>
        <w:t> [TV series]. Retrieved from https://www.netflix.com/</w:t>
      </w:r>
    </w:p>
    <w:p w14:paraId="3B660EFC" w14:textId="77777777" w:rsidR="005958BC" w:rsidRPr="00B76CC1" w:rsidRDefault="005958BC" w:rsidP="005958BC">
      <w:pPr>
        <w:pStyle w:val="NormalWeb"/>
        <w:spacing w:line="480" w:lineRule="auto"/>
        <w:ind w:left="540" w:hanging="540"/>
        <w:rPr>
          <w:color w:val="0563C1" w:themeColor="hyperlink"/>
          <w:u w:val="single"/>
        </w:rPr>
      </w:pPr>
      <w:r w:rsidRPr="00B76CC1">
        <w:rPr>
          <w:color w:val="222222"/>
          <w:shd w:val="clear" w:color="auto" w:fill="FFFFFF"/>
        </w:rPr>
        <w:t>Gover, A. R., Harper, S. B., &amp; Langton, L. (2020). Anti-Asian Hate Crime During the COVID-19 Pandemic: Exploring the Reproduction of Inequality.</w:t>
      </w:r>
      <w:r w:rsidRPr="00B76CC1">
        <w:rPr>
          <w:rStyle w:val="apple-converted-space"/>
          <w:color w:val="222222"/>
          <w:shd w:val="clear" w:color="auto" w:fill="FFFFFF"/>
        </w:rPr>
        <w:t> </w:t>
      </w:r>
      <w:r w:rsidRPr="00B76CC1">
        <w:rPr>
          <w:i/>
          <w:iCs/>
          <w:color w:val="222222"/>
        </w:rPr>
        <w:t>American Journal of Criminal Justice</w:t>
      </w:r>
      <w:r w:rsidRPr="00B76CC1">
        <w:rPr>
          <w:color w:val="222222"/>
          <w:shd w:val="clear" w:color="auto" w:fill="FFFFFF"/>
        </w:rPr>
        <w:t>, 1-21.</w:t>
      </w:r>
      <w:r w:rsidRPr="00B76CC1">
        <w:t xml:space="preserve"> </w:t>
      </w:r>
      <w:hyperlink r:id="rId23" w:history="1">
        <w:r w:rsidRPr="00B76CC1">
          <w:rPr>
            <w:rStyle w:val="Hyperlink"/>
            <w:shd w:val="clear" w:color="auto" w:fill="FFFFFF"/>
          </w:rPr>
          <w:t>https://doi.org/10.1007/s12103-020-09545-1</w:t>
        </w:r>
      </w:hyperlink>
    </w:p>
    <w:p w14:paraId="5559AAEB" w14:textId="77777777" w:rsidR="005958BC" w:rsidRDefault="005958BC" w:rsidP="005958BC">
      <w:pPr>
        <w:pStyle w:val="NormalWeb"/>
        <w:spacing w:line="480" w:lineRule="auto"/>
        <w:ind w:left="540" w:hanging="540"/>
        <w:rPr>
          <w:color w:val="0000FF"/>
          <w:u w:val="single"/>
        </w:rPr>
      </w:pPr>
      <w:r w:rsidRPr="00B76CC1">
        <w:t xml:space="preserve">Jeung, R., &amp; Nham, K. (2020, April 23). </w:t>
      </w:r>
      <w:r w:rsidRPr="00B76CC1">
        <w:rPr>
          <w:i/>
          <w:iCs/>
        </w:rPr>
        <w:t>Incidents of Coronavirus-Related Discrimination</w:t>
      </w:r>
      <w:r w:rsidRPr="00B76CC1">
        <w:t xml:space="preserve">: A Report for ACPCOM and CAA. </w:t>
      </w:r>
      <w:hyperlink r:id="rId24" w:history="1">
        <w:r w:rsidRPr="00B76CC1">
          <w:rPr>
            <w:color w:val="0000FF"/>
            <w:u w:val="single"/>
          </w:rPr>
          <w:t>http://www.asianpacificpolicyandplanningcouncil.org/wp-content/uploads/STOP_AAPI_HATE_MONTHLY_REPORT_4_23_20.pdf</w:t>
        </w:r>
      </w:hyperlink>
    </w:p>
    <w:p w14:paraId="6BFEDD40" w14:textId="77777777" w:rsidR="005958BC" w:rsidRPr="003B22B4" w:rsidRDefault="005958BC" w:rsidP="005958BC">
      <w:pPr>
        <w:pStyle w:val="NormalWeb"/>
        <w:spacing w:line="480" w:lineRule="auto"/>
        <w:ind w:left="540" w:hanging="540"/>
        <w:rPr>
          <w:color w:val="0000FF"/>
          <w:u w:val="single"/>
        </w:rPr>
      </w:pPr>
      <w:r>
        <w:t xml:space="preserve">Jones, K.E., Patel, N.G., Levy, M.A., Storeygard, A., Balk, D., Gittleman, J.L., &amp; Daszak, P. (2008). Global trends in emerging infectious diseases. </w:t>
      </w:r>
      <w:r>
        <w:rPr>
          <w:i/>
          <w:iCs/>
        </w:rPr>
        <w:t>Nature, 451</w:t>
      </w:r>
      <w:r>
        <w:t xml:space="preserve">(7181), 990-993. </w:t>
      </w:r>
      <w:hyperlink r:id="rId25" w:history="1">
        <w:r w:rsidRPr="003B22B4">
          <w:rPr>
            <w:rStyle w:val="Hyperlink"/>
          </w:rPr>
          <w:t>10.1038/nature06536</w:t>
        </w:r>
      </w:hyperlink>
    </w:p>
    <w:p w14:paraId="2B7ABEF6" w14:textId="77777777" w:rsidR="005958BC" w:rsidRDefault="005958BC" w:rsidP="005958BC">
      <w:pPr>
        <w:pStyle w:val="NormalWeb"/>
        <w:spacing w:line="480" w:lineRule="auto"/>
        <w:ind w:left="540" w:hanging="540"/>
      </w:pPr>
      <w:r w:rsidRPr="00B76CC1">
        <w:t xml:space="preserve">Kates, J., Tolbert, J., Orgera, K., Michaud, J., &amp; Levitt, L. (2020, June 30). </w:t>
      </w:r>
      <w:r w:rsidRPr="00B76CC1">
        <w:rPr>
          <w:i/>
          <w:iCs/>
        </w:rPr>
        <w:t>Where are the COVID-19 Hotspots? Tracking State Outbreaks</w:t>
      </w:r>
      <w:r w:rsidRPr="00B76CC1">
        <w:t xml:space="preserve">. KFF. </w:t>
      </w:r>
      <w:hyperlink r:id="rId26" w:history="1">
        <w:r w:rsidRPr="00B76CC1">
          <w:rPr>
            <w:rStyle w:val="Hyperlink"/>
          </w:rPr>
          <w:t>https://www.kff.org/coronavirus-covid-19/issue-brief/where-are-the-covid-19-hotspots-tracking-state-outbreaks/</w:t>
        </w:r>
      </w:hyperlink>
      <w:r w:rsidRPr="00B76CC1">
        <w:t>.</w:t>
      </w:r>
    </w:p>
    <w:p w14:paraId="1EFCADA0" w14:textId="77777777" w:rsidR="005958BC" w:rsidRDefault="005958BC" w:rsidP="005958BC">
      <w:pPr>
        <w:pStyle w:val="NormalWeb"/>
        <w:spacing w:line="480" w:lineRule="auto"/>
        <w:ind w:left="540" w:hanging="540"/>
        <w:rPr>
          <w:rStyle w:val="Hyperlink"/>
        </w:rPr>
      </w:pPr>
      <w:r w:rsidRPr="00B75DB4">
        <w:lastRenderedPageBreak/>
        <w:t xml:space="preserve">Kim, C. J. (1999). The racial triangulation of Asian Americans. </w:t>
      </w:r>
      <w:r w:rsidRPr="00B75DB4">
        <w:rPr>
          <w:i/>
          <w:iCs/>
        </w:rPr>
        <w:t>Politics &amp; Society, 27</w:t>
      </w:r>
      <w:r w:rsidRPr="00B75DB4">
        <w:t xml:space="preserve">, 105–138. </w:t>
      </w:r>
      <w:hyperlink r:id="rId27" w:history="1">
        <w:r w:rsidRPr="00FF3CC6">
          <w:rPr>
            <w:rStyle w:val="Hyperlink"/>
          </w:rPr>
          <w:t>http://dx.doi.org/10.1177/0032329299027001005</w:t>
        </w:r>
      </w:hyperlink>
    </w:p>
    <w:p w14:paraId="5E9D86D3" w14:textId="77777777" w:rsidR="005958BC" w:rsidRDefault="005958BC" w:rsidP="005958BC">
      <w:pPr>
        <w:pStyle w:val="NormalWeb"/>
        <w:spacing w:line="480" w:lineRule="auto"/>
        <w:ind w:left="540" w:hanging="540"/>
      </w:pPr>
      <w:r w:rsidRPr="00FF573A">
        <w:t xml:space="preserve">Knowles, E. &amp; Tropp, L. R. (2018).  The racial and economic context of Trump support: Evidence for threat, identity, and contact effects in the 2016 Presidential Election.  </w:t>
      </w:r>
      <w:r w:rsidRPr="00FF573A">
        <w:rPr>
          <w:i/>
        </w:rPr>
        <w:t>Social Psychological and Personality Science</w:t>
      </w:r>
      <w:r>
        <w:t xml:space="preserve">, </w:t>
      </w:r>
      <w:r w:rsidRPr="00FF573A">
        <w:rPr>
          <w:i/>
        </w:rPr>
        <w:t>9</w:t>
      </w:r>
      <w:r w:rsidRPr="00FF573A">
        <w:t>, 275-284.</w:t>
      </w:r>
    </w:p>
    <w:p w14:paraId="5C4A333A" w14:textId="77777777" w:rsidR="005958BC" w:rsidRDefault="005958BC" w:rsidP="005958BC">
      <w:pPr>
        <w:pStyle w:val="NormalWeb"/>
        <w:spacing w:line="480" w:lineRule="auto"/>
        <w:ind w:left="540" w:hanging="540"/>
      </w:pPr>
      <w:r w:rsidRPr="00FA01EF">
        <w:t>Kurzban, R., &amp; Leary, M. R. (2001). Evolutionary origins of stigmatization: The functions of social exclusion.</w:t>
      </w:r>
      <w:r>
        <w:t xml:space="preserve"> </w:t>
      </w:r>
      <w:r w:rsidRPr="00FA01EF">
        <w:rPr>
          <w:i/>
          <w:iCs/>
        </w:rPr>
        <w:t>Psychological Bulletin, 127</w:t>
      </w:r>
      <w:r w:rsidRPr="00FA01EF">
        <w:t>(2), 187–208.</w:t>
      </w:r>
      <w:r>
        <w:t xml:space="preserve"> </w:t>
      </w:r>
      <w:r w:rsidRPr="001568FC">
        <w:t>doi: 10.1037/0033-2909.127.2.187.</w:t>
      </w:r>
    </w:p>
    <w:p w14:paraId="259C2B76" w14:textId="77777777" w:rsidR="005958BC" w:rsidRDefault="005958BC" w:rsidP="005958BC">
      <w:pPr>
        <w:pStyle w:val="NormalWeb"/>
        <w:spacing w:line="480" w:lineRule="auto"/>
        <w:ind w:left="540" w:hanging="540"/>
      </w:pPr>
      <w:r w:rsidRPr="00B76CC1">
        <w:t xml:space="preserve">Lee, J., &amp; Yadav, M. (2020, May 21). </w:t>
      </w:r>
      <w:r w:rsidRPr="00B76CC1">
        <w:rPr>
          <w:i/>
          <w:iCs/>
        </w:rPr>
        <w:t>The Rise of Anti-Asian Hate in the Wake of Covid-19</w:t>
      </w:r>
      <w:r w:rsidRPr="00B76CC1">
        <w:t xml:space="preserve">. </w:t>
      </w:r>
      <w:hyperlink r:id="rId28" w:history="1">
        <w:r w:rsidRPr="00B76CC1">
          <w:rPr>
            <w:rStyle w:val="Hyperlink"/>
          </w:rPr>
          <w:t>https://items.ssrc.org/covid-19-and-the-social-sciences/the-rise-of-anti-asian-hate-in-the-wake-of-covid-19/</w:t>
        </w:r>
      </w:hyperlink>
      <w:r w:rsidRPr="00B76CC1">
        <w:t>.</w:t>
      </w:r>
    </w:p>
    <w:p w14:paraId="733C1D37" w14:textId="77777777" w:rsidR="005958BC" w:rsidRPr="00B76CC1" w:rsidRDefault="005958BC" w:rsidP="005958BC">
      <w:pPr>
        <w:pStyle w:val="NormalWeb"/>
        <w:spacing w:line="480" w:lineRule="auto"/>
        <w:ind w:left="540" w:hanging="540"/>
      </w:pPr>
      <w:r>
        <w:t xml:space="preserve">Lin, M.H., Kwan, V., Cheung, A., &amp; Fiske, S.T. (2005). </w:t>
      </w:r>
      <w:r w:rsidRPr="009D7DFB">
        <w:t>Stereotype Content Model Explains Prejudice for an Envied Outgroup: Scale of Anti-Asian American Stereotypes</w:t>
      </w:r>
      <w:r>
        <w:t xml:space="preserve">. </w:t>
      </w:r>
      <w:r w:rsidRPr="009D7DFB">
        <w:rPr>
          <w:i/>
          <w:iCs/>
        </w:rPr>
        <w:t>Personality and Social Psychology Bulletin, 31</w:t>
      </w:r>
      <w:r w:rsidRPr="009D7DFB">
        <w:t>(1)</w:t>
      </w:r>
      <w:r>
        <w:t xml:space="preserve">, </w:t>
      </w:r>
      <w:r w:rsidRPr="009D7DFB">
        <w:t>34-47</w:t>
      </w:r>
      <w:r>
        <w:t xml:space="preserve">. </w:t>
      </w:r>
      <w:r w:rsidRPr="009D7DFB">
        <w:t>10.1177/0146167204271320</w:t>
      </w:r>
    </w:p>
    <w:p w14:paraId="6439AE88" w14:textId="77777777" w:rsidR="005958BC" w:rsidRPr="00B76CC1" w:rsidRDefault="005958BC" w:rsidP="005958BC">
      <w:pPr>
        <w:pStyle w:val="NormalWeb"/>
        <w:spacing w:line="480" w:lineRule="auto"/>
        <w:ind w:left="540" w:hanging="540"/>
      </w:pPr>
      <w:r w:rsidRPr="00B76CC1">
        <w:t xml:space="preserve">Mitchell, A., Jurkowitz, M., Oliphant, J. B., &amp; Shearer, E. (2020, June 29). </w:t>
      </w:r>
      <w:r w:rsidRPr="00B76CC1">
        <w:rPr>
          <w:i/>
          <w:iCs/>
        </w:rPr>
        <w:t>Three Months In, Many Americans See Exaggeration, Conspiracy Theories and Partisanship in COVID-19 News</w:t>
      </w:r>
      <w:r w:rsidRPr="00B76CC1">
        <w:t xml:space="preserve">. Pew Research Center's Journalism Project. </w:t>
      </w:r>
      <w:hyperlink r:id="rId29" w:history="1">
        <w:r w:rsidRPr="00B76CC1">
          <w:rPr>
            <w:rStyle w:val="Hyperlink"/>
          </w:rPr>
          <w:t>https://www.journalism.org/2020/06/29/three-months-in-many-americans-see-exaggeration-conspiracy-theories-and-partisanship-in-covid-19-news/</w:t>
        </w:r>
      </w:hyperlink>
      <w:r w:rsidRPr="00B76CC1">
        <w:t>.</w:t>
      </w:r>
    </w:p>
    <w:p w14:paraId="13E97272" w14:textId="77777777" w:rsidR="005958BC" w:rsidRPr="00B76CC1" w:rsidRDefault="005958BC" w:rsidP="005958BC">
      <w:pPr>
        <w:pStyle w:val="NormalWeb"/>
        <w:spacing w:line="480" w:lineRule="auto"/>
        <w:ind w:left="540" w:hanging="540"/>
      </w:pPr>
      <w:r w:rsidRPr="00B76CC1">
        <w:lastRenderedPageBreak/>
        <w:t>Nav</w:t>
      </w:r>
      <w:r>
        <w:t>a</w:t>
      </w:r>
      <w:r w:rsidRPr="00B76CC1">
        <w:t xml:space="preserve">rette, C.D., &amp; Fessler, D. (2005). Disease avoidance and ethnocentrism: The effects of disease vulnerability and disgust sensitivity on intergroup attitudes. </w:t>
      </w:r>
      <w:r w:rsidRPr="00B76CC1">
        <w:rPr>
          <w:i/>
          <w:iCs/>
        </w:rPr>
        <w:t>Evolution and Human Behavior, 27</w:t>
      </w:r>
      <w:r w:rsidRPr="00B76CC1">
        <w:t>(4), 270-282.</w:t>
      </w:r>
      <w:r w:rsidRPr="00B76CC1">
        <w:rPr>
          <w:rFonts w:ascii="Arial" w:hAnsi="Arial" w:cs="Arial"/>
          <w:color w:val="777777"/>
          <w:sz w:val="21"/>
          <w:szCs w:val="21"/>
        </w:rPr>
        <w:t xml:space="preserve"> </w:t>
      </w:r>
      <w:hyperlink r:id="rId30" w:history="1">
        <w:r w:rsidRPr="00B76CC1">
          <w:rPr>
            <w:rStyle w:val="Hyperlink"/>
          </w:rPr>
          <w:t>10.1016/j.evolhumbehav.2005.12.001</w:t>
        </w:r>
      </w:hyperlink>
    </w:p>
    <w:p w14:paraId="7DD84D7C" w14:textId="77777777" w:rsidR="005958BC" w:rsidRPr="00B76CC1" w:rsidRDefault="005958BC" w:rsidP="005958BC">
      <w:pPr>
        <w:pStyle w:val="NormalWeb"/>
        <w:spacing w:line="480" w:lineRule="auto"/>
        <w:ind w:left="540" w:hanging="540"/>
      </w:pPr>
      <w:r w:rsidRPr="00B76CC1">
        <w:t xml:space="preserve">Niño, M., Harris, C., Drawve, G., &amp; Fitzpatrick, K.M. (2021). Race and ethnicity, gender, and age on perceived threats and fear of COVID-19: Evidence from two national data sources. </w:t>
      </w:r>
      <w:r w:rsidRPr="00B76CC1">
        <w:rPr>
          <w:i/>
          <w:iCs/>
        </w:rPr>
        <w:t>SSM – Population Health, 13</w:t>
      </w:r>
      <w:r w:rsidRPr="00B76CC1">
        <w:t>, 100717.</w:t>
      </w:r>
      <w:r>
        <w:t xml:space="preserve"> </w:t>
      </w:r>
      <w:r w:rsidRPr="001568FC">
        <w:t>doi: 10.1016/j.ssmph.2020.100717</w:t>
      </w:r>
    </w:p>
    <w:p w14:paraId="6E219896" w14:textId="77777777" w:rsidR="005958BC" w:rsidRPr="00B76CC1" w:rsidRDefault="005958BC" w:rsidP="005958BC">
      <w:pPr>
        <w:pStyle w:val="NormalWeb"/>
        <w:spacing w:line="480" w:lineRule="auto"/>
        <w:ind w:left="540" w:hanging="540"/>
        <w:rPr>
          <w:rStyle w:val="Hyperlink"/>
        </w:rPr>
      </w:pPr>
      <w:r w:rsidRPr="00B76CC1">
        <w:t xml:space="preserve">Noel, T.K. (2020). Conflating culture with COVID-19: Xenophobic repercussions of a global pandemic. </w:t>
      </w:r>
      <w:r w:rsidRPr="00B76CC1">
        <w:rPr>
          <w:i/>
          <w:iCs/>
        </w:rPr>
        <w:t>Social Sciences &amp; Humanities Open</w:t>
      </w:r>
      <w:r w:rsidRPr="00B76CC1">
        <w:t xml:space="preserve">, </w:t>
      </w:r>
      <w:r w:rsidRPr="00B76CC1">
        <w:rPr>
          <w:i/>
          <w:iCs/>
        </w:rPr>
        <w:t>2</w:t>
      </w:r>
      <w:r w:rsidRPr="00B76CC1">
        <w:t xml:space="preserve">(1), 100044. </w:t>
      </w:r>
      <w:hyperlink r:id="rId31" w:history="1">
        <w:r w:rsidRPr="00B76CC1">
          <w:rPr>
            <w:rStyle w:val="Hyperlink"/>
          </w:rPr>
          <w:t>https://doi.org/10.1016/j.ssaho.2020.100044</w:t>
        </w:r>
      </w:hyperlink>
    </w:p>
    <w:p w14:paraId="19E7AD27" w14:textId="77777777" w:rsidR="005958BC" w:rsidRDefault="005958BC" w:rsidP="005958BC">
      <w:pPr>
        <w:pStyle w:val="NormalWeb"/>
        <w:spacing w:line="480" w:lineRule="auto"/>
        <w:ind w:left="540" w:hanging="540"/>
        <w:rPr>
          <w:rStyle w:val="Hyperlink"/>
        </w:rPr>
      </w:pPr>
      <w:r w:rsidRPr="00B76CC1">
        <w:t>Nguyen, T. T., Criss, S., Dwivedi, P., Huang, D., Keralis, J., Hsu, E., Phan, L., Nguyen, L. H., Yardi, I., Glymour, M. M., Allen, A. M., Chae, D. H., Gee, G. C., &amp; Nguyen, Q. C. (2020). Exploring U.S. Shifts in Anti-Asian Sentiment with the Emergence of COVID-19. </w:t>
      </w:r>
      <w:r w:rsidRPr="00B76CC1">
        <w:rPr>
          <w:i/>
          <w:iCs/>
        </w:rPr>
        <w:t>International Journal of Environmental Research and Public Health</w:t>
      </w:r>
      <w:r w:rsidRPr="00B76CC1">
        <w:t>, </w:t>
      </w:r>
      <w:r w:rsidRPr="00B76CC1">
        <w:rPr>
          <w:i/>
          <w:iCs/>
        </w:rPr>
        <w:t>17</w:t>
      </w:r>
      <w:r w:rsidRPr="00B76CC1">
        <w:t xml:space="preserve">(19), 7032. </w:t>
      </w:r>
      <w:hyperlink r:id="rId32" w:history="1">
        <w:r w:rsidRPr="00B76CC1">
          <w:rPr>
            <w:rStyle w:val="Hyperlink"/>
          </w:rPr>
          <w:t>https://doi.org/10.3390/ijerph17197032</w:t>
        </w:r>
      </w:hyperlink>
    </w:p>
    <w:p w14:paraId="67EA71FB" w14:textId="77777777" w:rsidR="005958BC" w:rsidRPr="00657A80" w:rsidRDefault="005958BC" w:rsidP="005958BC">
      <w:pPr>
        <w:pStyle w:val="NormalWeb"/>
        <w:spacing w:line="480" w:lineRule="auto"/>
        <w:ind w:left="540" w:hanging="540"/>
        <w:rPr>
          <w:color w:val="0563C1" w:themeColor="hyperlink"/>
          <w:u w:val="single"/>
        </w:rPr>
      </w:pPr>
      <w:r>
        <w:t xml:space="preserve">Oliver, J.E. (2010). </w:t>
      </w:r>
      <w:r w:rsidRPr="00657A80">
        <w:rPr>
          <w:i/>
          <w:iCs/>
        </w:rPr>
        <w:t xml:space="preserve">The paradoxes of integration: Race, neighborhood, and civic life in multiethnic America. </w:t>
      </w:r>
      <w:r>
        <w:t xml:space="preserve">The University of Chicago Press. </w:t>
      </w:r>
      <w:hyperlink r:id="rId33" w:tgtFrame="_blank" w:history="1">
        <w:r w:rsidRPr="00657A80">
          <w:rPr>
            <w:rStyle w:val="Hyperlink"/>
          </w:rPr>
          <w:t>10.7208/chicago/9780226626642.001.0001</w:t>
        </w:r>
      </w:hyperlink>
    </w:p>
    <w:p w14:paraId="28238898" w14:textId="77777777" w:rsidR="005958BC" w:rsidRPr="000C6941" w:rsidRDefault="005958BC" w:rsidP="005958BC">
      <w:pPr>
        <w:pStyle w:val="NormalWeb"/>
        <w:spacing w:line="480" w:lineRule="auto"/>
        <w:ind w:left="540" w:hanging="540"/>
      </w:pPr>
      <w:r w:rsidRPr="000C6941">
        <w:t xml:space="preserve">Park, J. H., Faulkner, J., &amp; Schaller, M. (2003). Evolved disease-avoidance processes and contemporary antisocial behavior: Prejudicial attitudes and avoidance of people with physical disabilities. </w:t>
      </w:r>
      <w:r w:rsidRPr="000C6941">
        <w:rPr>
          <w:i/>
          <w:iCs/>
        </w:rPr>
        <w:t>Journal of Nonverbal Behavior, 27</w:t>
      </w:r>
      <w:r w:rsidRPr="000C6941">
        <w:t>(2), 65–87.</w:t>
      </w:r>
      <w:r w:rsidRPr="008F7891">
        <w:t xml:space="preserve"> https://doi.org/10.1023/A:1023910408854</w:t>
      </w:r>
    </w:p>
    <w:p w14:paraId="763C03F6" w14:textId="77777777" w:rsidR="005958BC" w:rsidRPr="00B76CC1" w:rsidRDefault="005958BC" w:rsidP="005958BC">
      <w:pPr>
        <w:pStyle w:val="NormalWeb"/>
        <w:spacing w:line="480" w:lineRule="auto"/>
        <w:ind w:left="540" w:hanging="540"/>
      </w:pPr>
      <w:r w:rsidRPr="00B76CC1">
        <w:lastRenderedPageBreak/>
        <w:t xml:space="preserve">Parks, S.J., &amp; Yoo, H.C. (2016). Does endorsement of the model minority myth relate to anti-Asian sentiments among White college students? The role of a color-blind racial attitude. </w:t>
      </w:r>
      <w:r w:rsidRPr="00B76CC1">
        <w:rPr>
          <w:i/>
          <w:iCs/>
        </w:rPr>
        <w:t>Asian American Journal of Psychology, 7</w:t>
      </w:r>
      <w:r w:rsidRPr="00B76CC1">
        <w:t>(4), 287-294.</w:t>
      </w:r>
      <w:r w:rsidRPr="008F7891">
        <w:t xml:space="preserve"> https://doi.org/10.1037/aap0000056</w:t>
      </w:r>
    </w:p>
    <w:p w14:paraId="7770DEEA" w14:textId="77777777" w:rsidR="005958BC" w:rsidRDefault="005958BC" w:rsidP="005958BC">
      <w:pPr>
        <w:pStyle w:val="NormalWeb"/>
        <w:spacing w:line="480" w:lineRule="auto"/>
        <w:ind w:left="540" w:hanging="540"/>
        <w:rPr>
          <w:rStyle w:val="Hyperlink"/>
        </w:rPr>
      </w:pPr>
      <w:r w:rsidRPr="008905D9">
        <w:t xml:space="preserve">Perugini, M., Gallucci, M., &amp; Costantini, G. (2018). A </w:t>
      </w:r>
      <w:r>
        <w:t>p</w:t>
      </w:r>
      <w:r w:rsidRPr="008905D9">
        <w:t xml:space="preserve">ractical </w:t>
      </w:r>
      <w:r>
        <w:t>p</w:t>
      </w:r>
      <w:r w:rsidRPr="008905D9">
        <w:t xml:space="preserve">rimer </w:t>
      </w:r>
      <w:r>
        <w:t>t</w:t>
      </w:r>
      <w:r w:rsidRPr="008905D9">
        <w:t xml:space="preserve">o </w:t>
      </w:r>
      <w:r>
        <w:t>p</w:t>
      </w:r>
      <w:r w:rsidRPr="008905D9">
        <w:t xml:space="preserve">ower </w:t>
      </w:r>
      <w:r>
        <w:t>an</w:t>
      </w:r>
      <w:r w:rsidRPr="008905D9">
        <w:t xml:space="preserve">alysis for </w:t>
      </w:r>
      <w:r>
        <w:t>s</w:t>
      </w:r>
      <w:r w:rsidRPr="008905D9">
        <w:t xml:space="preserve">imple </w:t>
      </w:r>
      <w:r>
        <w:t>e</w:t>
      </w:r>
      <w:r w:rsidRPr="008905D9">
        <w:t xml:space="preserve">xperimental </w:t>
      </w:r>
      <w:r>
        <w:t>d</w:t>
      </w:r>
      <w:r w:rsidRPr="008905D9">
        <w:t>esigns. </w:t>
      </w:r>
      <w:r w:rsidRPr="008905D9">
        <w:rPr>
          <w:i/>
          <w:iCs/>
        </w:rPr>
        <w:t>International Review of Social Psychology</w:t>
      </w:r>
      <w:r w:rsidRPr="008905D9">
        <w:t>, </w:t>
      </w:r>
      <w:r w:rsidRPr="008905D9">
        <w:rPr>
          <w:i/>
          <w:iCs/>
        </w:rPr>
        <w:t>31</w:t>
      </w:r>
      <w:r w:rsidRPr="008905D9">
        <w:t>(1), 20. DOI: </w:t>
      </w:r>
      <w:hyperlink r:id="rId34" w:history="1">
        <w:r w:rsidRPr="008905D9">
          <w:rPr>
            <w:rStyle w:val="Hyperlink"/>
          </w:rPr>
          <w:t>http://doi.org/10.5334/irsp.181</w:t>
        </w:r>
      </w:hyperlink>
    </w:p>
    <w:p w14:paraId="40249C3C" w14:textId="77777777" w:rsidR="005958BC" w:rsidRPr="00101C2F" w:rsidRDefault="005958BC" w:rsidP="005958BC">
      <w:pPr>
        <w:pStyle w:val="NormalWeb"/>
        <w:spacing w:line="480" w:lineRule="auto"/>
        <w:ind w:left="540" w:hanging="540"/>
        <w:rPr>
          <w:rStyle w:val="Hyperlink"/>
        </w:rPr>
      </w:pPr>
      <w:r w:rsidRPr="009B7A07">
        <w:rPr>
          <w:rStyle w:val="Hyperlink"/>
          <w:color w:val="000000" w:themeColor="text1"/>
          <w:u w:val="none"/>
        </w:rPr>
        <w:t>Pettigrew, T.F. (</w:t>
      </w:r>
      <w:r>
        <w:rPr>
          <w:rStyle w:val="Hyperlink"/>
          <w:color w:val="000000" w:themeColor="text1"/>
          <w:u w:val="none"/>
        </w:rPr>
        <w:t>2018</w:t>
      </w:r>
      <w:r w:rsidRPr="009B7A07">
        <w:rPr>
          <w:rStyle w:val="Hyperlink"/>
          <w:color w:val="000000" w:themeColor="text1"/>
          <w:u w:val="none"/>
        </w:rPr>
        <w:t xml:space="preserve">). </w:t>
      </w:r>
      <w:r w:rsidRPr="00A73B5B">
        <w:rPr>
          <w:color w:val="000000" w:themeColor="text1"/>
        </w:rPr>
        <w:t>The emergence of contextual social psychology.</w:t>
      </w:r>
      <w:r>
        <w:rPr>
          <w:color w:val="000000" w:themeColor="text1"/>
        </w:rPr>
        <w:t xml:space="preserve"> </w:t>
      </w:r>
      <w:r w:rsidRPr="00A73B5B">
        <w:rPr>
          <w:i/>
          <w:iCs/>
          <w:color w:val="000000" w:themeColor="text1"/>
        </w:rPr>
        <w:t>Personality and Social Psychology Bulletin, 44</w:t>
      </w:r>
      <w:r w:rsidRPr="00A73B5B">
        <w:rPr>
          <w:color w:val="000000" w:themeColor="text1"/>
        </w:rPr>
        <w:t>(7)</w:t>
      </w:r>
      <w:r>
        <w:rPr>
          <w:color w:val="000000" w:themeColor="text1"/>
        </w:rPr>
        <w:t>,</w:t>
      </w:r>
      <w:r w:rsidRPr="00A73B5B">
        <w:rPr>
          <w:color w:val="000000" w:themeColor="text1"/>
        </w:rPr>
        <w:t xml:space="preserve"> 963–971</w:t>
      </w:r>
      <w:r>
        <w:rPr>
          <w:color w:val="000000" w:themeColor="text1"/>
        </w:rPr>
        <w:t>.</w:t>
      </w:r>
      <w:r w:rsidRPr="00101C2F">
        <w:t xml:space="preserve"> </w:t>
      </w:r>
      <w:hyperlink r:id="rId35" w:history="1">
        <w:r w:rsidRPr="00101C2F">
          <w:rPr>
            <w:rStyle w:val="Hyperlink"/>
          </w:rPr>
          <w:t>10.1177/0146167218756033</w:t>
        </w:r>
      </w:hyperlink>
    </w:p>
    <w:p w14:paraId="578A92EC" w14:textId="77777777" w:rsidR="005958BC" w:rsidRPr="009B7A07" w:rsidRDefault="005958BC" w:rsidP="005958BC">
      <w:pPr>
        <w:pStyle w:val="NormalWeb"/>
        <w:spacing w:line="480" w:lineRule="auto"/>
        <w:ind w:left="540" w:hanging="540"/>
        <w:rPr>
          <w:i/>
          <w:iCs/>
          <w:color w:val="0563C1" w:themeColor="hyperlink"/>
          <w:u w:val="single"/>
        </w:rPr>
      </w:pPr>
      <w:r w:rsidRPr="009B7A07">
        <w:rPr>
          <w:rStyle w:val="Hyperlink"/>
          <w:color w:val="000000" w:themeColor="text1"/>
          <w:u w:val="none"/>
        </w:rPr>
        <w:t xml:space="preserve">Pettigrew, T.F. (1998). Intergroup contact theory. </w:t>
      </w:r>
      <w:r w:rsidRPr="009B7A07">
        <w:rPr>
          <w:rStyle w:val="Hyperlink"/>
          <w:i/>
          <w:iCs/>
          <w:color w:val="000000" w:themeColor="text1"/>
          <w:u w:val="none"/>
        </w:rPr>
        <w:t>Annual Review of Psychology, 49</w:t>
      </w:r>
      <w:r w:rsidRPr="009B7A07">
        <w:rPr>
          <w:rStyle w:val="Hyperlink"/>
          <w:color w:val="000000" w:themeColor="text1"/>
          <w:u w:val="none"/>
        </w:rPr>
        <w:t>, 65-85.</w:t>
      </w:r>
      <w:r w:rsidRPr="009B7A07">
        <w:rPr>
          <w:rStyle w:val="Hyperlink"/>
          <w:i/>
          <w:iCs/>
          <w:color w:val="000000" w:themeColor="text1"/>
          <w:u w:val="none"/>
        </w:rPr>
        <w:t xml:space="preserve">  </w:t>
      </w:r>
      <w:hyperlink r:id="rId36" w:history="1">
        <w:r w:rsidRPr="009B7A07">
          <w:rPr>
            <w:rStyle w:val="Hyperlink"/>
            <w:i/>
            <w:iCs/>
          </w:rPr>
          <w:t>https://doi.org/10.1146/annurev.psych.49.1.65</w:t>
        </w:r>
      </w:hyperlink>
    </w:p>
    <w:p w14:paraId="7A333B80" w14:textId="77777777" w:rsidR="005958BC" w:rsidRPr="00B76CC1" w:rsidRDefault="005958BC" w:rsidP="005958BC">
      <w:pPr>
        <w:pStyle w:val="NormalWeb"/>
        <w:spacing w:line="480" w:lineRule="auto"/>
        <w:ind w:left="540" w:hanging="540"/>
      </w:pPr>
      <w:r w:rsidRPr="00B76CC1">
        <w:t xml:space="preserve">Pettigrew, T.F., &amp; Tropp, L.R. (2006). A </w:t>
      </w:r>
      <w:r>
        <w:t>m</w:t>
      </w:r>
      <w:r w:rsidRPr="00B76CC1">
        <w:t>eta-</w:t>
      </w:r>
      <w:r>
        <w:t>a</w:t>
      </w:r>
      <w:r w:rsidRPr="00B76CC1">
        <w:t xml:space="preserve">nalytic </w:t>
      </w:r>
      <w:r>
        <w:t>t</w:t>
      </w:r>
      <w:r w:rsidRPr="00B76CC1">
        <w:t xml:space="preserve">est of </w:t>
      </w:r>
      <w:r>
        <w:t>i</w:t>
      </w:r>
      <w:r w:rsidRPr="00B76CC1">
        <w:t xml:space="preserve">ntergroup </w:t>
      </w:r>
      <w:r>
        <w:t>c</w:t>
      </w:r>
      <w:r w:rsidRPr="00B76CC1">
        <w:t xml:space="preserve">ontact </w:t>
      </w:r>
      <w:r>
        <w:t>t</w:t>
      </w:r>
      <w:r w:rsidRPr="00B76CC1">
        <w:t xml:space="preserve">heory. </w:t>
      </w:r>
      <w:r w:rsidRPr="00B76CC1">
        <w:rPr>
          <w:i/>
          <w:iCs/>
        </w:rPr>
        <w:t>Journal of Personality and Social Psychology, 90</w:t>
      </w:r>
      <w:r w:rsidRPr="00B76CC1">
        <w:t xml:space="preserve">(5), 751–783. </w:t>
      </w:r>
      <w:hyperlink r:id="rId37" w:tgtFrame="_blank" w:history="1">
        <w:r w:rsidRPr="00B76CC1">
          <w:rPr>
            <w:rStyle w:val="Hyperlink"/>
          </w:rPr>
          <w:t>https://doi.org/10.1037/0022-3514.90.5.751</w:t>
        </w:r>
      </w:hyperlink>
    </w:p>
    <w:p w14:paraId="1A7EA08D" w14:textId="77777777" w:rsidR="005958BC" w:rsidRPr="00B76CC1" w:rsidRDefault="005958BC" w:rsidP="005958BC">
      <w:pPr>
        <w:pStyle w:val="NormalWeb"/>
        <w:spacing w:line="480" w:lineRule="auto"/>
        <w:ind w:left="540" w:hanging="540"/>
      </w:pPr>
      <w:r w:rsidRPr="00B76CC1">
        <w:t xml:space="preserve">Pettigrew, T.F., &amp; Tropp, L.R. (2008). How does intergroup contact reduce prejudice? Meta‐analytic tests of three mediators. </w:t>
      </w:r>
      <w:r w:rsidRPr="00B76CC1">
        <w:rPr>
          <w:i/>
          <w:iCs/>
        </w:rPr>
        <w:t>European Journal of Social Psychology, 38</w:t>
      </w:r>
      <w:r w:rsidRPr="00B76CC1">
        <w:t>(6), 922-934.</w:t>
      </w:r>
      <w:r w:rsidRPr="008F7891">
        <w:t xml:space="preserve"> https://doi.org/10.1002/ejsp.504</w:t>
      </w:r>
    </w:p>
    <w:p w14:paraId="06E20F3A" w14:textId="77777777" w:rsidR="005958BC" w:rsidRDefault="005958BC" w:rsidP="005958BC">
      <w:pPr>
        <w:pStyle w:val="NormalWeb"/>
        <w:spacing w:line="480" w:lineRule="auto"/>
        <w:ind w:left="540" w:hanging="540"/>
      </w:pPr>
      <w:r w:rsidRPr="00B662B9">
        <w:t>Pettigrew, T. F., &amp; Tropp, L. R. (2011). </w:t>
      </w:r>
      <w:r>
        <w:rPr>
          <w:i/>
          <w:iCs/>
        </w:rPr>
        <w:t xml:space="preserve"> </w:t>
      </w:r>
      <w:r w:rsidRPr="00B662B9">
        <w:rPr>
          <w:i/>
          <w:iCs/>
        </w:rPr>
        <w:t>When groups meet: The dynamics of intergroup contact. </w:t>
      </w:r>
      <w:r w:rsidRPr="00B662B9">
        <w:t>Psychology Press.</w:t>
      </w:r>
    </w:p>
    <w:p w14:paraId="296EDAEB" w14:textId="77777777" w:rsidR="005958BC" w:rsidRPr="00B76CC1" w:rsidRDefault="005958BC" w:rsidP="005958BC">
      <w:pPr>
        <w:pStyle w:val="NormalWeb"/>
        <w:spacing w:line="480" w:lineRule="auto"/>
        <w:ind w:left="540" w:hanging="540"/>
        <w:rPr>
          <w:b/>
          <w:bCs/>
        </w:rPr>
      </w:pPr>
      <w:r w:rsidRPr="00B76CC1">
        <w:lastRenderedPageBreak/>
        <w:t>Pettigrew, T.</w:t>
      </w:r>
      <w:r>
        <w:t xml:space="preserve"> </w:t>
      </w:r>
      <w:r w:rsidRPr="00B76CC1">
        <w:t>F</w:t>
      </w:r>
      <w:r>
        <w:t>.</w:t>
      </w:r>
      <w:r w:rsidRPr="00B76CC1">
        <w:t xml:space="preserve">, Wagner, U., &amp; Christ, O. (2010). Population </w:t>
      </w:r>
      <w:r>
        <w:t>r</w:t>
      </w:r>
      <w:r w:rsidRPr="00B76CC1">
        <w:t xml:space="preserve">atios and </w:t>
      </w:r>
      <w:r>
        <w:t>p</w:t>
      </w:r>
      <w:r w:rsidRPr="00B76CC1">
        <w:t xml:space="preserve">rejudice: Modeling </w:t>
      </w:r>
      <w:r>
        <w:t>b</w:t>
      </w:r>
      <w:r w:rsidRPr="00B76CC1">
        <w:t xml:space="preserve">oth </w:t>
      </w:r>
      <w:r>
        <w:t>c</w:t>
      </w:r>
      <w:r w:rsidRPr="00B76CC1">
        <w:t xml:space="preserve">ontact and </w:t>
      </w:r>
      <w:r>
        <w:t>t</w:t>
      </w:r>
      <w:r w:rsidRPr="00B76CC1">
        <w:t xml:space="preserve">hreat </w:t>
      </w:r>
      <w:r>
        <w:t>e</w:t>
      </w:r>
      <w:r w:rsidRPr="00B76CC1">
        <w:t xml:space="preserve">ffects. </w:t>
      </w:r>
      <w:r w:rsidRPr="00B76CC1">
        <w:rPr>
          <w:i/>
          <w:iCs/>
        </w:rPr>
        <w:t>Journal of Ethnic and Migration Studies, 36</w:t>
      </w:r>
      <w:r w:rsidRPr="00B76CC1">
        <w:t>(4), 635–50.</w:t>
      </w:r>
      <w:r w:rsidRPr="00B76CC1">
        <w:rPr>
          <w:rFonts w:ascii="Arial" w:hAnsi="Arial" w:cs="Arial"/>
          <w:color w:val="333333"/>
          <w:sz w:val="20"/>
          <w:szCs w:val="20"/>
        </w:rPr>
        <w:t xml:space="preserve"> </w:t>
      </w:r>
      <w:hyperlink r:id="rId38" w:history="1">
        <w:r w:rsidRPr="00B76CC1">
          <w:rPr>
            <w:rStyle w:val="Hyperlink"/>
          </w:rPr>
          <w:t>ttps://doi.org/10.1080/13691830903516034</w:t>
        </w:r>
      </w:hyperlink>
    </w:p>
    <w:p w14:paraId="1CD141B7" w14:textId="77777777" w:rsidR="005958BC" w:rsidRPr="00B76CC1" w:rsidRDefault="005958BC" w:rsidP="005958BC">
      <w:pPr>
        <w:spacing w:line="480" w:lineRule="auto"/>
        <w:ind w:left="540" w:hanging="540"/>
        <w:rPr>
          <w:color w:val="222222"/>
          <w:shd w:val="clear" w:color="auto" w:fill="FFFFFF"/>
        </w:rPr>
      </w:pPr>
      <w:r w:rsidRPr="00B76CC1">
        <w:rPr>
          <w:color w:val="222222"/>
          <w:shd w:val="clear" w:color="auto" w:fill="FFFFFF"/>
        </w:rPr>
        <w:t>Prati, G., &amp; Pietrantoni, L. (2016). Knowledge, risk perceptions, and xenophobic attitudes: Evidence from Italy during the Ebola outbreak.</w:t>
      </w:r>
      <w:r w:rsidRPr="00B76CC1">
        <w:rPr>
          <w:rStyle w:val="apple-converted-space"/>
          <w:color w:val="222222"/>
          <w:shd w:val="clear" w:color="auto" w:fill="FFFFFF"/>
        </w:rPr>
        <w:t> </w:t>
      </w:r>
      <w:r w:rsidRPr="00B76CC1">
        <w:rPr>
          <w:i/>
          <w:iCs/>
          <w:color w:val="222222"/>
        </w:rPr>
        <w:t>Risk Analysis</w:t>
      </w:r>
      <w:r w:rsidRPr="00B76CC1">
        <w:rPr>
          <w:color w:val="222222"/>
          <w:shd w:val="clear" w:color="auto" w:fill="FFFFFF"/>
        </w:rPr>
        <w:t>,</w:t>
      </w:r>
      <w:r w:rsidRPr="00B76CC1">
        <w:rPr>
          <w:rStyle w:val="apple-converted-space"/>
          <w:color w:val="222222"/>
          <w:shd w:val="clear" w:color="auto" w:fill="FFFFFF"/>
        </w:rPr>
        <w:t> </w:t>
      </w:r>
      <w:r w:rsidRPr="00B76CC1">
        <w:rPr>
          <w:i/>
          <w:iCs/>
          <w:color w:val="222222"/>
        </w:rPr>
        <w:t>36</w:t>
      </w:r>
      <w:r w:rsidRPr="00B76CC1">
        <w:rPr>
          <w:color w:val="222222"/>
          <w:shd w:val="clear" w:color="auto" w:fill="FFFFFF"/>
        </w:rPr>
        <w:t>(10), 2000-2010. doi: 10.1111/risa.12537</w:t>
      </w:r>
    </w:p>
    <w:p w14:paraId="22D2C2E1" w14:textId="77777777" w:rsidR="005958BC" w:rsidRDefault="005958BC" w:rsidP="005958BC">
      <w:pPr>
        <w:pStyle w:val="NormalWeb"/>
        <w:spacing w:line="480" w:lineRule="auto"/>
        <w:ind w:left="540" w:hanging="540"/>
        <w:rPr>
          <w:rStyle w:val="Hyperlink"/>
        </w:rPr>
      </w:pPr>
      <w:r w:rsidRPr="00B76CC1">
        <w:t xml:space="preserve">Quillian, L. (1995). Prejudice as a response to perceived group threat: Population composition and anti-immigrant and racial prejudice in Europe. </w:t>
      </w:r>
      <w:r w:rsidRPr="00B76CC1">
        <w:rPr>
          <w:i/>
          <w:iCs/>
        </w:rPr>
        <w:t>American Sociological Review, 60</w:t>
      </w:r>
      <w:r w:rsidRPr="00B76CC1">
        <w:t xml:space="preserve">(4), 586–611. </w:t>
      </w:r>
      <w:hyperlink r:id="rId39" w:history="1">
        <w:r w:rsidRPr="00B76CC1">
          <w:rPr>
            <w:rStyle w:val="Hyperlink"/>
          </w:rPr>
          <w:t>https://doi.org/10.2307/2096296</w:t>
        </w:r>
      </w:hyperlink>
    </w:p>
    <w:p w14:paraId="0A8AEA76" w14:textId="77777777" w:rsidR="005958BC" w:rsidRPr="00573031" w:rsidRDefault="005958BC" w:rsidP="005958BC">
      <w:pPr>
        <w:pStyle w:val="NormalWeb"/>
        <w:spacing w:line="480" w:lineRule="auto"/>
        <w:ind w:left="540" w:hanging="540"/>
        <w:rPr>
          <w:rStyle w:val="Hyperlink"/>
        </w:rPr>
      </w:pPr>
      <w:r>
        <w:rPr>
          <w:rStyle w:val="Hyperlink"/>
          <w:color w:val="000000" w:themeColor="text1"/>
          <w:u w:val="none"/>
        </w:rPr>
        <w:t xml:space="preserve">Quillian, L. &amp; Pager, D. (2001). Black neighbors, higher crime? The role of racial stereotypes in evaluations of neighborhood crime. </w:t>
      </w:r>
      <w:r>
        <w:rPr>
          <w:rStyle w:val="Hyperlink"/>
          <w:i/>
          <w:iCs/>
          <w:color w:val="000000" w:themeColor="text1"/>
          <w:u w:val="none"/>
        </w:rPr>
        <w:t>American Journal of Sociology, 107</w:t>
      </w:r>
      <w:r>
        <w:rPr>
          <w:rStyle w:val="Hyperlink"/>
          <w:color w:val="000000" w:themeColor="text1"/>
          <w:u w:val="none"/>
        </w:rPr>
        <w:t xml:space="preserve">(3), 717-767. </w:t>
      </w:r>
      <w:hyperlink r:id="rId40" w:history="1">
        <w:r w:rsidRPr="00573031">
          <w:rPr>
            <w:rStyle w:val="Hyperlink"/>
          </w:rPr>
          <w:t>10.1086/338938</w:t>
        </w:r>
      </w:hyperlink>
    </w:p>
    <w:p w14:paraId="0E51779A" w14:textId="77777777" w:rsidR="005958BC" w:rsidRPr="00B76CC1" w:rsidRDefault="005958BC" w:rsidP="005958BC">
      <w:pPr>
        <w:pStyle w:val="NormalWeb"/>
        <w:spacing w:line="480" w:lineRule="auto"/>
        <w:ind w:left="540" w:hanging="540"/>
        <w:rPr>
          <w:rStyle w:val="Hyperlink"/>
        </w:rPr>
      </w:pPr>
      <w:r w:rsidRPr="00B76CC1">
        <w:rPr>
          <w:rStyle w:val="Hyperlink"/>
          <w:color w:val="000000" w:themeColor="text1"/>
          <w:u w:val="none"/>
        </w:rPr>
        <w:t>R Core Team (2020). R: A language and environment for statistical computing. R Foundation for Statistical Computing, Vienna, Austria.</w:t>
      </w:r>
      <w:r w:rsidRPr="00B76CC1">
        <w:rPr>
          <w:rStyle w:val="Hyperlink"/>
          <w:color w:val="000000" w:themeColor="text1"/>
        </w:rPr>
        <w:t xml:space="preserve"> </w:t>
      </w:r>
      <w:hyperlink r:id="rId41" w:history="1">
        <w:r w:rsidRPr="00B76CC1">
          <w:rPr>
            <w:rStyle w:val="Hyperlink"/>
          </w:rPr>
          <w:t>https://www.R-project.org/</w:t>
        </w:r>
      </w:hyperlink>
      <w:r w:rsidRPr="00B76CC1">
        <w:rPr>
          <w:rStyle w:val="Hyperlink"/>
        </w:rPr>
        <w:t>.</w:t>
      </w:r>
    </w:p>
    <w:p w14:paraId="66661467" w14:textId="77777777" w:rsidR="005958BC" w:rsidRPr="00B76CC1" w:rsidRDefault="005958BC" w:rsidP="005958BC">
      <w:pPr>
        <w:pStyle w:val="NormalWeb"/>
        <w:spacing w:line="480" w:lineRule="auto"/>
        <w:ind w:left="540" w:hanging="540"/>
        <w:rPr>
          <w:color w:val="0563C1" w:themeColor="hyperlink"/>
          <w:u w:val="single"/>
        </w:rPr>
      </w:pPr>
      <w:r w:rsidRPr="00B76CC1">
        <w:rPr>
          <w:color w:val="000000" w:themeColor="text1"/>
          <w:shd w:val="clear" w:color="auto" w:fill="FFFFFF"/>
        </w:rPr>
        <w:t>Reny, T. T., &amp; Barreto, M. A. (2020). Xenophobia in the time of pandemic: othering, anti-Asian attitudes, and COVID-19.</w:t>
      </w:r>
      <w:r w:rsidRPr="00B76CC1">
        <w:rPr>
          <w:rStyle w:val="apple-converted-space"/>
          <w:color w:val="000000" w:themeColor="text1"/>
          <w:shd w:val="clear" w:color="auto" w:fill="FFFFFF"/>
        </w:rPr>
        <w:t> </w:t>
      </w:r>
      <w:r w:rsidRPr="00B76CC1">
        <w:rPr>
          <w:i/>
          <w:iCs/>
          <w:color w:val="000000" w:themeColor="text1"/>
        </w:rPr>
        <w:t>Politics, Groups, and Identities</w:t>
      </w:r>
      <w:r w:rsidRPr="00B76CC1">
        <w:rPr>
          <w:color w:val="000000" w:themeColor="text1"/>
          <w:shd w:val="clear" w:color="auto" w:fill="FFFFFF"/>
        </w:rPr>
        <w:t xml:space="preserve">, 1-24. </w:t>
      </w:r>
      <w:hyperlink r:id="rId42" w:history="1">
        <w:r w:rsidRPr="00B76CC1">
          <w:rPr>
            <w:rStyle w:val="Hyperlink"/>
            <w:shd w:val="clear" w:color="auto" w:fill="FFFFFF"/>
          </w:rPr>
          <w:t>https://doi.org/10.1080/21565503.2020.1769693</w:t>
        </w:r>
      </w:hyperlink>
    </w:p>
    <w:p w14:paraId="75299BDD" w14:textId="77777777" w:rsidR="005958BC" w:rsidRPr="00B76CC1" w:rsidRDefault="005958BC" w:rsidP="005958BC">
      <w:pPr>
        <w:pStyle w:val="NormalWeb"/>
        <w:spacing w:line="480" w:lineRule="auto"/>
        <w:ind w:left="540" w:hanging="540"/>
      </w:pPr>
      <w:r w:rsidRPr="00B76CC1">
        <w:t>Rizzo, M. T., Britton, T. C., Jamieson, K. M. L., &amp; Rhodes, M. (2020). A simplified tool for identifying social inequalities using US census data. </w:t>
      </w:r>
      <w:r w:rsidRPr="00B76CC1">
        <w:rPr>
          <w:i/>
          <w:iCs/>
        </w:rPr>
        <w:t>Manuscript in preparation, New York University.</w:t>
      </w:r>
      <w:r w:rsidRPr="00B76CC1">
        <w:t> </w:t>
      </w:r>
      <w:hyperlink r:id="rId43" w:tgtFrame="_blank" w:history="1">
        <w:r w:rsidRPr="00B76CC1">
          <w:rPr>
            <w:rStyle w:val="Hyperlink"/>
          </w:rPr>
          <w:t>https://osf.io/2uyr6/</w:t>
        </w:r>
      </w:hyperlink>
    </w:p>
    <w:p w14:paraId="584D756E" w14:textId="77777777" w:rsidR="005958BC" w:rsidRPr="00B76CC1" w:rsidRDefault="005958BC" w:rsidP="005958BC">
      <w:pPr>
        <w:pStyle w:val="NormalWeb"/>
        <w:spacing w:line="480" w:lineRule="auto"/>
        <w:ind w:left="540" w:hanging="540"/>
        <w:rPr>
          <w:rStyle w:val="Hyperlink"/>
        </w:rPr>
      </w:pPr>
      <w:r w:rsidRPr="00B76CC1">
        <w:lastRenderedPageBreak/>
        <w:t xml:space="preserve">Rosenfeld, D. L., Balcetis, E., Bastian, B., Berkman, E., Bosson, J., Brannon, T., Burrow, A. L., Cameron, D., Chen, S., Cook, J. E., Crandall, C., Davidai, S., Dhont, K., Eastwick, P., Gaither, S., Gangestad, S., Gilovich, T., Gray, K., Haines, E. L., … Tomiyama, A. J. (2020). </w:t>
      </w:r>
      <w:r w:rsidRPr="00B76CC1">
        <w:rPr>
          <w:i/>
          <w:iCs/>
        </w:rPr>
        <w:t>Conducting Social Psychological Research in the Wake of COVID-19</w:t>
      </w:r>
      <w:r w:rsidRPr="00B76CC1">
        <w:t xml:space="preserve"> [Preprint]. PsyArXiv. </w:t>
      </w:r>
      <w:hyperlink r:id="rId44" w:history="1">
        <w:r w:rsidRPr="00B76CC1">
          <w:rPr>
            <w:rStyle w:val="Hyperlink"/>
          </w:rPr>
          <w:t>https://doi.org/10.31234/osf.io/6gjfm</w:t>
        </w:r>
      </w:hyperlink>
    </w:p>
    <w:p w14:paraId="2E9ED873" w14:textId="77777777" w:rsidR="005958BC" w:rsidRPr="00B76CC1" w:rsidRDefault="005958BC" w:rsidP="005958BC">
      <w:pPr>
        <w:pStyle w:val="NormalWeb"/>
        <w:spacing w:line="480" w:lineRule="auto"/>
        <w:ind w:left="540" w:hanging="540"/>
      </w:pPr>
      <w:r w:rsidRPr="00B76CC1">
        <w:t xml:space="preserve">Ruiz, N. G., Horowitz, J. M., &amp; Tamir, C. (2020, July 9). </w:t>
      </w:r>
      <w:r w:rsidRPr="00B76CC1">
        <w:rPr>
          <w:i/>
          <w:iCs/>
        </w:rPr>
        <w:t>Many Black, Asian Americans Say They Have Experienced Discrimination Amid Coronavirus</w:t>
      </w:r>
      <w:r w:rsidRPr="00B76CC1">
        <w:t xml:space="preserve">. Pew Research Center's Social &amp; Demographic Trends Project. </w:t>
      </w:r>
      <w:hyperlink r:id="rId45" w:history="1">
        <w:r w:rsidRPr="00B76CC1">
          <w:rPr>
            <w:rStyle w:val="Hyperlink"/>
          </w:rPr>
          <w:t>https://www.pewsocialtrends.org/2020/07/01/many-black-and-asian-americans-say-they-have-experienced-discrimination-amid-the-covid-19-outbreak/</w:t>
        </w:r>
      </w:hyperlink>
      <w:r w:rsidRPr="00B76CC1">
        <w:t>.</w:t>
      </w:r>
    </w:p>
    <w:p w14:paraId="1EE2854D" w14:textId="77777777" w:rsidR="005958BC" w:rsidRPr="00292487" w:rsidRDefault="005958BC" w:rsidP="005958BC">
      <w:pPr>
        <w:pStyle w:val="NormalWeb"/>
        <w:spacing w:line="480" w:lineRule="auto"/>
        <w:ind w:left="540" w:hanging="540"/>
        <w:rPr>
          <w:rStyle w:val="Hyperlink"/>
          <w:color w:val="auto"/>
          <w:u w:val="none"/>
        </w:rPr>
      </w:pPr>
      <w:r w:rsidRPr="00292487">
        <w:t>Sawada, N., Auger, E., &amp; Lydon, J.E. (20</w:t>
      </w:r>
      <w:r>
        <w:t xml:space="preserve">17). Activation of the behavioral immune system: Putting the brakes on affiliation. </w:t>
      </w:r>
      <w:r>
        <w:rPr>
          <w:i/>
          <w:iCs/>
        </w:rPr>
        <w:t>Personality and Social Psychology Bulletin, 44</w:t>
      </w:r>
      <w:r>
        <w:t xml:space="preserve">(2), 224-237. </w:t>
      </w:r>
      <w:r w:rsidRPr="00292487">
        <w:t>https://doi.org/10.1177/0146167217736046</w:t>
      </w:r>
    </w:p>
    <w:p w14:paraId="7320A66C" w14:textId="77777777" w:rsidR="005958BC" w:rsidRPr="00B76CC1" w:rsidRDefault="005958BC" w:rsidP="005958BC">
      <w:pPr>
        <w:pStyle w:val="NormalWeb"/>
        <w:spacing w:line="480" w:lineRule="auto"/>
        <w:ind w:left="540" w:hanging="540"/>
        <w:rPr>
          <w:rStyle w:val="Hyperlink"/>
          <w:color w:val="000000" w:themeColor="text1"/>
          <w:u w:val="none"/>
        </w:rPr>
      </w:pPr>
      <w:r w:rsidRPr="00B76CC1">
        <w:rPr>
          <w:rStyle w:val="Hyperlink"/>
          <w:color w:val="000000" w:themeColor="text1"/>
          <w:u w:val="none"/>
        </w:rPr>
        <w:t xml:space="preserve">Schaller, M., &amp; Duncan, L. A. (2007). The behavioral immune system: Its evolution and social psychological implications. In J. P. Forgas, M. G. Haselton, &amp; W. von Hippel (Eds.), </w:t>
      </w:r>
      <w:r w:rsidRPr="00B76CC1">
        <w:rPr>
          <w:rStyle w:val="Hyperlink"/>
          <w:i/>
          <w:iCs/>
          <w:color w:val="000000" w:themeColor="text1"/>
          <w:u w:val="none"/>
        </w:rPr>
        <w:t>Evolution and the social mind: Evolutionary psychology and social cognition</w:t>
      </w:r>
      <w:r w:rsidRPr="00B76CC1">
        <w:rPr>
          <w:rStyle w:val="Hyperlink"/>
          <w:color w:val="000000" w:themeColor="text1"/>
          <w:u w:val="none"/>
        </w:rPr>
        <w:t xml:space="preserve"> (pp. 293–307). New York: Psychology Press.</w:t>
      </w:r>
    </w:p>
    <w:p w14:paraId="469D7A11" w14:textId="77777777" w:rsidR="005958BC" w:rsidRPr="00B76CC1" w:rsidRDefault="005958BC" w:rsidP="005958BC">
      <w:pPr>
        <w:pStyle w:val="NormalWeb"/>
        <w:spacing w:line="480" w:lineRule="auto"/>
        <w:ind w:left="540" w:hanging="540"/>
        <w:rPr>
          <w:rStyle w:val="Hyperlink"/>
        </w:rPr>
      </w:pPr>
      <w:r w:rsidRPr="00B76CC1">
        <w:t xml:space="preserve">Schaller, M., &amp; Neuberg, S. L. (2012). Danger, Disease, and the Nature of Prejudice(s). In </w:t>
      </w:r>
      <w:r w:rsidRPr="00B76CC1">
        <w:rPr>
          <w:i/>
          <w:iCs/>
        </w:rPr>
        <w:t>Advances in Experimental Social Psychology</w:t>
      </w:r>
      <w:r w:rsidRPr="00B76CC1">
        <w:t xml:space="preserve"> (Vol. 46, pp. 1–54). Elsevier. </w:t>
      </w:r>
      <w:hyperlink r:id="rId46" w:history="1">
        <w:r w:rsidRPr="00B76CC1">
          <w:rPr>
            <w:rStyle w:val="Hyperlink"/>
          </w:rPr>
          <w:t>https://doi.org/10.1016/B978-0-12-394281-4.00001-5</w:t>
        </w:r>
      </w:hyperlink>
    </w:p>
    <w:p w14:paraId="2260A955" w14:textId="77777777" w:rsidR="005958BC" w:rsidRPr="00B76CC1" w:rsidRDefault="005958BC" w:rsidP="005958BC">
      <w:pPr>
        <w:pStyle w:val="NormalWeb"/>
        <w:spacing w:line="480" w:lineRule="auto"/>
        <w:ind w:left="540" w:hanging="540"/>
        <w:rPr>
          <w:rStyle w:val="Hyperlink"/>
        </w:rPr>
      </w:pPr>
      <w:r w:rsidRPr="00B76CC1">
        <w:rPr>
          <w:rStyle w:val="Hyperlink"/>
          <w:color w:val="000000" w:themeColor="text1"/>
          <w:u w:val="none"/>
        </w:rPr>
        <w:lastRenderedPageBreak/>
        <w:t>Schaller, M., &amp; Park, J. H. (2011). The behavioral immune system (and why it matters).</w:t>
      </w:r>
      <w:r w:rsidRPr="00B76CC1">
        <w:rPr>
          <w:rStyle w:val="Hyperlink"/>
          <w:i/>
          <w:iCs/>
          <w:color w:val="000000" w:themeColor="text1"/>
          <w:u w:val="none"/>
        </w:rPr>
        <w:t xml:space="preserve"> Current Directions in Psychological Science</w:t>
      </w:r>
      <w:r w:rsidRPr="00B76CC1">
        <w:rPr>
          <w:rStyle w:val="Hyperlink"/>
          <w:color w:val="000000" w:themeColor="text1"/>
          <w:u w:val="none"/>
        </w:rPr>
        <w:t xml:space="preserve">, 20, 99–103. </w:t>
      </w:r>
      <w:hyperlink r:id="rId47" w:history="1">
        <w:r w:rsidRPr="00B76CC1">
          <w:rPr>
            <w:rStyle w:val="Hyperlink"/>
          </w:rPr>
          <w:t>https://doi.org/10.1177/0963721411402596</w:t>
        </w:r>
      </w:hyperlink>
    </w:p>
    <w:p w14:paraId="714CDC78" w14:textId="77777777" w:rsidR="005958BC" w:rsidRPr="00B76CC1" w:rsidRDefault="005958BC" w:rsidP="005958BC">
      <w:pPr>
        <w:pStyle w:val="NormalWeb"/>
        <w:spacing w:line="480" w:lineRule="auto"/>
        <w:ind w:left="540" w:hanging="540"/>
        <w:rPr>
          <w:color w:val="0563C1" w:themeColor="hyperlink"/>
          <w:u w:val="single"/>
        </w:rPr>
      </w:pPr>
      <w:r w:rsidRPr="00B76CC1">
        <w:t>Schlueter, E., &amp; Scheepers, P. (2010). The relationship between outgroup size and anti-outgroup attitudes: A theoretical synthesis and empirical test of group threat- and intergroup contact theory Social Science Research, 39(2), 285-295.</w:t>
      </w:r>
      <w:r w:rsidRPr="00B76CC1">
        <w:rPr>
          <w:color w:val="0563C1" w:themeColor="hyperlink"/>
          <w:u w:val="single"/>
        </w:rPr>
        <w:t xml:space="preserve"> </w:t>
      </w:r>
      <w:hyperlink r:id="rId48" w:tgtFrame="_blank" w:tooltip="Persistent link using digital object identifier" w:history="1">
        <w:r w:rsidRPr="00B76CC1">
          <w:rPr>
            <w:rStyle w:val="Hyperlink"/>
          </w:rPr>
          <w:t>https://doi.org/10.1016/j.ssresearch.2009.07.006</w:t>
        </w:r>
      </w:hyperlink>
    </w:p>
    <w:p w14:paraId="2CB2E972" w14:textId="77777777" w:rsidR="005958BC" w:rsidRPr="00B76CC1" w:rsidRDefault="005958BC" w:rsidP="005958BC">
      <w:pPr>
        <w:pStyle w:val="NormalWeb"/>
        <w:spacing w:line="480" w:lineRule="auto"/>
        <w:ind w:left="540" w:hanging="540"/>
        <w:rPr>
          <w:color w:val="000000" w:themeColor="text1"/>
        </w:rPr>
      </w:pPr>
      <w:r w:rsidRPr="00B76CC1">
        <w:rPr>
          <w:rStyle w:val="Hyperlink"/>
          <w:color w:val="000000" w:themeColor="text1"/>
          <w:u w:val="none"/>
        </w:rPr>
        <w:t xml:space="preserve">Setbon, M., &amp; Raude, J. (2009). Population response to the risk of vector-borne diseases: Lessons learned from socio-behavioural research during large-scale outbreaks. </w:t>
      </w:r>
      <w:r w:rsidRPr="00B76CC1">
        <w:rPr>
          <w:rStyle w:val="Hyperlink"/>
          <w:i/>
          <w:iCs/>
          <w:color w:val="000000" w:themeColor="text1"/>
          <w:u w:val="none"/>
        </w:rPr>
        <w:t>Emerging Health Threats Journal, 2</w:t>
      </w:r>
      <w:r w:rsidRPr="00B76CC1">
        <w:rPr>
          <w:rStyle w:val="Hyperlink"/>
          <w:color w:val="000000" w:themeColor="text1"/>
          <w:u w:val="none"/>
        </w:rPr>
        <w:t xml:space="preserve">(6), </w:t>
      </w:r>
      <w:r w:rsidRPr="00B76CC1">
        <w:rPr>
          <w:color w:val="000000" w:themeColor="text1"/>
        </w:rPr>
        <w:t>7083. 10.3402/</w:t>
      </w:r>
      <w:proofErr w:type="gramStart"/>
      <w:r w:rsidRPr="00B76CC1">
        <w:rPr>
          <w:color w:val="000000" w:themeColor="text1"/>
        </w:rPr>
        <w:t>ehtj.v</w:t>
      </w:r>
      <w:proofErr w:type="gramEnd"/>
      <w:r w:rsidRPr="00B76CC1">
        <w:rPr>
          <w:color w:val="000000" w:themeColor="text1"/>
        </w:rPr>
        <w:t>2i0.7083</w:t>
      </w:r>
    </w:p>
    <w:p w14:paraId="66B28C02" w14:textId="77777777" w:rsidR="005958BC" w:rsidRPr="00B76CC1" w:rsidRDefault="005958BC" w:rsidP="005958BC">
      <w:pPr>
        <w:pStyle w:val="NormalWeb"/>
        <w:spacing w:line="480" w:lineRule="auto"/>
        <w:ind w:left="540" w:hanging="540"/>
        <w:rPr>
          <w:color w:val="000000" w:themeColor="text1"/>
        </w:rPr>
      </w:pPr>
      <w:r w:rsidRPr="00B76CC1">
        <w:rPr>
          <w:color w:val="000000" w:themeColor="text1"/>
        </w:rPr>
        <w:t>Semyonov, M., Raijman, R., &amp; Gorodzeisky, A. (2008). Foreigners' Impact on European Societies: Public Views and Perceptions in a Cross-National Comparative Perspective. International Journal of Comparative Sociology, 49(1), 5-29. https://doi.org/10.1177/0020715207088585</w:t>
      </w:r>
    </w:p>
    <w:p w14:paraId="6AB22182" w14:textId="77777777" w:rsidR="005958BC" w:rsidRDefault="005958BC" w:rsidP="005958BC">
      <w:pPr>
        <w:pStyle w:val="NormalWeb"/>
        <w:spacing w:line="480" w:lineRule="auto"/>
        <w:ind w:left="540" w:hanging="540"/>
        <w:rPr>
          <w:color w:val="000000" w:themeColor="text1"/>
        </w:rPr>
      </w:pPr>
      <w:r w:rsidRPr="00B76CC1">
        <w:rPr>
          <w:color w:val="000000" w:themeColor="text1"/>
        </w:rPr>
        <w:t>Semyonov, M., Raijman, R., Yom-Tov, A., &amp; Schmidt, P. (2004). Population size, perceived threat, and exclusion: A multiple-indicators analysis of attitudes toward foreigners in Germany</w:t>
      </w:r>
      <w:r w:rsidRPr="00B76CC1">
        <w:rPr>
          <w:i/>
          <w:iCs/>
          <w:color w:val="000000" w:themeColor="text1"/>
        </w:rPr>
        <w:t>. Social Science Research, 33</w:t>
      </w:r>
      <w:r w:rsidRPr="00B76CC1">
        <w:rPr>
          <w:color w:val="000000" w:themeColor="text1"/>
        </w:rPr>
        <w:t>, 681-701.</w:t>
      </w:r>
      <w:r>
        <w:rPr>
          <w:color w:val="000000" w:themeColor="text1"/>
        </w:rPr>
        <w:t xml:space="preserve"> </w:t>
      </w:r>
      <w:hyperlink r:id="rId49" w:history="1">
        <w:r w:rsidRPr="005A5E7A">
          <w:rPr>
            <w:rStyle w:val="Hyperlink"/>
          </w:rPr>
          <w:t>https://doi.org/10.1016/j.ssresearch.2003.11.003</w:t>
        </w:r>
      </w:hyperlink>
    </w:p>
    <w:p w14:paraId="4EBC70EF" w14:textId="77777777" w:rsidR="005958BC" w:rsidRDefault="005958BC" w:rsidP="005958BC">
      <w:pPr>
        <w:pStyle w:val="NormalWeb"/>
        <w:spacing w:line="480" w:lineRule="auto"/>
        <w:ind w:left="540" w:hanging="540"/>
        <w:rPr>
          <w:rStyle w:val="Hyperlink"/>
          <w:color w:val="auto"/>
          <w:u w:val="none"/>
        </w:rPr>
      </w:pPr>
      <w:r>
        <w:t>Stein, R</w:t>
      </w:r>
      <w:r w:rsidRPr="00B76CC1">
        <w:t>. (202</w:t>
      </w:r>
      <w:r>
        <w:t>1, June 22</w:t>
      </w:r>
      <w:r w:rsidRPr="00B76CC1">
        <w:t xml:space="preserve">). </w:t>
      </w:r>
      <w:r>
        <w:rPr>
          <w:i/>
          <w:iCs/>
        </w:rPr>
        <w:t>Fauci warns dangerous Delta variant is the greatest threat to U.S. COVID efforts</w:t>
      </w:r>
      <w:r w:rsidRPr="00B76CC1">
        <w:t xml:space="preserve">. </w:t>
      </w:r>
      <w:hyperlink r:id="rId50" w:history="1">
        <w:r w:rsidRPr="005A5E7A">
          <w:rPr>
            <w:rStyle w:val="Hyperlink"/>
          </w:rPr>
          <w:t>https://www.npr.org/sections/health-shots/2021/06/22/1008859705/delta-variant-coronavirus-unvaccinated-u-s-covid-surge</w:t>
        </w:r>
      </w:hyperlink>
    </w:p>
    <w:p w14:paraId="2E457291" w14:textId="77777777" w:rsidR="005958BC" w:rsidRPr="00B76CC1" w:rsidRDefault="005958BC" w:rsidP="005958BC">
      <w:pPr>
        <w:pStyle w:val="NormalWeb"/>
        <w:spacing w:line="480" w:lineRule="auto"/>
        <w:ind w:left="540" w:hanging="540"/>
      </w:pPr>
      <w:r w:rsidRPr="00B76CC1">
        <w:lastRenderedPageBreak/>
        <w:t>Stephan, W. G., Ybarra, O., &amp; Morrison, K. R. (2009). </w:t>
      </w:r>
      <w:r w:rsidRPr="00B76CC1">
        <w:rPr>
          <w:rStyle w:val="Emphasis"/>
        </w:rPr>
        <w:t>Intergroup threat theory.</w:t>
      </w:r>
      <w:r w:rsidRPr="00B76CC1">
        <w:t> In T. D. Nelson (Ed.), </w:t>
      </w:r>
      <w:r w:rsidRPr="00B76CC1">
        <w:rPr>
          <w:rStyle w:val="Emphasis"/>
        </w:rPr>
        <w:t>Handbook of prejudice, stereotyping, and discrimination</w:t>
      </w:r>
      <w:r w:rsidRPr="00B76CC1">
        <w:t> (p. 43–59). Psychology Press.</w:t>
      </w:r>
    </w:p>
    <w:p w14:paraId="3948F42D" w14:textId="77777777" w:rsidR="005958BC" w:rsidRPr="00B76CC1" w:rsidRDefault="005958BC" w:rsidP="005958BC">
      <w:pPr>
        <w:pStyle w:val="NormalWeb"/>
        <w:spacing w:line="480" w:lineRule="auto"/>
        <w:ind w:left="540" w:hanging="540"/>
      </w:pPr>
      <w:r w:rsidRPr="00B76CC1">
        <w:t xml:space="preserve">Stephan, W. G., Renfro, C. L., &amp; Davis, M. D. (2008). </w:t>
      </w:r>
      <w:r w:rsidRPr="00B76CC1">
        <w:rPr>
          <w:i/>
          <w:iCs/>
        </w:rPr>
        <w:t>The role of threat in intergroup relations.</w:t>
      </w:r>
      <w:r w:rsidRPr="00B76CC1">
        <w:t xml:space="preserve"> In U. Wagner, L. R. Tropp, G. Finchilescu, &amp; C. Tredoux (Eds.), </w:t>
      </w:r>
      <w:r w:rsidRPr="00B76CC1">
        <w:rPr>
          <w:i/>
          <w:iCs/>
        </w:rPr>
        <w:t xml:space="preserve">Social issues and interventions. Improving intergroup relations: Building on the legacy of Thomas F. Pettigrew </w:t>
      </w:r>
      <w:r w:rsidRPr="00B76CC1">
        <w:t xml:space="preserve">(p. 55–72). Blackwell Publishing. </w:t>
      </w:r>
      <w:hyperlink r:id="rId51" w:history="1">
        <w:r w:rsidRPr="00B76CC1">
          <w:rPr>
            <w:rStyle w:val="Hyperlink"/>
          </w:rPr>
          <w:t>https://doi.org/10.1002/9781444303117.ch5</w:t>
        </w:r>
      </w:hyperlink>
    </w:p>
    <w:p w14:paraId="3ECC3179" w14:textId="77777777" w:rsidR="005958BC" w:rsidRPr="00B76CC1" w:rsidRDefault="005958BC" w:rsidP="005958BC">
      <w:pPr>
        <w:pStyle w:val="NormalWeb"/>
        <w:spacing w:line="480" w:lineRule="auto"/>
        <w:ind w:left="540" w:hanging="540"/>
        <w:rPr>
          <w:rStyle w:val="Hyperlink"/>
        </w:rPr>
      </w:pPr>
      <w:r w:rsidRPr="00B76CC1">
        <w:t xml:space="preserve">Stephan, W. G., Boniecki, K. A., Ybarra, O., Bettencourt, A., Ervin, K. S., Jackson, L. A., McNatt, P. S., &amp; Renfro, C. L. (2002). The Role of Threats in the Racial Attitudes of Blacks and Whites. </w:t>
      </w:r>
      <w:r w:rsidRPr="00B76CC1">
        <w:rPr>
          <w:i/>
          <w:iCs/>
        </w:rPr>
        <w:t>Personality and Social Psychology Bulletin</w:t>
      </w:r>
      <w:r w:rsidRPr="00B76CC1">
        <w:t xml:space="preserve">, </w:t>
      </w:r>
      <w:r w:rsidRPr="00B76CC1">
        <w:rPr>
          <w:i/>
          <w:iCs/>
        </w:rPr>
        <w:t>28</w:t>
      </w:r>
      <w:r w:rsidRPr="00B76CC1">
        <w:t xml:space="preserve">(9), 1242–1254. </w:t>
      </w:r>
      <w:hyperlink r:id="rId52" w:history="1">
        <w:r w:rsidRPr="00B76CC1">
          <w:rPr>
            <w:rStyle w:val="Hyperlink"/>
          </w:rPr>
          <w:t>https://doi.org/10.1177/01461672022812009</w:t>
        </w:r>
      </w:hyperlink>
    </w:p>
    <w:p w14:paraId="3A92C19B" w14:textId="77777777" w:rsidR="005958BC" w:rsidRDefault="005958BC" w:rsidP="005958BC">
      <w:pPr>
        <w:pStyle w:val="NormalWeb"/>
        <w:spacing w:line="480" w:lineRule="auto"/>
        <w:ind w:left="540" w:hanging="540"/>
        <w:rPr>
          <w:rStyle w:val="Hyperlink"/>
        </w:rPr>
      </w:pPr>
      <w:r w:rsidRPr="00B76CC1">
        <w:t xml:space="preserve">Tabri, N., Hollingshead, S., &amp; Wohl, M. J. A. (2020). </w:t>
      </w:r>
      <w:r w:rsidRPr="00B76CC1">
        <w:rPr>
          <w:i/>
          <w:iCs/>
        </w:rPr>
        <w:t>Framing COVID-19 as an Existential Threat Predicts Anxious Arousal and Prejudice towards Chinese People</w:t>
      </w:r>
      <w:r w:rsidRPr="00B76CC1">
        <w:t xml:space="preserve"> [Preprint]. PsyArXiv. </w:t>
      </w:r>
      <w:hyperlink r:id="rId53" w:history="1">
        <w:r w:rsidRPr="00B76CC1">
          <w:rPr>
            <w:rStyle w:val="Hyperlink"/>
          </w:rPr>
          <w:t>https://doi.org/10.31234/osf.io/mpbtr</w:t>
        </w:r>
      </w:hyperlink>
    </w:p>
    <w:p w14:paraId="2B1A1833" w14:textId="77777777" w:rsidR="005958BC" w:rsidRPr="00E666F6" w:rsidRDefault="005958BC" w:rsidP="005958BC">
      <w:pPr>
        <w:pStyle w:val="NormalWeb"/>
        <w:spacing w:line="480" w:lineRule="auto"/>
        <w:ind w:left="540" w:hanging="540"/>
        <w:rPr>
          <w:color w:val="0563C1" w:themeColor="hyperlink"/>
          <w:u w:val="single"/>
        </w:rPr>
      </w:pPr>
      <w:r>
        <w:t xml:space="preserve">Taylor, M.C. (1998). How White attitudes vary with the racial composition of local populations: Numbers count. </w:t>
      </w:r>
      <w:r>
        <w:rPr>
          <w:i/>
          <w:iCs/>
        </w:rPr>
        <w:t>American Sociological Review, 63</w:t>
      </w:r>
      <w:r>
        <w:t xml:space="preserve">(4), 512-535. </w:t>
      </w:r>
      <w:hyperlink r:id="rId54" w:tgtFrame="_blank" w:tooltip="This link opens in a new window" w:history="1">
        <w:r w:rsidRPr="00E666F6">
          <w:rPr>
            <w:rStyle w:val="Hyperlink"/>
          </w:rPr>
          <w:t>https://doi.org/10.2307/2657265</w:t>
        </w:r>
      </w:hyperlink>
    </w:p>
    <w:p w14:paraId="231F1B8B" w14:textId="77777777" w:rsidR="005958BC" w:rsidRPr="00B76CC1" w:rsidRDefault="005958BC" w:rsidP="005958BC">
      <w:pPr>
        <w:pStyle w:val="NormalWeb"/>
        <w:spacing w:line="480" w:lineRule="auto"/>
        <w:ind w:left="540" w:hanging="540"/>
        <w:rPr>
          <w:rStyle w:val="Hyperlink"/>
        </w:rPr>
      </w:pPr>
      <w:r w:rsidRPr="00B76CC1">
        <w:t xml:space="preserve">Tessler, H., Choi, M., &amp; Kao, G. (2020). The Anxiety of Being Asian American: Hate Crimes and Negative Biases During the COVID-19 Pandemic. </w:t>
      </w:r>
      <w:r w:rsidRPr="00B76CC1">
        <w:rPr>
          <w:i/>
          <w:iCs/>
        </w:rPr>
        <w:t>American Journal of Criminal Justice</w:t>
      </w:r>
      <w:r w:rsidRPr="00B76CC1">
        <w:t xml:space="preserve">. </w:t>
      </w:r>
      <w:hyperlink r:id="rId55" w:history="1">
        <w:r w:rsidRPr="00B76CC1">
          <w:rPr>
            <w:rStyle w:val="Hyperlink"/>
          </w:rPr>
          <w:t>https://doi.org/10.1007/s12103-020-09541-5</w:t>
        </w:r>
      </w:hyperlink>
    </w:p>
    <w:p w14:paraId="7B70741E" w14:textId="77777777" w:rsidR="005958BC" w:rsidRPr="00B76CC1" w:rsidRDefault="005958BC" w:rsidP="005958BC">
      <w:pPr>
        <w:pStyle w:val="NormalWeb"/>
        <w:spacing w:line="480" w:lineRule="auto"/>
        <w:ind w:left="540" w:hanging="540"/>
      </w:pPr>
      <w:r w:rsidRPr="00B76CC1">
        <w:lastRenderedPageBreak/>
        <w:t xml:space="preserve">The New York Times. (2020a). </w:t>
      </w:r>
      <w:r w:rsidRPr="00D16033">
        <w:rPr>
          <w:i/>
          <w:iCs/>
        </w:rPr>
        <w:t>Coronavirus in the U.S.: Latest Map and Case Count.</w:t>
      </w:r>
      <w:r w:rsidRPr="00B76CC1">
        <w:t xml:space="preserve"> Retrieved </w:t>
      </w:r>
      <w:r>
        <w:t>July 14, 2021</w:t>
      </w:r>
      <w:r w:rsidRPr="00B76CC1">
        <w:t>, from https://www.nytimes.com/interactive/2020/us/coronavirus-us-cases.html</w:t>
      </w:r>
    </w:p>
    <w:p w14:paraId="24238DD3" w14:textId="77777777" w:rsidR="005958BC" w:rsidRPr="00B76CC1" w:rsidRDefault="005958BC" w:rsidP="005958BC">
      <w:pPr>
        <w:pStyle w:val="NormalWeb"/>
        <w:spacing w:line="480" w:lineRule="auto"/>
        <w:ind w:left="540" w:hanging="540"/>
      </w:pPr>
      <w:r w:rsidRPr="00B76CC1">
        <w:t xml:space="preserve">The New York Times (2020b). </w:t>
      </w:r>
      <w:r w:rsidRPr="00B76CC1">
        <w:rPr>
          <w:i/>
          <w:iCs/>
        </w:rPr>
        <w:t>nytimes/covid-19-data</w:t>
      </w:r>
      <w:r w:rsidRPr="00B76CC1">
        <w:t xml:space="preserve">. GitHub. </w:t>
      </w:r>
      <w:hyperlink r:id="rId56" w:history="1">
        <w:r w:rsidRPr="00B76CC1">
          <w:rPr>
            <w:rStyle w:val="Hyperlink"/>
          </w:rPr>
          <w:t>https://github.com/nytimes/covid-19-data</w:t>
        </w:r>
      </w:hyperlink>
      <w:r w:rsidRPr="00B76CC1">
        <w:t>.</w:t>
      </w:r>
    </w:p>
    <w:p w14:paraId="030492ED" w14:textId="77777777" w:rsidR="005958BC" w:rsidRPr="00B76CC1" w:rsidRDefault="005958BC" w:rsidP="005958BC">
      <w:pPr>
        <w:pStyle w:val="NormalWeb"/>
        <w:spacing w:line="480" w:lineRule="auto"/>
        <w:ind w:left="540" w:hanging="540"/>
      </w:pPr>
      <w:r w:rsidRPr="00B76CC1">
        <w:t xml:space="preserve">Tir, J., &amp; Diehl, P. F. (1998). Demographic Pressure and Interstate Conflict: Linking Population Growth and Density to Militarized Disputes and Wars, 1930-89. </w:t>
      </w:r>
      <w:r w:rsidRPr="00B76CC1">
        <w:rPr>
          <w:i/>
          <w:iCs/>
        </w:rPr>
        <w:t>Journal of Peace Research</w:t>
      </w:r>
      <w:r w:rsidRPr="00B76CC1">
        <w:t xml:space="preserve">, </w:t>
      </w:r>
      <w:r w:rsidRPr="00B76CC1">
        <w:rPr>
          <w:i/>
          <w:iCs/>
        </w:rPr>
        <w:t>35</w:t>
      </w:r>
      <w:r w:rsidRPr="00B76CC1">
        <w:t xml:space="preserve">(3), 319–339. </w:t>
      </w:r>
      <w:hyperlink r:id="rId57" w:history="1">
        <w:r w:rsidRPr="00B76CC1">
          <w:rPr>
            <w:rStyle w:val="Hyperlink"/>
          </w:rPr>
          <w:t>https://doi.org/10.1177/0022343398035003004</w:t>
        </w:r>
      </w:hyperlink>
    </w:p>
    <w:p w14:paraId="61853535" w14:textId="77777777" w:rsidR="005958BC" w:rsidRPr="00B76CC1" w:rsidRDefault="005958BC" w:rsidP="005958BC">
      <w:pPr>
        <w:pStyle w:val="NormalWeb"/>
        <w:spacing w:line="480" w:lineRule="auto"/>
        <w:ind w:left="567" w:hanging="567"/>
      </w:pPr>
      <w:r w:rsidRPr="00B76CC1">
        <w:t xml:space="preserve">Tromberg, B. J., Schwetz, T. A., Pérez-Stable, E. J., Hodes, R. J., Woychik, R. P., Bright, R. A., … Collins, F. S. (2020). Rapid Scaling Up of Covid-19 Diagnostic Testing in the United States — The NIH RADx Initiative. </w:t>
      </w:r>
      <w:r w:rsidRPr="00B76CC1">
        <w:rPr>
          <w:i/>
          <w:iCs/>
        </w:rPr>
        <w:t>New England Journal of Medicine</w:t>
      </w:r>
      <w:r w:rsidRPr="00B76CC1">
        <w:t>. https://doi.org/10.1056/nejmsr2022263</w:t>
      </w:r>
    </w:p>
    <w:p w14:paraId="4E572B6A" w14:textId="77777777" w:rsidR="005958BC" w:rsidRPr="00B76CC1" w:rsidRDefault="005958BC" w:rsidP="005958BC">
      <w:pPr>
        <w:pStyle w:val="NormalWeb"/>
        <w:spacing w:line="480" w:lineRule="auto"/>
        <w:ind w:left="540" w:hanging="540"/>
      </w:pPr>
      <w:r w:rsidRPr="00B76CC1">
        <w:t xml:space="preserve">Tropp, L.R., &amp; Pettigrew, T.F. (2005). Differential Relationships between Intergroup Contact and Affective and Cognitive Dimensions of Prejudice. </w:t>
      </w:r>
      <w:r w:rsidRPr="00B76CC1">
        <w:rPr>
          <w:i/>
          <w:iCs/>
        </w:rPr>
        <w:t>Personality and Social Psychology Bulletin, 31</w:t>
      </w:r>
      <w:r w:rsidRPr="00B76CC1">
        <w:t xml:space="preserve">, 1145–58. </w:t>
      </w:r>
      <w:hyperlink r:id="rId58" w:history="1">
        <w:r w:rsidRPr="00B76CC1">
          <w:rPr>
            <w:rStyle w:val="Hyperlink"/>
          </w:rPr>
          <w:t>https://doi.org/10.1177/0146167205274854</w:t>
        </w:r>
      </w:hyperlink>
    </w:p>
    <w:p w14:paraId="01296757" w14:textId="77777777" w:rsidR="005958BC" w:rsidRDefault="005958BC" w:rsidP="005958BC">
      <w:pPr>
        <w:pStyle w:val="NormalWeb"/>
        <w:spacing w:line="480" w:lineRule="auto"/>
        <w:ind w:left="540" w:hanging="540"/>
      </w:pPr>
      <w:r>
        <w:t>U.</w:t>
      </w:r>
      <w:r w:rsidRPr="00A072DD">
        <w:t xml:space="preserve">S. Bureau of Labor Statistics. (2020, May 11). Employment Situation News Release. </w:t>
      </w:r>
      <w:hyperlink r:id="rId59" w:history="1">
        <w:r w:rsidRPr="000F5447">
          <w:rPr>
            <w:rStyle w:val="Hyperlink"/>
          </w:rPr>
          <w:t>https://www.bls.gov/news.release/archives/empsit_05082020.htm</w:t>
        </w:r>
      </w:hyperlink>
    </w:p>
    <w:p w14:paraId="2C6E2250" w14:textId="77777777" w:rsidR="005958BC" w:rsidRDefault="005958BC" w:rsidP="005958BC">
      <w:pPr>
        <w:pStyle w:val="NormalWeb"/>
        <w:spacing w:line="480" w:lineRule="auto"/>
        <w:ind w:left="540" w:hanging="540"/>
        <w:rPr>
          <w:rStyle w:val="Hyperlink"/>
        </w:rPr>
      </w:pPr>
      <w:r w:rsidRPr="00B76CC1">
        <w:t xml:space="preserve">Wagner, U., Christ, O., Pettigrew, T. F., Stellmacher, J., &amp; Wolf, C. (2006). Prejudice And Minority Proportion: Contact Instead </w:t>
      </w:r>
      <w:proofErr w:type="gramStart"/>
      <w:r w:rsidRPr="00B76CC1">
        <w:t>Of</w:t>
      </w:r>
      <w:proofErr w:type="gramEnd"/>
      <w:r w:rsidRPr="00B76CC1">
        <w:t xml:space="preserve"> Threat Effects. </w:t>
      </w:r>
      <w:r w:rsidRPr="00B76CC1">
        <w:rPr>
          <w:i/>
          <w:iCs/>
        </w:rPr>
        <w:t>Social Psychology Quarterly</w:t>
      </w:r>
      <w:r w:rsidRPr="00B76CC1">
        <w:t xml:space="preserve">, </w:t>
      </w:r>
      <w:r w:rsidRPr="00B76CC1">
        <w:rPr>
          <w:i/>
          <w:iCs/>
        </w:rPr>
        <w:t>69</w:t>
      </w:r>
      <w:r w:rsidRPr="00B76CC1">
        <w:t xml:space="preserve">(4), 380–390. </w:t>
      </w:r>
      <w:hyperlink r:id="rId60" w:history="1">
        <w:r w:rsidRPr="00B76CC1">
          <w:rPr>
            <w:rStyle w:val="Hyperlink"/>
          </w:rPr>
          <w:t>https://doi.org/10.1177/019027250606900406</w:t>
        </w:r>
      </w:hyperlink>
    </w:p>
    <w:p w14:paraId="18272943" w14:textId="77777777" w:rsidR="005958BC" w:rsidRDefault="005958BC" w:rsidP="005958BC">
      <w:pPr>
        <w:pStyle w:val="NormalWeb"/>
        <w:spacing w:line="480" w:lineRule="auto"/>
        <w:ind w:left="540" w:hanging="540"/>
        <w:rPr>
          <w:color w:val="0000FF"/>
          <w:u w:val="single"/>
        </w:rPr>
      </w:pPr>
      <w:r w:rsidRPr="00B76CC1">
        <w:lastRenderedPageBreak/>
        <w:t xml:space="preserve">Wu, F., Zhao, S., Yu, B., Chen, Y.-M., Wang, W., Song, Z.-G., Hu, Y., Tao, Z.-W., Tian, J.-H., Pei, Y.-Y., Yuan, M.-L., Zhang, Y.-L., Dai, F.-H., Liu, Y., Wang, Q.-M., Zheng, J.-J., Xu, L., Holmes, E. C., &amp; Zhang, Y.-Z. (2020). A new coronavirus associated with human respiratory disease in China. </w:t>
      </w:r>
      <w:r w:rsidRPr="00B76CC1">
        <w:rPr>
          <w:i/>
          <w:iCs/>
        </w:rPr>
        <w:t>Nature</w:t>
      </w:r>
      <w:r w:rsidRPr="00B76CC1">
        <w:t xml:space="preserve">, </w:t>
      </w:r>
      <w:r w:rsidRPr="00B76CC1">
        <w:rPr>
          <w:i/>
          <w:iCs/>
        </w:rPr>
        <w:t>579</w:t>
      </w:r>
      <w:r w:rsidRPr="00B76CC1">
        <w:t xml:space="preserve">(7798), 265–269. </w:t>
      </w:r>
      <w:hyperlink r:id="rId61" w:history="1">
        <w:r w:rsidRPr="00B76CC1">
          <w:rPr>
            <w:color w:val="0000FF"/>
            <w:u w:val="single"/>
          </w:rPr>
          <w:t>https://doi.org/10.1038/s41586-020-2008-3</w:t>
        </w:r>
      </w:hyperlink>
    </w:p>
    <w:p w14:paraId="3166B849" w14:textId="77777777" w:rsidR="005958BC" w:rsidRPr="00B76CC1" w:rsidRDefault="005958BC" w:rsidP="005958BC">
      <w:pPr>
        <w:pStyle w:val="NormalWeb"/>
        <w:spacing w:line="480" w:lineRule="auto"/>
        <w:ind w:left="540" w:hanging="540"/>
      </w:pPr>
      <w:r w:rsidRPr="00B76CC1">
        <w:t xml:space="preserve">Zhou, L. (2020, June 23). </w:t>
      </w:r>
      <w:r w:rsidRPr="00B76CC1">
        <w:rPr>
          <w:i/>
          <w:iCs/>
        </w:rPr>
        <w:t>Trump's racist references to the coronavirus are his latest effort to stoke xenophobia</w:t>
      </w:r>
      <w:r w:rsidRPr="00B76CC1">
        <w:t xml:space="preserve">. Vox. </w:t>
      </w:r>
      <w:hyperlink r:id="rId62" w:history="1">
        <w:r w:rsidRPr="00B76CC1">
          <w:rPr>
            <w:rStyle w:val="Hyperlink"/>
          </w:rPr>
          <w:t>https://www.vox.com/2020/6/23/21300332/trump-coronavirus-racism-asian-americans</w:t>
        </w:r>
      </w:hyperlink>
      <w:r w:rsidRPr="00B76CC1">
        <w:t>.</w:t>
      </w:r>
    </w:p>
    <w:p w14:paraId="4CB8888C" w14:textId="77777777" w:rsidR="005958BC" w:rsidRPr="00817A64" w:rsidRDefault="005958BC" w:rsidP="005958BC">
      <w:pPr>
        <w:pStyle w:val="NormalWeb"/>
        <w:spacing w:line="480" w:lineRule="auto"/>
        <w:ind w:left="540" w:hanging="540"/>
      </w:pPr>
      <w:r w:rsidRPr="000D1F8A">
        <w:t xml:space="preserve">Zou, L. X., &amp; Cheryan, S. (2017). Two axes of subordination: A new model of racial position. </w:t>
      </w:r>
      <w:r w:rsidRPr="000D1F8A">
        <w:rPr>
          <w:i/>
          <w:iCs/>
        </w:rPr>
        <w:t>Journal of Personality and Social Psychology, 112</w:t>
      </w:r>
      <w:r w:rsidRPr="000D1F8A">
        <w:t>, 696–717. doi:10.1037/pspa0000080</w:t>
      </w:r>
    </w:p>
    <w:p w14:paraId="7E95E09F" w14:textId="577DB967" w:rsidR="000D0C3A" w:rsidRDefault="000D0C3A">
      <w:pPr>
        <w:rPr>
          <w:b/>
          <w:bCs/>
        </w:rPr>
      </w:pPr>
      <w:r>
        <w:rPr>
          <w:b/>
          <w:bCs/>
        </w:rPr>
        <w:br w:type="page"/>
      </w:r>
    </w:p>
    <w:p w14:paraId="78A93527" w14:textId="77777777" w:rsidR="00C0297C" w:rsidRPr="00F158C7" w:rsidRDefault="00C0297C" w:rsidP="00C0297C">
      <w:pPr>
        <w:spacing w:line="480" w:lineRule="auto"/>
        <w:jc w:val="center"/>
        <w:rPr>
          <w:b/>
          <w:bCs/>
        </w:rPr>
      </w:pPr>
      <w:r w:rsidRPr="00F158C7">
        <w:rPr>
          <w:b/>
          <w:bCs/>
        </w:rPr>
        <w:lastRenderedPageBreak/>
        <w:t>Supplemental Online Materials</w:t>
      </w:r>
    </w:p>
    <w:p w14:paraId="0E69237D" w14:textId="77777777" w:rsidR="00C0297C" w:rsidRDefault="00C0297C" w:rsidP="00C0297C">
      <w:pPr>
        <w:spacing w:line="480" w:lineRule="auto"/>
        <w:ind w:firstLine="720"/>
      </w:pPr>
      <w:r w:rsidRPr="00F158C7">
        <w:t xml:space="preserve">Here we include results from additional analyses that help reduce the possibility that alternate explanations might better explain the relations described in the main text. </w:t>
      </w:r>
      <w:r>
        <w:t xml:space="preserve">First, we ran several models to address the potential explanation that any relation between COVID-19 intensity and prejudice could be explained by the general progression of the pandemic across time (i.e., date of testing) rather than by the (actual or perceived) intensity of the pandemic at the participant’s specific locale (i.e., in their state). If this were the case, we would expect to find that date of testing is related to prejudice. </w:t>
      </w:r>
    </w:p>
    <w:p w14:paraId="728331DF" w14:textId="77777777" w:rsidR="00C0297C" w:rsidRDefault="00C0297C" w:rsidP="00C0297C">
      <w:pPr>
        <w:spacing w:line="480" w:lineRule="auto"/>
        <w:ind w:firstLine="720"/>
      </w:pPr>
      <w:r>
        <w:t xml:space="preserve">Second, we ran three models to address the potential explanation that any relation between COVID-19 intensity and prejudice was not specific to anti-Asian prejudice, or even prejudice toward racial outgroups, but rather could be explained by heightened prejudice toward all people, regardless of group membership. If this were the case, we would expect to find that anti-White prejudice, oriented toward the ingroup, was also related to COVID-19 intensity. </w:t>
      </w:r>
    </w:p>
    <w:p w14:paraId="2E1D3272" w14:textId="77777777" w:rsidR="00C0297C" w:rsidRPr="00F158C7" w:rsidRDefault="00C0297C" w:rsidP="00C0297C">
      <w:pPr>
        <w:spacing w:line="480" w:lineRule="auto"/>
        <w:ind w:firstLine="720"/>
      </w:pPr>
      <w:r>
        <w:t>Across all these models, d</w:t>
      </w:r>
      <w:r w:rsidRPr="00F158C7">
        <w:t>ata were from the same 589 White American participants as described in the main text. All data and analytic code are publicly available (</w:t>
      </w:r>
      <w:hyperlink r:id="rId63" w:history="1">
        <w:r w:rsidRPr="00490404">
          <w:rPr>
            <w:rStyle w:val="Hyperlink"/>
          </w:rPr>
          <w:t>https://osf.io/erk36/?view_only=d2524995e72544f8b880f2b2dbf31935</w:t>
        </w:r>
      </w:hyperlink>
      <w:r w:rsidRPr="00F158C7">
        <w:t>).</w:t>
      </w:r>
    </w:p>
    <w:p w14:paraId="312511C3" w14:textId="77777777" w:rsidR="00C0297C" w:rsidRPr="00F158C7" w:rsidRDefault="00C0297C" w:rsidP="00C0297C">
      <w:pPr>
        <w:spacing w:line="480" w:lineRule="auto"/>
        <w:jc w:val="center"/>
        <w:rPr>
          <w:b/>
          <w:bCs/>
        </w:rPr>
      </w:pPr>
      <w:r>
        <w:rPr>
          <w:b/>
          <w:bCs/>
        </w:rPr>
        <w:t xml:space="preserve">Methods and </w:t>
      </w:r>
      <w:r w:rsidRPr="00F158C7">
        <w:rPr>
          <w:b/>
          <w:bCs/>
        </w:rPr>
        <w:t>Results</w:t>
      </w:r>
    </w:p>
    <w:p w14:paraId="76273137" w14:textId="77777777" w:rsidR="00C0297C" w:rsidRDefault="00C0297C" w:rsidP="00C0297C">
      <w:pPr>
        <w:spacing w:line="480" w:lineRule="auto"/>
        <w:rPr>
          <w:b/>
          <w:bCs/>
        </w:rPr>
      </w:pPr>
      <w:r>
        <w:rPr>
          <w:b/>
          <w:bCs/>
        </w:rPr>
        <w:t>Does date of data collection predict prejudice better than COVID-19 intensity?</w:t>
      </w:r>
    </w:p>
    <w:p w14:paraId="589800D7" w14:textId="77777777" w:rsidR="00C0297C" w:rsidRPr="00AA0458" w:rsidRDefault="00C0297C" w:rsidP="00C0297C">
      <w:pPr>
        <w:spacing w:line="480" w:lineRule="auto"/>
      </w:pPr>
      <w:r>
        <w:tab/>
        <w:t xml:space="preserve">Date of testing was included in models predicting anti-Asian, anti-Black, or anti-White prejudice as a discrete variable, as testing was evenly spaced out (every 3 days across 27 days). We employed the same model structure as reported in the main text, but we substituted the “date” variable for the “intensity” variables. In other words, each model included the main and interactive effects of date and contact with the relevant racial group, and the main effect of </w:t>
      </w:r>
      <w:r>
        <w:lastRenderedPageBreak/>
        <w:t xml:space="preserve">exposure to the neighborhood proportion for the relevant racial group. All continuous predictor variables were </w:t>
      </w:r>
      <w:proofErr w:type="gramStart"/>
      <w:r>
        <w:t>mean-centered</w:t>
      </w:r>
      <w:proofErr w:type="gramEnd"/>
      <w:r>
        <w:t xml:space="preserve"> prior to analysis.</w:t>
      </w:r>
    </w:p>
    <w:p w14:paraId="5A652DAB" w14:textId="77777777" w:rsidR="00C0297C" w:rsidRDefault="00C0297C" w:rsidP="00C0297C">
      <w:pPr>
        <w:spacing w:line="480" w:lineRule="auto"/>
        <w:rPr>
          <w:i/>
          <w:iCs/>
        </w:rPr>
      </w:pPr>
      <w:r w:rsidRPr="008905FE">
        <w:rPr>
          <w:b/>
          <w:bCs/>
          <w:i/>
          <w:iCs/>
        </w:rPr>
        <w:t xml:space="preserve">Desire </w:t>
      </w:r>
      <w:r>
        <w:rPr>
          <w:b/>
          <w:bCs/>
          <w:i/>
          <w:iCs/>
        </w:rPr>
        <w:t>for social distance</w:t>
      </w:r>
    </w:p>
    <w:p w14:paraId="7695D2BB" w14:textId="77777777" w:rsidR="00C0297C" w:rsidRPr="00AA0458" w:rsidRDefault="00C0297C" w:rsidP="00C0297C">
      <w:pPr>
        <w:spacing w:line="480" w:lineRule="auto"/>
      </w:pPr>
      <w:r>
        <w:tab/>
        <w:t xml:space="preserve"> Date of testing was unrelated to participants’ desire for social distance from Asian people, </w:t>
      </w:r>
      <w:r w:rsidRPr="00274B21">
        <w:rPr>
          <w:i/>
          <w:iCs/>
        </w:rPr>
        <w:t>p</w:t>
      </w:r>
      <w:r w:rsidRPr="00004774">
        <w:t xml:space="preserve"> </w:t>
      </w:r>
      <w:r>
        <w:t xml:space="preserve">= 0.80, from Black people, </w:t>
      </w:r>
      <w:r w:rsidRPr="00274B21">
        <w:rPr>
          <w:i/>
          <w:iCs/>
        </w:rPr>
        <w:t>p</w:t>
      </w:r>
      <w:r w:rsidRPr="00004774">
        <w:t xml:space="preserve"> </w:t>
      </w:r>
      <w:r>
        <w:t>= 0.31, and from White people,</w:t>
      </w:r>
      <w:r w:rsidRPr="00BA2056">
        <w:rPr>
          <w:i/>
          <w:iCs/>
        </w:rPr>
        <w:t xml:space="preserve"> </w:t>
      </w:r>
      <w:r w:rsidRPr="00274B21">
        <w:rPr>
          <w:i/>
          <w:iCs/>
        </w:rPr>
        <w:t>p</w:t>
      </w:r>
      <w:r w:rsidRPr="00004774">
        <w:t xml:space="preserve"> </w:t>
      </w:r>
      <w:r>
        <w:t>= 0.13. There was no evidence for moderation by contact with Asian people,</w:t>
      </w:r>
      <w:r w:rsidRPr="00274B21">
        <w:rPr>
          <w:i/>
          <w:iCs/>
        </w:rPr>
        <w:t xml:space="preserve"> p</w:t>
      </w:r>
      <w:r w:rsidRPr="00004774">
        <w:t xml:space="preserve"> </w:t>
      </w:r>
      <w:r>
        <w:t>= 0.19, by contact with Black people,</w:t>
      </w:r>
      <w:r w:rsidRPr="00274B21">
        <w:rPr>
          <w:i/>
          <w:iCs/>
        </w:rPr>
        <w:t xml:space="preserve"> p</w:t>
      </w:r>
      <w:r w:rsidRPr="00004774">
        <w:t xml:space="preserve"> </w:t>
      </w:r>
      <w:r>
        <w:t>= 0.61, or by contact with White people,</w:t>
      </w:r>
      <w:r w:rsidRPr="00274B21">
        <w:rPr>
          <w:i/>
          <w:iCs/>
        </w:rPr>
        <w:t xml:space="preserve"> p</w:t>
      </w:r>
      <w:r w:rsidRPr="00004774">
        <w:t xml:space="preserve"> </w:t>
      </w:r>
      <w:r>
        <w:t xml:space="preserve">= 0.86. </w:t>
      </w:r>
    </w:p>
    <w:p w14:paraId="6CC2596D" w14:textId="77777777" w:rsidR="00C0297C" w:rsidRDefault="00C0297C" w:rsidP="00C0297C">
      <w:pPr>
        <w:spacing w:line="480" w:lineRule="auto"/>
        <w:rPr>
          <w:b/>
          <w:bCs/>
          <w:i/>
          <w:iCs/>
        </w:rPr>
      </w:pPr>
      <w:r w:rsidRPr="00AA0458">
        <w:rPr>
          <w:b/>
          <w:bCs/>
          <w:i/>
          <w:iCs/>
        </w:rPr>
        <w:t xml:space="preserve">Support for </w:t>
      </w:r>
      <w:r>
        <w:rPr>
          <w:b/>
          <w:bCs/>
          <w:i/>
          <w:iCs/>
        </w:rPr>
        <w:t>exclusionary</w:t>
      </w:r>
      <w:r w:rsidRPr="00AA0458">
        <w:rPr>
          <w:b/>
          <w:bCs/>
          <w:i/>
          <w:iCs/>
        </w:rPr>
        <w:t xml:space="preserve"> travel policies</w:t>
      </w:r>
    </w:p>
    <w:p w14:paraId="76ED906C" w14:textId="77777777" w:rsidR="00C0297C" w:rsidRPr="00AA0458" w:rsidRDefault="00C0297C" w:rsidP="00C0297C">
      <w:pPr>
        <w:spacing w:line="480" w:lineRule="auto"/>
        <w:ind w:firstLine="720"/>
      </w:pPr>
      <w:r>
        <w:t xml:space="preserve">Date of testing was unrelated to participants’ support for exclusionary travel policies from Asia, </w:t>
      </w:r>
      <w:r w:rsidRPr="00274B21">
        <w:rPr>
          <w:i/>
          <w:iCs/>
        </w:rPr>
        <w:t>p</w:t>
      </w:r>
      <w:r w:rsidRPr="00004774">
        <w:t xml:space="preserve"> </w:t>
      </w:r>
      <w:r>
        <w:t>= 0.87, or Europe,</w:t>
      </w:r>
      <w:r w:rsidRPr="00BA2056">
        <w:rPr>
          <w:i/>
          <w:iCs/>
        </w:rPr>
        <w:t xml:space="preserve"> </w:t>
      </w:r>
      <w:r w:rsidRPr="00274B21">
        <w:rPr>
          <w:i/>
          <w:iCs/>
        </w:rPr>
        <w:t>p</w:t>
      </w:r>
      <w:r w:rsidRPr="00004774">
        <w:t xml:space="preserve"> </w:t>
      </w:r>
      <w:r>
        <w:t>= 0.55, and there was no evidence for moderation by contact with Asian people,</w:t>
      </w:r>
      <w:r w:rsidRPr="00274B21">
        <w:rPr>
          <w:i/>
          <w:iCs/>
        </w:rPr>
        <w:t xml:space="preserve"> p</w:t>
      </w:r>
      <w:r w:rsidRPr="00004774">
        <w:t xml:space="preserve"> </w:t>
      </w:r>
      <w:r>
        <w:t>= 0.58, or by contact with White people,</w:t>
      </w:r>
      <w:r w:rsidRPr="00274B21">
        <w:rPr>
          <w:i/>
          <w:iCs/>
        </w:rPr>
        <w:t xml:space="preserve"> p</w:t>
      </w:r>
      <w:r w:rsidRPr="00004774">
        <w:t xml:space="preserve"> </w:t>
      </w:r>
      <w:r>
        <w:t xml:space="preserve">= 0.94. </w:t>
      </w:r>
    </w:p>
    <w:p w14:paraId="12CA79BF" w14:textId="77777777" w:rsidR="00C0297C" w:rsidRDefault="00C0297C" w:rsidP="00C0297C">
      <w:pPr>
        <w:spacing w:line="480" w:lineRule="auto"/>
        <w:rPr>
          <w:b/>
          <w:bCs/>
          <w:i/>
          <w:iCs/>
        </w:rPr>
      </w:pPr>
      <w:r w:rsidRPr="00AA0458">
        <w:rPr>
          <w:b/>
          <w:bCs/>
          <w:i/>
          <w:iCs/>
        </w:rPr>
        <w:t xml:space="preserve">Support for </w:t>
      </w:r>
      <w:r>
        <w:rPr>
          <w:b/>
          <w:bCs/>
          <w:i/>
          <w:iCs/>
        </w:rPr>
        <w:t>exclusionary</w:t>
      </w:r>
      <w:r w:rsidRPr="00AA0458">
        <w:rPr>
          <w:b/>
          <w:bCs/>
          <w:i/>
          <w:iCs/>
        </w:rPr>
        <w:t xml:space="preserve"> travel policies</w:t>
      </w:r>
    </w:p>
    <w:p w14:paraId="7CAD4742" w14:textId="77777777" w:rsidR="00C0297C" w:rsidRPr="008905FE" w:rsidRDefault="00C0297C" w:rsidP="00C0297C">
      <w:pPr>
        <w:spacing w:line="480" w:lineRule="auto"/>
        <w:rPr>
          <w:b/>
          <w:bCs/>
          <w:i/>
          <w:iCs/>
        </w:rPr>
      </w:pPr>
      <w:r w:rsidRPr="008905FE">
        <w:rPr>
          <w:b/>
          <w:bCs/>
          <w:i/>
          <w:iCs/>
        </w:rPr>
        <w:t xml:space="preserve">Negative affect </w:t>
      </w:r>
    </w:p>
    <w:p w14:paraId="1E93BBFE" w14:textId="77777777" w:rsidR="00C0297C" w:rsidRPr="00AA0458" w:rsidRDefault="00C0297C" w:rsidP="00C0297C">
      <w:pPr>
        <w:spacing w:line="480" w:lineRule="auto"/>
        <w:ind w:firstLine="720"/>
      </w:pPr>
      <w:r>
        <w:t xml:space="preserve">Date of testing was unrelated to participants’ negative affect toward Asian people, </w:t>
      </w:r>
      <w:r w:rsidRPr="00274B21">
        <w:rPr>
          <w:i/>
          <w:iCs/>
        </w:rPr>
        <w:t>p</w:t>
      </w:r>
      <w:r w:rsidRPr="00004774">
        <w:t xml:space="preserve"> </w:t>
      </w:r>
      <w:r>
        <w:t xml:space="preserve">= 0.72, Black people, </w:t>
      </w:r>
      <w:r w:rsidRPr="00274B21">
        <w:rPr>
          <w:i/>
          <w:iCs/>
        </w:rPr>
        <w:t>p</w:t>
      </w:r>
      <w:r w:rsidRPr="00004774">
        <w:t xml:space="preserve"> </w:t>
      </w:r>
      <w:r>
        <w:t>= 0.71, or White people,</w:t>
      </w:r>
      <w:r w:rsidRPr="00BA2056">
        <w:rPr>
          <w:i/>
          <w:iCs/>
        </w:rPr>
        <w:t xml:space="preserve"> </w:t>
      </w:r>
      <w:r w:rsidRPr="00274B21">
        <w:rPr>
          <w:i/>
          <w:iCs/>
        </w:rPr>
        <w:t>p</w:t>
      </w:r>
      <w:r w:rsidRPr="00004774">
        <w:t xml:space="preserve"> </w:t>
      </w:r>
      <w:r>
        <w:t>= 0.08. There was no evidence for moderation by contact with Asian people,</w:t>
      </w:r>
      <w:r w:rsidRPr="00274B21">
        <w:rPr>
          <w:i/>
          <w:iCs/>
        </w:rPr>
        <w:t xml:space="preserve"> p</w:t>
      </w:r>
      <w:r w:rsidRPr="00004774">
        <w:t xml:space="preserve"> </w:t>
      </w:r>
      <w:r>
        <w:t>= 0.77, by contact with Black people,</w:t>
      </w:r>
      <w:r w:rsidRPr="00274B21">
        <w:rPr>
          <w:i/>
          <w:iCs/>
        </w:rPr>
        <w:t xml:space="preserve"> p</w:t>
      </w:r>
      <w:r w:rsidRPr="00004774">
        <w:t xml:space="preserve"> </w:t>
      </w:r>
      <w:r>
        <w:t>= 0.82, or by contact with White people,</w:t>
      </w:r>
      <w:r w:rsidRPr="00274B21">
        <w:rPr>
          <w:i/>
          <w:iCs/>
        </w:rPr>
        <w:t xml:space="preserve"> p</w:t>
      </w:r>
      <w:r w:rsidRPr="00004774">
        <w:t xml:space="preserve"> </w:t>
      </w:r>
      <w:r>
        <w:t xml:space="preserve">= 0.73. </w:t>
      </w:r>
    </w:p>
    <w:p w14:paraId="249FD36B" w14:textId="77777777" w:rsidR="00C0297C" w:rsidRDefault="00C0297C" w:rsidP="00C0297C">
      <w:pPr>
        <w:spacing w:line="480" w:lineRule="auto"/>
      </w:pPr>
      <w:r>
        <w:tab/>
        <w:t>Thus, results from these three additional models strongly suggest that any effects of COVID-19 intensity on anti-Asian, anti-Black, or anti-White prejudice cannot simply be explained by the general progression of the pandemic across time.</w:t>
      </w:r>
    </w:p>
    <w:p w14:paraId="227E890A" w14:textId="77777777" w:rsidR="00C0297C" w:rsidRDefault="00C0297C" w:rsidP="00C0297C">
      <w:pPr>
        <w:spacing w:line="480" w:lineRule="auto"/>
        <w:rPr>
          <w:b/>
          <w:bCs/>
        </w:rPr>
      </w:pPr>
      <w:r>
        <w:rPr>
          <w:b/>
          <w:bCs/>
        </w:rPr>
        <w:t>Does COVID-19 intensity predict anti-White prejudice?</w:t>
      </w:r>
    </w:p>
    <w:p w14:paraId="255653A9" w14:textId="6B5BFDF3" w:rsidR="000D0C3A" w:rsidRDefault="00C0297C" w:rsidP="00C0297C">
      <w:pPr>
        <w:spacing w:line="480" w:lineRule="auto"/>
        <w:ind w:firstLine="720"/>
      </w:pPr>
      <w:r>
        <w:t xml:space="preserve">Next, we examined whether relations between COVID-19 intensity and prejudice could be explained by heightened prejudice toward all people, regardless of group membership. If this </w:t>
      </w:r>
      <w:r>
        <w:lastRenderedPageBreak/>
        <w:t>were the case, we would expect to find that anti-White prejudice, oriented toward the ingroup, was also related to COVID-19 intensity. As in the main text, i</w:t>
      </w:r>
      <w:r w:rsidRPr="009B2E4C">
        <w:t xml:space="preserve">n each of these models we also included as predictors the main effect of </w:t>
      </w:r>
      <w:r>
        <w:t>neighborhood proportion for the racial</w:t>
      </w:r>
      <w:r w:rsidRPr="009B2E4C">
        <w:t xml:space="preserve"> group in question, the main effect of contact with that </w:t>
      </w:r>
      <w:r>
        <w:t>racial</w:t>
      </w:r>
      <w:r w:rsidRPr="009B2E4C">
        <w:t xml:space="preserve"> group, the interaction of perceived COVID-19 intensity and contact, and the interaction of actual COVID-19 intensity and contact</w:t>
      </w:r>
      <w:r>
        <w:t xml:space="preserve"> (i.e.</w:t>
      </w:r>
      <w:r w:rsidRPr="009B2E4C">
        <w:t xml:space="preserve">, </w:t>
      </w:r>
      <w:r>
        <w:t>to</w:t>
      </w:r>
      <w:r w:rsidRPr="009B2E4C">
        <w:t xml:space="preserve"> </w:t>
      </w:r>
      <w:r>
        <w:t>examine</w:t>
      </w:r>
      <w:r w:rsidRPr="009B2E4C">
        <w:t xml:space="preserve"> anti-</w:t>
      </w:r>
      <w:r>
        <w:t>White</w:t>
      </w:r>
      <w:r w:rsidRPr="009B2E4C">
        <w:t xml:space="preserve"> prejudice, we included contact with </w:t>
      </w:r>
      <w:r>
        <w:t>White</w:t>
      </w:r>
      <w:r w:rsidRPr="009B2E4C">
        <w:t xml:space="preserve"> people and </w:t>
      </w:r>
      <w:r>
        <w:t>neighborhood proportion of</w:t>
      </w:r>
      <w:r w:rsidRPr="009B2E4C">
        <w:t xml:space="preserve"> </w:t>
      </w:r>
      <w:r>
        <w:t>White</w:t>
      </w:r>
      <w:r w:rsidRPr="009B2E4C">
        <w:t xml:space="preserve"> people).</w:t>
      </w:r>
      <w:r>
        <w:t xml:space="preserve"> </w:t>
      </w:r>
      <w:r w:rsidRPr="006B01DE">
        <w:t xml:space="preserve">Analyses are </w:t>
      </w:r>
      <w:r>
        <w:t xml:space="preserve">again </w:t>
      </w:r>
      <w:r w:rsidRPr="006B01DE">
        <w:t xml:space="preserve">subdivided based on whether COVID-19 intensity was measured in number of deaths or number of cases. </w:t>
      </w:r>
      <w:r>
        <w:t>Correlations between key variables are presented in Table SOM1, and m</w:t>
      </w:r>
      <w:r w:rsidRPr="006B01DE">
        <w:t xml:space="preserve">odel results, including parameter estimates and p-values, are presented in Table </w:t>
      </w:r>
      <w:r>
        <w:t>SOM2</w:t>
      </w:r>
      <w:r w:rsidRPr="006B01DE">
        <w:t>, below</w:t>
      </w:r>
      <w:r w:rsidR="000D0C3A" w:rsidRPr="006B01DE">
        <w:t>.</w:t>
      </w:r>
    </w:p>
    <w:p w14:paraId="290B99F2" w14:textId="77777777" w:rsidR="00CF769A" w:rsidRDefault="00CF769A" w:rsidP="000D0C3A">
      <w:pPr>
        <w:spacing w:line="480" w:lineRule="auto"/>
        <w:ind w:firstLine="720"/>
        <w:sectPr w:rsidR="00CF769A" w:rsidSect="006A050B">
          <w:pgSz w:w="12240" w:h="15840"/>
          <w:pgMar w:top="1440" w:right="1440" w:bottom="1440" w:left="1440" w:header="720" w:footer="720" w:gutter="0"/>
          <w:cols w:space="720"/>
          <w:docGrid w:linePitch="360"/>
        </w:sectPr>
      </w:pPr>
    </w:p>
    <w:p w14:paraId="683A9B19" w14:textId="2B5CFABB" w:rsidR="00CF769A" w:rsidRDefault="00CF769A" w:rsidP="000D0C3A">
      <w:pPr>
        <w:spacing w:line="480" w:lineRule="auto"/>
        <w:ind w:firstLine="720"/>
      </w:pPr>
    </w:p>
    <w:p w14:paraId="72BB2F12" w14:textId="77777777" w:rsidR="00CF769A" w:rsidRDefault="00CF769A">
      <w:pPr>
        <w:rPr>
          <w:b/>
          <w:bCs/>
        </w:rPr>
      </w:pPr>
      <w:r>
        <w:rPr>
          <w:b/>
          <w:bCs/>
        </w:rPr>
        <w:br w:type="page"/>
      </w:r>
    </w:p>
    <w:p w14:paraId="17A9CD2D" w14:textId="77777777" w:rsidR="00CF769A" w:rsidRDefault="00CF769A" w:rsidP="00CF769A">
      <w:pPr>
        <w:widowControl w:val="0"/>
        <w:autoSpaceDE w:val="0"/>
        <w:autoSpaceDN w:val="0"/>
        <w:adjustRightInd w:val="0"/>
        <w:rPr>
          <w:b/>
          <w:bCs/>
        </w:rPr>
        <w:sectPr w:rsidR="00CF769A" w:rsidSect="00CF769A">
          <w:type w:val="continuous"/>
          <w:pgSz w:w="12240" w:h="15840"/>
          <w:pgMar w:top="1440" w:right="1440" w:bottom="1440" w:left="1440" w:header="720" w:footer="720" w:gutter="0"/>
          <w:cols w:space="720"/>
          <w:docGrid w:linePitch="360"/>
        </w:sectPr>
      </w:pPr>
    </w:p>
    <w:p w14:paraId="7520DF47" w14:textId="1209A91F" w:rsidR="00CF769A" w:rsidRPr="00361413" w:rsidRDefault="00CF769A" w:rsidP="00CF769A">
      <w:pPr>
        <w:widowControl w:val="0"/>
        <w:autoSpaceDE w:val="0"/>
        <w:autoSpaceDN w:val="0"/>
        <w:adjustRightInd w:val="0"/>
        <w:rPr>
          <w:b/>
          <w:bCs/>
        </w:rPr>
      </w:pPr>
      <w:r w:rsidRPr="00361413">
        <w:rPr>
          <w:b/>
          <w:bCs/>
        </w:rPr>
        <w:lastRenderedPageBreak/>
        <w:t xml:space="preserve">Table </w:t>
      </w:r>
      <w:r>
        <w:rPr>
          <w:b/>
          <w:bCs/>
        </w:rPr>
        <w:t>SOM</w:t>
      </w:r>
      <w:r w:rsidRPr="00361413">
        <w:rPr>
          <w:b/>
          <w:bCs/>
        </w:rPr>
        <w:t xml:space="preserve">1 </w:t>
      </w:r>
    </w:p>
    <w:p w14:paraId="0922929E" w14:textId="77777777" w:rsidR="00CF769A" w:rsidRDefault="00CF769A" w:rsidP="00CF769A">
      <w:pPr>
        <w:widowControl w:val="0"/>
        <w:autoSpaceDE w:val="0"/>
        <w:autoSpaceDN w:val="0"/>
        <w:adjustRightInd w:val="0"/>
      </w:pPr>
      <w:r>
        <w:rPr>
          <w:i/>
          <w:iCs/>
        </w:rPr>
        <w:t>Means, standard deviations, and correlations with confidence intervals.</w:t>
      </w:r>
    </w:p>
    <w:tbl>
      <w:tblPr>
        <w:tblW w:w="13220" w:type="dxa"/>
        <w:tblInd w:w="100" w:type="dxa"/>
        <w:tblLayout w:type="fixed"/>
        <w:tblCellMar>
          <w:left w:w="100" w:type="dxa"/>
          <w:right w:w="100" w:type="dxa"/>
        </w:tblCellMar>
        <w:tblLook w:val="0000" w:firstRow="0" w:lastRow="0" w:firstColumn="0" w:lastColumn="0" w:noHBand="0" w:noVBand="0"/>
      </w:tblPr>
      <w:tblGrid>
        <w:gridCol w:w="2600"/>
        <w:gridCol w:w="1080"/>
        <w:gridCol w:w="720"/>
        <w:gridCol w:w="1260"/>
        <w:gridCol w:w="1620"/>
        <w:gridCol w:w="1800"/>
        <w:gridCol w:w="1980"/>
        <w:gridCol w:w="2160"/>
      </w:tblGrid>
      <w:tr w:rsidR="000305F4" w14:paraId="4A79AC96" w14:textId="77777777" w:rsidTr="001B28D1">
        <w:tc>
          <w:tcPr>
            <w:tcW w:w="2600" w:type="dxa"/>
            <w:tcBorders>
              <w:top w:val="single" w:sz="6" w:space="0" w:color="auto"/>
              <w:left w:val="nil"/>
              <w:bottom w:val="nil"/>
              <w:right w:val="nil"/>
            </w:tcBorders>
            <w:vAlign w:val="center"/>
          </w:tcPr>
          <w:p w14:paraId="23FEF5BD" w14:textId="77777777" w:rsidR="000305F4" w:rsidRDefault="000305F4" w:rsidP="001B28D1">
            <w:pPr>
              <w:widowControl w:val="0"/>
              <w:autoSpaceDE w:val="0"/>
              <w:autoSpaceDN w:val="0"/>
              <w:adjustRightInd w:val="0"/>
            </w:pPr>
            <w:r>
              <w:t>Variable</w:t>
            </w:r>
          </w:p>
        </w:tc>
        <w:tc>
          <w:tcPr>
            <w:tcW w:w="1080" w:type="dxa"/>
            <w:tcBorders>
              <w:top w:val="single" w:sz="6" w:space="0" w:color="auto"/>
              <w:left w:val="nil"/>
              <w:bottom w:val="nil"/>
              <w:right w:val="nil"/>
            </w:tcBorders>
            <w:vAlign w:val="center"/>
          </w:tcPr>
          <w:p w14:paraId="07261095" w14:textId="77777777" w:rsidR="000305F4" w:rsidRDefault="000305F4" w:rsidP="001B28D1">
            <w:pPr>
              <w:widowControl w:val="0"/>
              <w:autoSpaceDE w:val="0"/>
              <w:autoSpaceDN w:val="0"/>
              <w:adjustRightInd w:val="0"/>
              <w:jc w:val="center"/>
              <w:rPr>
                <w:i/>
                <w:iCs/>
              </w:rPr>
            </w:pPr>
            <w:r>
              <w:rPr>
                <w:i/>
                <w:iCs/>
              </w:rPr>
              <w:t>Range</w:t>
            </w:r>
          </w:p>
        </w:tc>
        <w:tc>
          <w:tcPr>
            <w:tcW w:w="720" w:type="dxa"/>
            <w:tcBorders>
              <w:top w:val="single" w:sz="6" w:space="0" w:color="auto"/>
              <w:left w:val="nil"/>
              <w:bottom w:val="nil"/>
              <w:right w:val="nil"/>
            </w:tcBorders>
            <w:vAlign w:val="center"/>
          </w:tcPr>
          <w:p w14:paraId="5A56CB17" w14:textId="77777777" w:rsidR="000305F4" w:rsidRDefault="000305F4" w:rsidP="001B28D1">
            <w:pPr>
              <w:widowControl w:val="0"/>
              <w:autoSpaceDE w:val="0"/>
              <w:autoSpaceDN w:val="0"/>
              <w:adjustRightInd w:val="0"/>
              <w:jc w:val="center"/>
            </w:pPr>
            <w:r>
              <w:rPr>
                <w:i/>
                <w:iCs/>
              </w:rPr>
              <w:t>M</w:t>
            </w:r>
          </w:p>
        </w:tc>
        <w:tc>
          <w:tcPr>
            <w:tcW w:w="1260" w:type="dxa"/>
            <w:tcBorders>
              <w:top w:val="single" w:sz="6" w:space="0" w:color="auto"/>
              <w:left w:val="nil"/>
              <w:bottom w:val="nil"/>
              <w:right w:val="nil"/>
            </w:tcBorders>
            <w:vAlign w:val="center"/>
          </w:tcPr>
          <w:p w14:paraId="4EBA1C94" w14:textId="77777777" w:rsidR="000305F4" w:rsidRDefault="000305F4" w:rsidP="001B28D1">
            <w:pPr>
              <w:widowControl w:val="0"/>
              <w:autoSpaceDE w:val="0"/>
              <w:autoSpaceDN w:val="0"/>
              <w:adjustRightInd w:val="0"/>
              <w:jc w:val="center"/>
            </w:pPr>
            <w:r>
              <w:rPr>
                <w:i/>
                <w:iCs/>
              </w:rPr>
              <w:t>SD</w:t>
            </w:r>
          </w:p>
        </w:tc>
        <w:tc>
          <w:tcPr>
            <w:tcW w:w="1620" w:type="dxa"/>
            <w:tcBorders>
              <w:top w:val="single" w:sz="6" w:space="0" w:color="auto"/>
              <w:left w:val="nil"/>
              <w:bottom w:val="nil"/>
              <w:right w:val="nil"/>
            </w:tcBorders>
            <w:vAlign w:val="center"/>
          </w:tcPr>
          <w:p w14:paraId="54E730D5" w14:textId="77777777" w:rsidR="000305F4" w:rsidRDefault="000305F4" w:rsidP="001B28D1">
            <w:pPr>
              <w:widowControl w:val="0"/>
              <w:autoSpaceDE w:val="0"/>
              <w:autoSpaceDN w:val="0"/>
              <w:adjustRightInd w:val="0"/>
              <w:jc w:val="center"/>
            </w:pPr>
            <w:r>
              <w:t>1</w:t>
            </w:r>
          </w:p>
        </w:tc>
        <w:tc>
          <w:tcPr>
            <w:tcW w:w="1800" w:type="dxa"/>
            <w:tcBorders>
              <w:top w:val="single" w:sz="6" w:space="0" w:color="auto"/>
              <w:left w:val="nil"/>
              <w:bottom w:val="nil"/>
              <w:right w:val="nil"/>
            </w:tcBorders>
            <w:vAlign w:val="center"/>
          </w:tcPr>
          <w:p w14:paraId="444937C4" w14:textId="77777777" w:rsidR="000305F4" w:rsidRDefault="000305F4" w:rsidP="001B28D1">
            <w:pPr>
              <w:widowControl w:val="0"/>
              <w:autoSpaceDE w:val="0"/>
              <w:autoSpaceDN w:val="0"/>
              <w:adjustRightInd w:val="0"/>
              <w:jc w:val="center"/>
            </w:pPr>
            <w:r>
              <w:t>2</w:t>
            </w:r>
          </w:p>
        </w:tc>
        <w:tc>
          <w:tcPr>
            <w:tcW w:w="1980" w:type="dxa"/>
            <w:tcBorders>
              <w:top w:val="single" w:sz="6" w:space="0" w:color="auto"/>
              <w:left w:val="nil"/>
              <w:bottom w:val="nil"/>
              <w:right w:val="nil"/>
            </w:tcBorders>
            <w:vAlign w:val="center"/>
          </w:tcPr>
          <w:p w14:paraId="47ED329E" w14:textId="77777777" w:rsidR="000305F4" w:rsidRDefault="000305F4" w:rsidP="001B28D1">
            <w:pPr>
              <w:widowControl w:val="0"/>
              <w:autoSpaceDE w:val="0"/>
              <w:autoSpaceDN w:val="0"/>
              <w:adjustRightInd w:val="0"/>
              <w:jc w:val="center"/>
            </w:pPr>
            <w:r>
              <w:t>3</w:t>
            </w:r>
          </w:p>
        </w:tc>
        <w:tc>
          <w:tcPr>
            <w:tcW w:w="2160" w:type="dxa"/>
            <w:tcBorders>
              <w:top w:val="single" w:sz="6" w:space="0" w:color="auto"/>
              <w:left w:val="nil"/>
              <w:bottom w:val="nil"/>
              <w:right w:val="nil"/>
            </w:tcBorders>
            <w:vAlign w:val="center"/>
          </w:tcPr>
          <w:p w14:paraId="71BBBE1F" w14:textId="77777777" w:rsidR="000305F4" w:rsidRDefault="000305F4" w:rsidP="001B28D1">
            <w:pPr>
              <w:widowControl w:val="0"/>
              <w:autoSpaceDE w:val="0"/>
              <w:autoSpaceDN w:val="0"/>
              <w:adjustRightInd w:val="0"/>
              <w:jc w:val="center"/>
            </w:pPr>
            <w:r>
              <w:t>4</w:t>
            </w:r>
          </w:p>
        </w:tc>
      </w:tr>
      <w:tr w:rsidR="000305F4" w14:paraId="0A505C62" w14:textId="77777777" w:rsidTr="001B28D1">
        <w:tc>
          <w:tcPr>
            <w:tcW w:w="2600" w:type="dxa"/>
            <w:tcBorders>
              <w:top w:val="single" w:sz="6" w:space="0" w:color="auto"/>
              <w:left w:val="nil"/>
              <w:bottom w:val="nil"/>
              <w:right w:val="nil"/>
            </w:tcBorders>
            <w:vAlign w:val="center"/>
          </w:tcPr>
          <w:p w14:paraId="38DEE41D" w14:textId="77777777" w:rsidR="000305F4" w:rsidRDefault="000305F4" w:rsidP="001B28D1">
            <w:pPr>
              <w:widowControl w:val="0"/>
              <w:autoSpaceDE w:val="0"/>
              <w:autoSpaceDN w:val="0"/>
              <w:adjustRightInd w:val="0"/>
            </w:pPr>
          </w:p>
        </w:tc>
        <w:tc>
          <w:tcPr>
            <w:tcW w:w="1080" w:type="dxa"/>
            <w:tcBorders>
              <w:top w:val="single" w:sz="6" w:space="0" w:color="auto"/>
              <w:left w:val="nil"/>
              <w:bottom w:val="nil"/>
              <w:right w:val="nil"/>
            </w:tcBorders>
            <w:vAlign w:val="center"/>
          </w:tcPr>
          <w:p w14:paraId="59E1FC68" w14:textId="77777777" w:rsidR="000305F4" w:rsidRDefault="000305F4" w:rsidP="001B28D1">
            <w:pPr>
              <w:widowControl w:val="0"/>
              <w:tabs>
                <w:tab w:val="decimal" w:leader="dot" w:pos="428"/>
              </w:tabs>
              <w:autoSpaceDE w:val="0"/>
              <w:autoSpaceDN w:val="0"/>
              <w:adjustRightInd w:val="0"/>
            </w:pPr>
          </w:p>
        </w:tc>
        <w:tc>
          <w:tcPr>
            <w:tcW w:w="720" w:type="dxa"/>
            <w:tcBorders>
              <w:top w:val="single" w:sz="6" w:space="0" w:color="auto"/>
              <w:left w:val="nil"/>
              <w:bottom w:val="nil"/>
              <w:right w:val="nil"/>
            </w:tcBorders>
            <w:vAlign w:val="center"/>
          </w:tcPr>
          <w:p w14:paraId="4D9D13BF" w14:textId="77777777" w:rsidR="000305F4" w:rsidRDefault="000305F4" w:rsidP="001B28D1">
            <w:pPr>
              <w:widowControl w:val="0"/>
              <w:tabs>
                <w:tab w:val="decimal" w:leader="dot" w:pos="428"/>
              </w:tabs>
              <w:autoSpaceDE w:val="0"/>
              <w:autoSpaceDN w:val="0"/>
              <w:adjustRightInd w:val="0"/>
              <w:jc w:val="center"/>
            </w:pPr>
          </w:p>
        </w:tc>
        <w:tc>
          <w:tcPr>
            <w:tcW w:w="1260" w:type="dxa"/>
            <w:tcBorders>
              <w:top w:val="single" w:sz="6" w:space="0" w:color="auto"/>
              <w:left w:val="nil"/>
              <w:bottom w:val="nil"/>
              <w:right w:val="nil"/>
            </w:tcBorders>
            <w:vAlign w:val="center"/>
          </w:tcPr>
          <w:p w14:paraId="1E0B6ACB" w14:textId="77777777" w:rsidR="000305F4" w:rsidRDefault="000305F4" w:rsidP="001B28D1">
            <w:pPr>
              <w:widowControl w:val="0"/>
              <w:tabs>
                <w:tab w:val="decimal" w:leader="dot" w:pos="428"/>
              </w:tabs>
              <w:autoSpaceDE w:val="0"/>
              <w:autoSpaceDN w:val="0"/>
              <w:adjustRightInd w:val="0"/>
              <w:jc w:val="center"/>
            </w:pPr>
          </w:p>
        </w:tc>
        <w:tc>
          <w:tcPr>
            <w:tcW w:w="1620" w:type="dxa"/>
            <w:tcBorders>
              <w:top w:val="single" w:sz="6" w:space="0" w:color="auto"/>
              <w:left w:val="nil"/>
              <w:bottom w:val="nil"/>
              <w:right w:val="nil"/>
            </w:tcBorders>
            <w:vAlign w:val="center"/>
          </w:tcPr>
          <w:p w14:paraId="370CB082" w14:textId="77777777" w:rsidR="000305F4" w:rsidRDefault="000305F4" w:rsidP="001B28D1">
            <w:pPr>
              <w:widowControl w:val="0"/>
              <w:tabs>
                <w:tab w:val="decimal" w:leader="dot" w:pos="428"/>
              </w:tabs>
              <w:autoSpaceDE w:val="0"/>
              <w:autoSpaceDN w:val="0"/>
              <w:adjustRightInd w:val="0"/>
              <w:jc w:val="center"/>
            </w:pPr>
          </w:p>
        </w:tc>
        <w:tc>
          <w:tcPr>
            <w:tcW w:w="1800" w:type="dxa"/>
            <w:tcBorders>
              <w:top w:val="single" w:sz="6" w:space="0" w:color="auto"/>
              <w:left w:val="nil"/>
              <w:bottom w:val="nil"/>
              <w:right w:val="nil"/>
            </w:tcBorders>
            <w:vAlign w:val="center"/>
          </w:tcPr>
          <w:p w14:paraId="7CDC3EFE" w14:textId="77777777" w:rsidR="000305F4" w:rsidRDefault="000305F4" w:rsidP="001B28D1">
            <w:pPr>
              <w:widowControl w:val="0"/>
              <w:tabs>
                <w:tab w:val="decimal" w:leader="dot" w:pos="428"/>
              </w:tabs>
              <w:autoSpaceDE w:val="0"/>
              <w:autoSpaceDN w:val="0"/>
              <w:adjustRightInd w:val="0"/>
              <w:jc w:val="center"/>
            </w:pPr>
          </w:p>
        </w:tc>
        <w:tc>
          <w:tcPr>
            <w:tcW w:w="1980" w:type="dxa"/>
            <w:tcBorders>
              <w:top w:val="single" w:sz="6" w:space="0" w:color="auto"/>
              <w:left w:val="nil"/>
              <w:bottom w:val="nil"/>
              <w:right w:val="nil"/>
            </w:tcBorders>
            <w:vAlign w:val="center"/>
          </w:tcPr>
          <w:p w14:paraId="28699953" w14:textId="77777777" w:rsidR="000305F4" w:rsidRDefault="000305F4" w:rsidP="001B28D1">
            <w:pPr>
              <w:widowControl w:val="0"/>
              <w:tabs>
                <w:tab w:val="decimal" w:leader="dot" w:pos="428"/>
              </w:tabs>
              <w:autoSpaceDE w:val="0"/>
              <w:autoSpaceDN w:val="0"/>
              <w:adjustRightInd w:val="0"/>
              <w:jc w:val="center"/>
            </w:pPr>
          </w:p>
        </w:tc>
        <w:tc>
          <w:tcPr>
            <w:tcW w:w="2160" w:type="dxa"/>
            <w:tcBorders>
              <w:top w:val="single" w:sz="6" w:space="0" w:color="auto"/>
              <w:left w:val="nil"/>
              <w:bottom w:val="nil"/>
              <w:right w:val="nil"/>
            </w:tcBorders>
            <w:vAlign w:val="center"/>
          </w:tcPr>
          <w:p w14:paraId="762BD326" w14:textId="77777777" w:rsidR="000305F4" w:rsidRDefault="000305F4" w:rsidP="001B28D1">
            <w:pPr>
              <w:widowControl w:val="0"/>
              <w:tabs>
                <w:tab w:val="decimal" w:leader="dot" w:pos="428"/>
              </w:tabs>
              <w:autoSpaceDE w:val="0"/>
              <w:autoSpaceDN w:val="0"/>
              <w:adjustRightInd w:val="0"/>
              <w:jc w:val="center"/>
            </w:pPr>
          </w:p>
        </w:tc>
      </w:tr>
      <w:tr w:rsidR="000305F4" w14:paraId="406ECBEB" w14:textId="77777777" w:rsidTr="001B28D1">
        <w:tc>
          <w:tcPr>
            <w:tcW w:w="2600" w:type="dxa"/>
            <w:tcBorders>
              <w:top w:val="nil"/>
              <w:left w:val="nil"/>
              <w:bottom w:val="nil"/>
              <w:right w:val="nil"/>
            </w:tcBorders>
            <w:vAlign w:val="center"/>
          </w:tcPr>
          <w:p w14:paraId="47F4CD94" w14:textId="77777777" w:rsidR="000305F4" w:rsidRPr="001A5D85" w:rsidRDefault="000305F4" w:rsidP="001B28D1">
            <w:pPr>
              <w:widowControl w:val="0"/>
              <w:autoSpaceDE w:val="0"/>
              <w:autoSpaceDN w:val="0"/>
              <w:adjustRightInd w:val="0"/>
              <w:rPr>
                <w:sz w:val="20"/>
                <w:szCs w:val="20"/>
              </w:rPr>
            </w:pPr>
            <w:r w:rsidRPr="001A5D85">
              <w:rPr>
                <w:sz w:val="20"/>
                <w:szCs w:val="20"/>
              </w:rPr>
              <w:t>1. Desire for social distance from White people</w:t>
            </w:r>
          </w:p>
        </w:tc>
        <w:tc>
          <w:tcPr>
            <w:tcW w:w="1080" w:type="dxa"/>
            <w:tcBorders>
              <w:top w:val="nil"/>
              <w:left w:val="nil"/>
              <w:bottom w:val="nil"/>
              <w:right w:val="nil"/>
            </w:tcBorders>
            <w:vAlign w:val="center"/>
          </w:tcPr>
          <w:p w14:paraId="157F8687" w14:textId="77777777" w:rsidR="000305F4" w:rsidRPr="001A5D85" w:rsidRDefault="000305F4" w:rsidP="001B28D1">
            <w:pPr>
              <w:widowControl w:val="0"/>
              <w:tabs>
                <w:tab w:val="decimal" w:leader="dot" w:pos="428"/>
              </w:tabs>
              <w:autoSpaceDE w:val="0"/>
              <w:autoSpaceDN w:val="0"/>
              <w:adjustRightInd w:val="0"/>
              <w:rPr>
                <w:sz w:val="20"/>
                <w:szCs w:val="20"/>
              </w:rPr>
            </w:pPr>
            <w:r>
              <w:rPr>
                <w:sz w:val="20"/>
                <w:szCs w:val="20"/>
              </w:rPr>
              <w:t>1 - 7</w:t>
            </w:r>
          </w:p>
        </w:tc>
        <w:tc>
          <w:tcPr>
            <w:tcW w:w="720" w:type="dxa"/>
            <w:tcBorders>
              <w:top w:val="nil"/>
              <w:left w:val="nil"/>
              <w:bottom w:val="nil"/>
              <w:right w:val="nil"/>
            </w:tcBorders>
            <w:vAlign w:val="center"/>
          </w:tcPr>
          <w:p w14:paraId="5858A1C3" w14:textId="77777777" w:rsidR="000305F4" w:rsidRPr="001A5D85" w:rsidRDefault="000305F4" w:rsidP="001B28D1">
            <w:pPr>
              <w:widowControl w:val="0"/>
              <w:tabs>
                <w:tab w:val="decimal" w:leader="dot" w:pos="428"/>
              </w:tabs>
              <w:autoSpaceDE w:val="0"/>
              <w:autoSpaceDN w:val="0"/>
              <w:adjustRightInd w:val="0"/>
              <w:jc w:val="center"/>
              <w:rPr>
                <w:sz w:val="20"/>
                <w:szCs w:val="20"/>
              </w:rPr>
            </w:pPr>
            <w:r w:rsidRPr="001A5D85">
              <w:rPr>
                <w:sz w:val="20"/>
                <w:szCs w:val="20"/>
              </w:rPr>
              <w:t>1.38</w:t>
            </w:r>
          </w:p>
        </w:tc>
        <w:tc>
          <w:tcPr>
            <w:tcW w:w="1260" w:type="dxa"/>
            <w:tcBorders>
              <w:top w:val="nil"/>
              <w:left w:val="nil"/>
              <w:bottom w:val="nil"/>
              <w:right w:val="nil"/>
            </w:tcBorders>
            <w:vAlign w:val="center"/>
          </w:tcPr>
          <w:p w14:paraId="5B42A2EF" w14:textId="77777777" w:rsidR="000305F4" w:rsidRPr="001A5D85" w:rsidRDefault="000305F4" w:rsidP="001B28D1">
            <w:pPr>
              <w:widowControl w:val="0"/>
              <w:tabs>
                <w:tab w:val="decimal" w:leader="dot" w:pos="428"/>
              </w:tabs>
              <w:autoSpaceDE w:val="0"/>
              <w:autoSpaceDN w:val="0"/>
              <w:adjustRightInd w:val="0"/>
              <w:jc w:val="center"/>
              <w:rPr>
                <w:sz w:val="20"/>
                <w:szCs w:val="20"/>
              </w:rPr>
            </w:pPr>
            <w:r w:rsidRPr="001A5D85">
              <w:rPr>
                <w:sz w:val="20"/>
                <w:szCs w:val="20"/>
              </w:rPr>
              <w:t>0.73</w:t>
            </w:r>
          </w:p>
        </w:tc>
        <w:tc>
          <w:tcPr>
            <w:tcW w:w="1620" w:type="dxa"/>
            <w:tcBorders>
              <w:top w:val="nil"/>
              <w:left w:val="nil"/>
              <w:bottom w:val="nil"/>
              <w:right w:val="nil"/>
            </w:tcBorders>
            <w:vAlign w:val="center"/>
          </w:tcPr>
          <w:p w14:paraId="267196A6" w14:textId="77777777" w:rsidR="000305F4" w:rsidRDefault="000305F4" w:rsidP="001B28D1">
            <w:pPr>
              <w:widowControl w:val="0"/>
              <w:tabs>
                <w:tab w:val="decimal" w:leader="dot" w:pos="428"/>
              </w:tabs>
              <w:autoSpaceDE w:val="0"/>
              <w:autoSpaceDN w:val="0"/>
              <w:adjustRightInd w:val="0"/>
              <w:jc w:val="center"/>
            </w:pPr>
          </w:p>
        </w:tc>
        <w:tc>
          <w:tcPr>
            <w:tcW w:w="1800" w:type="dxa"/>
            <w:tcBorders>
              <w:top w:val="nil"/>
              <w:left w:val="nil"/>
              <w:bottom w:val="nil"/>
              <w:right w:val="nil"/>
            </w:tcBorders>
            <w:vAlign w:val="center"/>
          </w:tcPr>
          <w:p w14:paraId="6EAD2064" w14:textId="77777777" w:rsidR="000305F4" w:rsidRDefault="000305F4" w:rsidP="001B28D1">
            <w:pPr>
              <w:widowControl w:val="0"/>
              <w:tabs>
                <w:tab w:val="decimal" w:leader="dot" w:pos="428"/>
              </w:tabs>
              <w:autoSpaceDE w:val="0"/>
              <w:autoSpaceDN w:val="0"/>
              <w:adjustRightInd w:val="0"/>
              <w:jc w:val="center"/>
            </w:pPr>
          </w:p>
        </w:tc>
        <w:tc>
          <w:tcPr>
            <w:tcW w:w="1980" w:type="dxa"/>
            <w:tcBorders>
              <w:top w:val="nil"/>
              <w:left w:val="nil"/>
              <w:bottom w:val="nil"/>
              <w:right w:val="nil"/>
            </w:tcBorders>
            <w:vAlign w:val="center"/>
          </w:tcPr>
          <w:p w14:paraId="02C07E1D" w14:textId="77777777" w:rsidR="000305F4" w:rsidRDefault="000305F4" w:rsidP="001B28D1">
            <w:pPr>
              <w:widowControl w:val="0"/>
              <w:tabs>
                <w:tab w:val="decimal" w:leader="dot" w:pos="428"/>
              </w:tabs>
              <w:autoSpaceDE w:val="0"/>
              <w:autoSpaceDN w:val="0"/>
              <w:adjustRightInd w:val="0"/>
              <w:jc w:val="center"/>
            </w:pPr>
          </w:p>
        </w:tc>
        <w:tc>
          <w:tcPr>
            <w:tcW w:w="2160" w:type="dxa"/>
            <w:tcBorders>
              <w:top w:val="nil"/>
              <w:left w:val="nil"/>
              <w:bottom w:val="nil"/>
              <w:right w:val="nil"/>
            </w:tcBorders>
            <w:vAlign w:val="center"/>
          </w:tcPr>
          <w:p w14:paraId="2DB2D3A9" w14:textId="77777777" w:rsidR="000305F4" w:rsidRDefault="000305F4" w:rsidP="001B28D1">
            <w:pPr>
              <w:widowControl w:val="0"/>
              <w:tabs>
                <w:tab w:val="decimal" w:leader="dot" w:pos="428"/>
              </w:tabs>
              <w:autoSpaceDE w:val="0"/>
              <w:autoSpaceDN w:val="0"/>
              <w:adjustRightInd w:val="0"/>
              <w:jc w:val="center"/>
            </w:pPr>
          </w:p>
        </w:tc>
      </w:tr>
      <w:tr w:rsidR="000305F4" w14:paraId="086E43F1" w14:textId="77777777" w:rsidTr="001B28D1">
        <w:tc>
          <w:tcPr>
            <w:tcW w:w="2600" w:type="dxa"/>
            <w:tcBorders>
              <w:top w:val="nil"/>
              <w:left w:val="nil"/>
              <w:bottom w:val="nil"/>
              <w:right w:val="nil"/>
            </w:tcBorders>
            <w:vAlign w:val="center"/>
          </w:tcPr>
          <w:p w14:paraId="7591D8D3" w14:textId="77777777" w:rsidR="000305F4" w:rsidRPr="00E04633" w:rsidRDefault="000305F4" w:rsidP="001B28D1">
            <w:pPr>
              <w:widowControl w:val="0"/>
              <w:autoSpaceDE w:val="0"/>
              <w:autoSpaceDN w:val="0"/>
              <w:adjustRightInd w:val="0"/>
              <w:rPr>
                <w:sz w:val="20"/>
                <w:szCs w:val="20"/>
              </w:rPr>
            </w:pPr>
          </w:p>
        </w:tc>
        <w:tc>
          <w:tcPr>
            <w:tcW w:w="1080" w:type="dxa"/>
            <w:tcBorders>
              <w:top w:val="nil"/>
              <w:left w:val="nil"/>
              <w:bottom w:val="nil"/>
              <w:right w:val="nil"/>
            </w:tcBorders>
            <w:vAlign w:val="center"/>
          </w:tcPr>
          <w:p w14:paraId="77380A6A" w14:textId="77777777" w:rsidR="000305F4" w:rsidRDefault="000305F4" w:rsidP="001B28D1">
            <w:pPr>
              <w:widowControl w:val="0"/>
              <w:tabs>
                <w:tab w:val="decimal" w:leader="dot" w:pos="428"/>
              </w:tabs>
              <w:autoSpaceDE w:val="0"/>
              <w:autoSpaceDN w:val="0"/>
              <w:adjustRightInd w:val="0"/>
            </w:pPr>
          </w:p>
        </w:tc>
        <w:tc>
          <w:tcPr>
            <w:tcW w:w="720" w:type="dxa"/>
            <w:tcBorders>
              <w:top w:val="nil"/>
              <w:left w:val="nil"/>
              <w:bottom w:val="nil"/>
              <w:right w:val="nil"/>
            </w:tcBorders>
            <w:vAlign w:val="center"/>
          </w:tcPr>
          <w:p w14:paraId="3BF476C6" w14:textId="77777777" w:rsidR="000305F4" w:rsidRDefault="000305F4" w:rsidP="001B28D1">
            <w:pPr>
              <w:widowControl w:val="0"/>
              <w:tabs>
                <w:tab w:val="decimal" w:leader="dot" w:pos="428"/>
              </w:tabs>
              <w:autoSpaceDE w:val="0"/>
              <w:autoSpaceDN w:val="0"/>
              <w:adjustRightInd w:val="0"/>
              <w:jc w:val="center"/>
            </w:pPr>
          </w:p>
        </w:tc>
        <w:tc>
          <w:tcPr>
            <w:tcW w:w="1260" w:type="dxa"/>
            <w:tcBorders>
              <w:top w:val="nil"/>
              <w:left w:val="nil"/>
              <w:bottom w:val="nil"/>
              <w:right w:val="nil"/>
            </w:tcBorders>
            <w:vAlign w:val="center"/>
          </w:tcPr>
          <w:p w14:paraId="2C7D63EC" w14:textId="77777777" w:rsidR="000305F4" w:rsidRDefault="000305F4" w:rsidP="001B28D1">
            <w:pPr>
              <w:widowControl w:val="0"/>
              <w:tabs>
                <w:tab w:val="decimal" w:leader="dot" w:pos="428"/>
              </w:tabs>
              <w:autoSpaceDE w:val="0"/>
              <w:autoSpaceDN w:val="0"/>
              <w:adjustRightInd w:val="0"/>
              <w:jc w:val="center"/>
            </w:pPr>
          </w:p>
        </w:tc>
        <w:tc>
          <w:tcPr>
            <w:tcW w:w="1620" w:type="dxa"/>
            <w:tcBorders>
              <w:top w:val="nil"/>
              <w:left w:val="nil"/>
              <w:bottom w:val="nil"/>
              <w:right w:val="nil"/>
            </w:tcBorders>
            <w:vAlign w:val="center"/>
          </w:tcPr>
          <w:p w14:paraId="616F0DFA" w14:textId="77777777" w:rsidR="000305F4" w:rsidRDefault="000305F4" w:rsidP="001B28D1">
            <w:pPr>
              <w:widowControl w:val="0"/>
              <w:tabs>
                <w:tab w:val="decimal" w:leader="dot" w:pos="428"/>
              </w:tabs>
              <w:autoSpaceDE w:val="0"/>
              <w:autoSpaceDN w:val="0"/>
              <w:adjustRightInd w:val="0"/>
              <w:jc w:val="center"/>
            </w:pPr>
          </w:p>
        </w:tc>
        <w:tc>
          <w:tcPr>
            <w:tcW w:w="1800" w:type="dxa"/>
            <w:tcBorders>
              <w:top w:val="nil"/>
              <w:left w:val="nil"/>
              <w:bottom w:val="nil"/>
              <w:right w:val="nil"/>
            </w:tcBorders>
            <w:vAlign w:val="center"/>
          </w:tcPr>
          <w:p w14:paraId="7C782754" w14:textId="77777777" w:rsidR="000305F4" w:rsidRDefault="000305F4" w:rsidP="001B28D1">
            <w:pPr>
              <w:widowControl w:val="0"/>
              <w:tabs>
                <w:tab w:val="decimal" w:leader="dot" w:pos="428"/>
              </w:tabs>
              <w:autoSpaceDE w:val="0"/>
              <w:autoSpaceDN w:val="0"/>
              <w:adjustRightInd w:val="0"/>
              <w:jc w:val="center"/>
            </w:pPr>
          </w:p>
        </w:tc>
        <w:tc>
          <w:tcPr>
            <w:tcW w:w="1980" w:type="dxa"/>
            <w:tcBorders>
              <w:top w:val="nil"/>
              <w:left w:val="nil"/>
              <w:bottom w:val="nil"/>
              <w:right w:val="nil"/>
            </w:tcBorders>
            <w:vAlign w:val="center"/>
          </w:tcPr>
          <w:p w14:paraId="2889B6DB" w14:textId="77777777" w:rsidR="000305F4" w:rsidRDefault="000305F4" w:rsidP="001B28D1">
            <w:pPr>
              <w:widowControl w:val="0"/>
              <w:tabs>
                <w:tab w:val="decimal" w:leader="dot" w:pos="428"/>
              </w:tabs>
              <w:autoSpaceDE w:val="0"/>
              <w:autoSpaceDN w:val="0"/>
              <w:adjustRightInd w:val="0"/>
              <w:jc w:val="center"/>
            </w:pPr>
          </w:p>
        </w:tc>
        <w:tc>
          <w:tcPr>
            <w:tcW w:w="2160" w:type="dxa"/>
            <w:tcBorders>
              <w:top w:val="nil"/>
              <w:left w:val="nil"/>
              <w:bottom w:val="nil"/>
              <w:right w:val="nil"/>
            </w:tcBorders>
            <w:vAlign w:val="center"/>
          </w:tcPr>
          <w:p w14:paraId="4638B46B" w14:textId="77777777" w:rsidR="000305F4" w:rsidRDefault="000305F4" w:rsidP="001B28D1">
            <w:pPr>
              <w:widowControl w:val="0"/>
              <w:tabs>
                <w:tab w:val="decimal" w:leader="dot" w:pos="428"/>
              </w:tabs>
              <w:autoSpaceDE w:val="0"/>
              <w:autoSpaceDN w:val="0"/>
              <w:adjustRightInd w:val="0"/>
              <w:jc w:val="center"/>
            </w:pPr>
          </w:p>
        </w:tc>
      </w:tr>
      <w:tr w:rsidR="000305F4" w14:paraId="194EE07A" w14:textId="77777777" w:rsidTr="001B28D1">
        <w:tc>
          <w:tcPr>
            <w:tcW w:w="2600" w:type="dxa"/>
            <w:tcBorders>
              <w:top w:val="nil"/>
              <w:left w:val="nil"/>
              <w:bottom w:val="nil"/>
              <w:right w:val="nil"/>
            </w:tcBorders>
            <w:vAlign w:val="center"/>
          </w:tcPr>
          <w:p w14:paraId="09312A94" w14:textId="77777777" w:rsidR="000305F4" w:rsidRPr="001A5D85" w:rsidRDefault="000305F4" w:rsidP="001B28D1">
            <w:pPr>
              <w:widowControl w:val="0"/>
              <w:autoSpaceDE w:val="0"/>
              <w:autoSpaceDN w:val="0"/>
              <w:adjustRightInd w:val="0"/>
              <w:rPr>
                <w:sz w:val="20"/>
                <w:szCs w:val="20"/>
              </w:rPr>
            </w:pPr>
            <w:r w:rsidRPr="001A5D85">
              <w:rPr>
                <w:sz w:val="20"/>
                <w:szCs w:val="20"/>
              </w:rPr>
              <w:t xml:space="preserve"> 2. Support for exclusionary anti-European travel policy</w:t>
            </w:r>
          </w:p>
        </w:tc>
        <w:tc>
          <w:tcPr>
            <w:tcW w:w="1080" w:type="dxa"/>
            <w:tcBorders>
              <w:top w:val="nil"/>
              <w:left w:val="nil"/>
              <w:bottom w:val="nil"/>
              <w:right w:val="nil"/>
            </w:tcBorders>
            <w:vAlign w:val="center"/>
          </w:tcPr>
          <w:p w14:paraId="3E3B21D1" w14:textId="77777777" w:rsidR="000305F4" w:rsidRPr="001A5D85" w:rsidRDefault="000305F4" w:rsidP="001B28D1">
            <w:pPr>
              <w:widowControl w:val="0"/>
              <w:tabs>
                <w:tab w:val="decimal" w:leader="dot" w:pos="428"/>
              </w:tabs>
              <w:autoSpaceDE w:val="0"/>
              <w:autoSpaceDN w:val="0"/>
              <w:adjustRightInd w:val="0"/>
              <w:rPr>
                <w:sz w:val="20"/>
                <w:szCs w:val="20"/>
              </w:rPr>
            </w:pPr>
            <w:r>
              <w:rPr>
                <w:sz w:val="20"/>
                <w:szCs w:val="20"/>
              </w:rPr>
              <w:t>1 - 7</w:t>
            </w:r>
          </w:p>
        </w:tc>
        <w:tc>
          <w:tcPr>
            <w:tcW w:w="720" w:type="dxa"/>
            <w:tcBorders>
              <w:top w:val="nil"/>
              <w:left w:val="nil"/>
              <w:bottom w:val="nil"/>
              <w:right w:val="nil"/>
            </w:tcBorders>
            <w:vAlign w:val="center"/>
          </w:tcPr>
          <w:p w14:paraId="7D8D35A6" w14:textId="77777777" w:rsidR="000305F4" w:rsidRPr="001A5D85" w:rsidRDefault="000305F4" w:rsidP="001B28D1">
            <w:pPr>
              <w:widowControl w:val="0"/>
              <w:tabs>
                <w:tab w:val="decimal" w:leader="dot" w:pos="428"/>
              </w:tabs>
              <w:autoSpaceDE w:val="0"/>
              <w:autoSpaceDN w:val="0"/>
              <w:adjustRightInd w:val="0"/>
              <w:jc w:val="center"/>
              <w:rPr>
                <w:sz w:val="20"/>
                <w:szCs w:val="20"/>
              </w:rPr>
            </w:pPr>
            <w:r w:rsidRPr="001A5D85">
              <w:rPr>
                <w:sz w:val="20"/>
                <w:szCs w:val="20"/>
              </w:rPr>
              <w:t>6.07</w:t>
            </w:r>
          </w:p>
        </w:tc>
        <w:tc>
          <w:tcPr>
            <w:tcW w:w="1260" w:type="dxa"/>
            <w:tcBorders>
              <w:top w:val="nil"/>
              <w:left w:val="nil"/>
              <w:bottom w:val="nil"/>
              <w:right w:val="nil"/>
            </w:tcBorders>
            <w:vAlign w:val="center"/>
          </w:tcPr>
          <w:p w14:paraId="2D5022A2" w14:textId="77777777" w:rsidR="000305F4" w:rsidRPr="001A5D85" w:rsidRDefault="000305F4" w:rsidP="001B28D1">
            <w:pPr>
              <w:widowControl w:val="0"/>
              <w:tabs>
                <w:tab w:val="decimal" w:leader="dot" w:pos="428"/>
              </w:tabs>
              <w:autoSpaceDE w:val="0"/>
              <w:autoSpaceDN w:val="0"/>
              <w:adjustRightInd w:val="0"/>
              <w:jc w:val="center"/>
              <w:rPr>
                <w:sz w:val="20"/>
                <w:szCs w:val="20"/>
              </w:rPr>
            </w:pPr>
            <w:r w:rsidRPr="001A5D85">
              <w:rPr>
                <w:sz w:val="20"/>
                <w:szCs w:val="20"/>
              </w:rPr>
              <w:t>1.36</w:t>
            </w:r>
          </w:p>
        </w:tc>
        <w:tc>
          <w:tcPr>
            <w:tcW w:w="1620" w:type="dxa"/>
            <w:tcBorders>
              <w:top w:val="nil"/>
              <w:left w:val="nil"/>
              <w:bottom w:val="nil"/>
              <w:right w:val="nil"/>
            </w:tcBorders>
            <w:vAlign w:val="center"/>
          </w:tcPr>
          <w:p w14:paraId="764D681B" w14:textId="77777777" w:rsidR="000305F4" w:rsidRPr="001A5D85" w:rsidRDefault="000305F4" w:rsidP="001B28D1">
            <w:pPr>
              <w:widowControl w:val="0"/>
              <w:tabs>
                <w:tab w:val="decimal" w:leader="dot" w:pos="428"/>
              </w:tabs>
              <w:autoSpaceDE w:val="0"/>
              <w:autoSpaceDN w:val="0"/>
              <w:adjustRightInd w:val="0"/>
              <w:jc w:val="center"/>
              <w:rPr>
                <w:sz w:val="20"/>
                <w:szCs w:val="20"/>
              </w:rPr>
            </w:pPr>
            <w:r w:rsidRPr="001A5D85">
              <w:rPr>
                <w:sz w:val="20"/>
                <w:szCs w:val="20"/>
              </w:rPr>
              <w:t>-.33**</w:t>
            </w:r>
          </w:p>
        </w:tc>
        <w:tc>
          <w:tcPr>
            <w:tcW w:w="1800" w:type="dxa"/>
            <w:tcBorders>
              <w:top w:val="nil"/>
              <w:left w:val="nil"/>
              <w:bottom w:val="nil"/>
              <w:right w:val="nil"/>
            </w:tcBorders>
            <w:vAlign w:val="center"/>
          </w:tcPr>
          <w:p w14:paraId="129FCA0C" w14:textId="77777777" w:rsidR="000305F4" w:rsidRDefault="000305F4" w:rsidP="001B28D1">
            <w:pPr>
              <w:widowControl w:val="0"/>
              <w:tabs>
                <w:tab w:val="decimal" w:leader="dot" w:pos="428"/>
              </w:tabs>
              <w:autoSpaceDE w:val="0"/>
              <w:autoSpaceDN w:val="0"/>
              <w:adjustRightInd w:val="0"/>
              <w:jc w:val="center"/>
            </w:pPr>
          </w:p>
        </w:tc>
        <w:tc>
          <w:tcPr>
            <w:tcW w:w="1980" w:type="dxa"/>
            <w:tcBorders>
              <w:top w:val="nil"/>
              <w:left w:val="nil"/>
              <w:bottom w:val="nil"/>
              <w:right w:val="nil"/>
            </w:tcBorders>
            <w:vAlign w:val="center"/>
          </w:tcPr>
          <w:p w14:paraId="1716FA1D" w14:textId="77777777" w:rsidR="000305F4" w:rsidRDefault="000305F4" w:rsidP="001B28D1">
            <w:pPr>
              <w:widowControl w:val="0"/>
              <w:tabs>
                <w:tab w:val="decimal" w:leader="dot" w:pos="428"/>
              </w:tabs>
              <w:autoSpaceDE w:val="0"/>
              <w:autoSpaceDN w:val="0"/>
              <w:adjustRightInd w:val="0"/>
              <w:jc w:val="center"/>
            </w:pPr>
          </w:p>
        </w:tc>
        <w:tc>
          <w:tcPr>
            <w:tcW w:w="2160" w:type="dxa"/>
            <w:tcBorders>
              <w:top w:val="nil"/>
              <w:left w:val="nil"/>
              <w:bottom w:val="nil"/>
              <w:right w:val="nil"/>
            </w:tcBorders>
            <w:vAlign w:val="center"/>
          </w:tcPr>
          <w:p w14:paraId="6785F683" w14:textId="77777777" w:rsidR="000305F4" w:rsidRDefault="000305F4" w:rsidP="001B28D1">
            <w:pPr>
              <w:widowControl w:val="0"/>
              <w:tabs>
                <w:tab w:val="decimal" w:leader="dot" w:pos="428"/>
              </w:tabs>
              <w:autoSpaceDE w:val="0"/>
              <w:autoSpaceDN w:val="0"/>
              <w:adjustRightInd w:val="0"/>
              <w:jc w:val="center"/>
            </w:pPr>
          </w:p>
        </w:tc>
      </w:tr>
      <w:tr w:rsidR="000305F4" w14:paraId="383FC6E6" w14:textId="77777777" w:rsidTr="001B28D1">
        <w:tc>
          <w:tcPr>
            <w:tcW w:w="2600" w:type="dxa"/>
            <w:tcBorders>
              <w:top w:val="nil"/>
              <w:left w:val="nil"/>
              <w:bottom w:val="nil"/>
              <w:right w:val="nil"/>
            </w:tcBorders>
            <w:vAlign w:val="center"/>
          </w:tcPr>
          <w:p w14:paraId="0206567B" w14:textId="77777777" w:rsidR="000305F4" w:rsidRPr="00E04633" w:rsidRDefault="000305F4" w:rsidP="001B28D1">
            <w:pPr>
              <w:widowControl w:val="0"/>
              <w:autoSpaceDE w:val="0"/>
              <w:autoSpaceDN w:val="0"/>
              <w:adjustRightInd w:val="0"/>
              <w:rPr>
                <w:sz w:val="20"/>
                <w:szCs w:val="20"/>
              </w:rPr>
            </w:pPr>
          </w:p>
        </w:tc>
        <w:tc>
          <w:tcPr>
            <w:tcW w:w="1080" w:type="dxa"/>
            <w:tcBorders>
              <w:top w:val="nil"/>
              <w:left w:val="nil"/>
              <w:bottom w:val="nil"/>
              <w:right w:val="nil"/>
            </w:tcBorders>
            <w:vAlign w:val="center"/>
          </w:tcPr>
          <w:p w14:paraId="48305BF7" w14:textId="77777777" w:rsidR="000305F4" w:rsidRDefault="000305F4" w:rsidP="001B28D1">
            <w:pPr>
              <w:widowControl w:val="0"/>
              <w:tabs>
                <w:tab w:val="decimal" w:leader="dot" w:pos="428"/>
              </w:tabs>
              <w:autoSpaceDE w:val="0"/>
              <w:autoSpaceDN w:val="0"/>
              <w:adjustRightInd w:val="0"/>
            </w:pPr>
          </w:p>
        </w:tc>
        <w:tc>
          <w:tcPr>
            <w:tcW w:w="720" w:type="dxa"/>
            <w:tcBorders>
              <w:top w:val="nil"/>
              <w:left w:val="nil"/>
              <w:bottom w:val="nil"/>
              <w:right w:val="nil"/>
            </w:tcBorders>
            <w:vAlign w:val="center"/>
          </w:tcPr>
          <w:p w14:paraId="0244DDD1" w14:textId="77777777" w:rsidR="000305F4" w:rsidRDefault="000305F4" w:rsidP="001B28D1">
            <w:pPr>
              <w:widowControl w:val="0"/>
              <w:tabs>
                <w:tab w:val="decimal" w:leader="dot" w:pos="428"/>
              </w:tabs>
              <w:autoSpaceDE w:val="0"/>
              <w:autoSpaceDN w:val="0"/>
              <w:adjustRightInd w:val="0"/>
              <w:jc w:val="center"/>
            </w:pPr>
          </w:p>
        </w:tc>
        <w:tc>
          <w:tcPr>
            <w:tcW w:w="1260" w:type="dxa"/>
            <w:tcBorders>
              <w:top w:val="nil"/>
              <w:left w:val="nil"/>
              <w:bottom w:val="nil"/>
              <w:right w:val="nil"/>
            </w:tcBorders>
            <w:vAlign w:val="center"/>
          </w:tcPr>
          <w:p w14:paraId="26FE3F31" w14:textId="77777777" w:rsidR="000305F4" w:rsidRDefault="000305F4" w:rsidP="001B28D1">
            <w:pPr>
              <w:widowControl w:val="0"/>
              <w:tabs>
                <w:tab w:val="decimal" w:leader="dot" w:pos="428"/>
              </w:tabs>
              <w:autoSpaceDE w:val="0"/>
              <w:autoSpaceDN w:val="0"/>
              <w:adjustRightInd w:val="0"/>
              <w:jc w:val="center"/>
            </w:pPr>
          </w:p>
        </w:tc>
        <w:tc>
          <w:tcPr>
            <w:tcW w:w="1620" w:type="dxa"/>
            <w:tcBorders>
              <w:top w:val="nil"/>
              <w:left w:val="nil"/>
              <w:bottom w:val="nil"/>
              <w:right w:val="nil"/>
            </w:tcBorders>
            <w:vAlign w:val="center"/>
          </w:tcPr>
          <w:p w14:paraId="02CB1159" w14:textId="77777777" w:rsidR="000305F4" w:rsidRDefault="000305F4" w:rsidP="001B28D1">
            <w:pPr>
              <w:widowControl w:val="0"/>
              <w:tabs>
                <w:tab w:val="decimal" w:leader="dot" w:pos="428"/>
              </w:tabs>
              <w:autoSpaceDE w:val="0"/>
              <w:autoSpaceDN w:val="0"/>
              <w:adjustRightInd w:val="0"/>
              <w:jc w:val="center"/>
            </w:pPr>
            <w:r>
              <w:rPr>
                <w:sz w:val="20"/>
                <w:szCs w:val="20"/>
              </w:rPr>
              <w:t>[-.40, -.26]</w:t>
            </w:r>
          </w:p>
        </w:tc>
        <w:tc>
          <w:tcPr>
            <w:tcW w:w="1800" w:type="dxa"/>
            <w:tcBorders>
              <w:top w:val="nil"/>
              <w:left w:val="nil"/>
              <w:bottom w:val="nil"/>
              <w:right w:val="nil"/>
            </w:tcBorders>
            <w:vAlign w:val="center"/>
          </w:tcPr>
          <w:p w14:paraId="436545F2" w14:textId="77777777" w:rsidR="000305F4" w:rsidRDefault="000305F4" w:rsidP="001B28D1">
            <w:pPr>
              <w:widowControl w:val="0"/>
              <w:tabs>
                <w:tab w:val="decimal" w:leader="dot" w:pos="428"/>
              </w:tabs>
              <w:autoSpaceDE w:val="0"/>
              <w:autoSpaceDN w:val="0"/>
              <w:adjustRightInd w:val="0"/>
              <w:jc w:val="center"/>
            </w:pPr>
          </w:p>
        </w:tc>
        <w:tc>
          <w:tcPr>
            <w:tcW w:w="1980" w:type="dxa"/>
            <w:tcBorders>
              <w:top w:val="nil"/>
              <w:left w:val="nil"/>
              <w:bottom w:val="nil"/>
              <w:right w:val="nil"/>
            </w:tcBorders>
            <w:vAlign w:val="center"/>
          </w:tcPr>
          <w:p w14:paraId="1F391AC0" w14:textId="77777777" w:rsidR="000305F4" w:rsidRDefault="000305F4" w:rsidP="001B28D1">
            <w:pPr>
              <w:widowControl w:val="0"/>
              <w:tabs>
                <w:tab w:val="decimal" w:leader="dot" w:pos="428"/>
              </w:tabs>
              <w:autoSpaceDE w:val="0"/>
              <w:autoSpaceDN w:val="0"/>
              <w:adjustRightInd w:val="0"/>
              <w:jc w:val="center"/>
            </w:pPr>
          </w:p>
        </w:tc>
        <w:tc>
          <w:tcPr>
            <w:tcW w:w="2160" w:type="dxa"/>
            <w:tcBorders>
              <w:top w:val="nil"/>
              <w:left w:val="nil"/>
              <w:bottom w:val="nil"/>
              <w:right w:val="nil"/>
            </w:tcBorders>
            <w:vAlign w:val="center"/>
          </w:tcPr>
          <w:p w14:paraId="6CC40D51" w14:textId="77777777" w:rsidR="000305F4" w:rsidRDefault="000305F4" w:rsidP="001B28D1">
            <w:pPr>
              <w:widowControl w:val="0"/>
              <w:tabs>
                <w:tab w:val="decimal" w:leader="dot" w:pos="428"/>
              </w:tabs>
              <w:autoSpaceDE w:val="0"/>
              <w:autoSpaceDN w:val="0"/>
              <w:adjustRightInd w:val="0"/>
              <w:jc w:val="center"/>
            </w:pPr>
          </w:p>
        </w:tc>
      </w:tr>
      <w:tr w:rsidR="000305F4" w14:paraId="28F9277F" w14:textId="77777777" w:rsidTr="001B28D1">
        <w:tc>
          <w:tcPr>
            <w:tcW w:w="2600" w:type="dxa"/>
            <w:tcBorders>
              <w:top w:val="nil"/>
              <w:left w:val="nil"/>
              <w:bottom w:val="nil"/>
              <w:right w:val="nil"/>
            </w:tcBorders>
            <w:vAlign w:val="center"/>
          </w:tcPr>
          <w:p w14:paraId="01BE43BE" w14:textId="77777777" w:rsidR="000305F4" w:rsidRPr="00E04633" w:rsidRDefault="000305F4" w:rsidP="001B28D1">
            <w:pPr>
              <w:widowControl w:val="0"/>
              <w:autoSpaceDE w:val="0"/>
              <w:autoSpaceDN w:val="0"/>
              <w:adjustRightInd w:val="0"/>
              <w:rPr>
                <w:sz w:val="20"/>
                <w:szCs w:val="20"/>
              </w:rPr>
            </w:pPr>
          </w:p>
        </w:tc>
        <w:tc>
          <w:tcPr>
            <w:tcW w:w="1080" w:type="dxa"/>
            <w:tcBorders>
              <w:top w:val="nil"/>
              <w:left w:val="nil"/>
              <w:bottom w:val="nil"/>
              <w:right w:val="nil"/>
            </w:tcBorders>
            <w:vAlign w:val="center"/>
          </w:tcPr>
          <w:p w14:paraId="7B398FDC" w14:textId="77777777" w:rsidR="000305F4" w:rsidRDefault="000305F4" w:rsidP="001B28D1">
            <w:pPr>
              <w:widowControl w:val="0"/>
              <w:tabs>
                <w:tab w:val="decimal" w:leader="dot" w:pos="428"/>
              </w:tabs>
              <w:autoSpaceDE w:val="0"/>
              <w:autoSpaceDN w:val="0"/>
              <w:adjustRightInd w:val="0"/>
            </w:pPr>
          </w:p>
        </w:tc>
        <w:tc>
          <w:tcPr>
            <w:tcW w:w="720" w:type="dxa"/>
            <w:tcBorders>
              <w:top w:val="nil"/>
              <w:left w:val="nil"/>
              <w:bottom w:val="nil"/>
              <w:right w:val="nil"/>
            </w:tcBorders>
            <w:vAlign w:val="center"/>
          </w:tcPr>
          <w:p w14:paraId="6A50E1D5" w14:textId="77777777" w:rsidR="000305F4" w:rsidRDefault="000305F4" w:rsidP="001B28D1">
            <w:pPr>
              <w:widowControl w:val="0"/>
              <w:tabs>
                <w:tab w:val="decimal" w:leader="dot" w:pos="428"/>
              </w:tabs>
              <w:autoSpaceDE w:val="0"/>
              <w:autoSpaceDN w:val="0"/>
              <w:adjustRightInd w:val="0"/>
              <w:jc w:val="center"/>
            </w:pPr>
          </w:p>
        </w:tc>
        <w:tc>
          <w:tcPr>
            <w:tcW w:w="1260" w:type="dxa"/>
            <w:tcBorders>
              <w:top w:val="nil"/>
              <w:left w:val="nil"/>
              <w:bottom w:val="nil"/>
              <w:right w:val="nil"/>
            </w:tcBorders>
            <w:vAlign w:val="center"/>
          </w:tcPr>
          <w:p w14:paraId="3BF4A356" w14:textId="77777777" w:rsidR="000305F4" w:rsidRDefault="000305F4" w:rsidP="001B28D1">
            <w:pPr>
              <w:widowControl w:val="0"/>
              <w:tabs>
                <w:tab w:val="decimal" w:leader="dot" w:pos="428"/>
              </w:tabs>
              <w:autoSpaceDE w:val="0"/>
              <w:autoSpaceDN w:val="0"/>
              <w:adjustRightInd w:val="0"/>
              <w:jc w:val="center"/>
            </w:pPr>
          </w:p>
        </w:tc>
        <w:tc>
          <w:tcPr>
            <w:tcW w:w="1620" w:type="dxa"/>
            <w:tcBorders>
              <w:top w:val="nil"/>
              <w:left w:val="nil"/>
              <w:bottom w:val="nil"/>
              <w:right w:val="nil"/>
            </w:tcBorders>
            <w:vAlign w:val="center"/>
          </w:tcPr>
          <w:p w14:paraId="332AF6DB" w14:textId="77777777" w:rsidR="000305F4" w:rsidRDefault="000305F4" w:rsidP="001B28D1">
            <w:pPr>
              <w:widowControl w:val="0"/>
              <w:tabs>
                <w:tab w:val="decimal" w:leader="dot" w:pos="428"/>
              </w:tabs>
              <w:autoSpaceDE w:val="0"/>
              <w:autoSpaceDN w:val="0"/>
              <w:adjustRightInd w:val="0"/>
              <w:jc w:val="center"/>
            </w:pPr>
          </w:p>
        </w:tc>
        <w:tc>
          <w:tcPr>
            <w:tcW w:w="1800" w:type="dxa"/>
            <w:tcBorders>
              <w:top w:val="nil"/>
              <w:left w:val="nil"/>
              <w:bottom w:val="nil"/>
              <w:right w:val="nil"/>
            </w:tcBorders>
            <w:vAlign w:val="center"/>
          </w:tcPr>
          <w:p w14:paraId="124CF685" w14:textId="77777777" w:rsidR="000305F4" w:rsidRDefault="000305F4" w:rsidP="001B28D1">
            <w:pPr>
              <w:widowControl w:val="0"/>
              <w:tabs>
                <w:tab w:val="decimal" w:leader="dot" w:pos="428"/>
              </w:tabs>
              <w:autoSpaceDE w:val="0"/>
              <w:autoSpaceDN w:val="0"/>
              <w:adjustRightInd w:val="0"/>
              <w:jc w:val="center"/>
            </w:pPr>
          </w:p>
        </w:tc>
        <w:tc>
          <w:tcPr>
            <w:tcW w:w="1980" w:type="dxa"/>
            <w:tcBorders>
              <w:top w:val="nil"/>
              <w:left w:val="nil"/>
              <w:bottom w:val="nil"/>
              <w:right w:val="nil"/>
            </w:tcBorders>
            <w:vAlign w:val="center"/>
          </w:tcPr>
          <w:p w14:paraId="2D9A0051" w14:textId="77777777" w:rsidR="000305F4" w:rsidRDefault="000305F4" w:rsidP="001B28D1">
            <w:pPr>
              <w:widowControl w:val="0"/>
              <w:tabs>
                <w:tab w:val="decimal" w:leader="dot" w:pos="428"/>
              </w:tabs>
              <w:autoSpaceDE w:val="0"/>
              <w:autoSpaceDN w:val="0"/>
              <w:adjustRightInd w:val="0"/>
              <w:jc w:val="center"/>
            </w:pPr>
          </w:p>
        </w:tc>
        <w:tc>
          <w:tcPr>
            <w:tcW w:w="2160" w:type="dxa"/>
            <w:tcBorders>
              <w:top w:val="nil"/>
              <w:left w:val="nil"/>
              <w:bottom w:val="nil"/>
              <w:right w:val="nil"/>
            </w:tcBorders>
            <w:vAlign w:val="center"/>
          </w:tcPr>
          <w:p w14:paraId="080AFF84" w14:textId="77777777" w:rsidR="000305F4" w:rsidRDefault="000305F4" w:rsidP="001B28D1">
            <w:pPr>
              <w:widowControl w:val="0"/>
              <w:tabs>
                <w:tab w:val="decimal" w:leader="dot" w:pos="428"/>
              </w:tabs>
              <w:autoSpaceDE w:val="0"/>
              <w:autoSpaceDN w:val="0"/>
              <w:adjustRightInd w:val="0"/>
              <w:jc w:val="center"/>
            </w:pPr>
          </w:p>
        </w:tc>
      </w:tr>
      <w:tr w:rsidR="000305F4" w14:paraId="221AA65F" w14:textId="77777777" w:rsidTr="001B28D1">
        <w:tc>
          <w:tcPr>
            <w:tcW w:w="2600" w:type="dxa"/>
            <w:tcBorders>
              <w:top w:val="nil"/>
              <w:left w:val="nil"/>
              <w:bottom w:val="nil"/>
              <w:right w:val="nil"/>
            </w:tcBorders>
            <w:vAlign w:val="center"/>
          </w:tcPr>
          <w:p w14:paraId="796D03FB" w14:textId="77777777" w:rsidR="000305F4" w:rsidRPr="001A5D85" w:rsidRDefault="000305F4" w:rsidP="001B28D1">
            <w:pPr>
              <w:widowControl w:val="0"/>
              <w:autoSpaceDE w:val="0"/>
              <w:autoSpaceDN w:val="0"/>
              <w:adjustRightInd w:val="0"/>
              <w:rPr>
                <w:sz w:val="20"/>
                <w:szCs w:val="20"/>
              </w:rPr>
            </w:pPr>
            <w:r w:rsidRPr="001A5D85">
              <w:rPr>
                <w:sz w:val="20"/>
                <w:szCs w:val="20"/>
              </w:rPr>
              <w:t>3. Negative affect toward White people</w:t>
            </w:r>
          </w:p>
        </w:tc>
        <w:tc>
          <w:tcPr>
            <w:tcW w:w="1080" w:type="dxa"/>
            <w:tcBorders>
              <w:top w:val="nil"/>
              <w:left w:val="nil"/>
              <w:bottom w:val="nil"/>
              <w:right w:val="nil"/>
            </w:tcBorders>
            <w:vAlign w:val="center"/>
          </w:tcPr>
          <w:p w14:paraId="663EB402" w14:textId="77777777" w:rsidR="000305F4" w:rsidRPr="001A5D85" w:rsidRDefault="000305F4" w:rsidP="001B28D1">
            <w:pPr>
              <w:widowControl w:val="0"/>
              <w:tabs>
                <w:tab w:val="decimal" w:leader="dot" w:pos="428"/>
              </w:tabs>
              <w:autoSpaceDE w:val="0"/>
              <w:autoSpaceDN w:val="0"/>
              <w:adjustRightInd w:val="0"/>
              <w:rPr>
                <w:sz w:val="20"/>
                <w:szCs w:val="20"/>
              </w:rPr>
            </w:pPr>
            <w:r>
              <w:rPr>
                <w:sz w:val="20"/>
                <w:szCs w:val="20"/>
              </w:rPr>
              <w:t>0 - 100</w:t>
            </w:r>
          </w:p>
        </w:tc>
        <w:tc>
          <w:tcPr>
            <w:tcW w:w="720" w:type="dxa"/>
            <w:tcBorders>
              <w:top w:val="nil"/>
              <w:left w:val="nil"/>
              <w:bottom w:val="nil"/>
              <w:right w:val="nil"/>
            </w:tcBorders>
            <w:vAlign w:val="center"/>
          </w:tcPr>
          <w:p w14:paraId="0E8CAC70" w14:textId="77777777" w:rsidR="000305F4" w:rsidRPr="001A5D85" w:rsidRDefault="000305F4" w:rsidP="001B28D1">
            <w:pPr>
              <w:widowControl w:val="0"/>
              <w:tabs>
                <w:tab w:val="decimal" w:leader="dot" w:pos="428"/>
              </w:tabs>
              <w:autoSpaceDE w:val="0"/>
              <w:autoSpaceDN w:val="0"/>
              <w:adjustRightInd w:val="0"/>
              <w:jc w:val="center"/>
              <w:rPr>
                <w:sz w:val="20"/>
                <w:szCs w:val="20"/>
              </w:rPr>
            </w:pPr>
            <w:r w:rsidRPr="001A5D85">
              <w:rPr>
                <w:sz w:val="20"/>
                <w:szCs w:val="20"/>
              </w:rPr>
              <w:t>23.05</w:t>
            </w:r>
          </w:p>
        </w:tc>
        <w:tc>
          <w:tcPr>
            <w:tcW w:w="1260" w:type="dxa"/>
            <w:tcBorders>
              <w:top w:val="nil"/>
              <w:left w:val="nil"/>
              <w:bottom w:val="nil"/>
              <w:right w:val="nil"/>
            </w:tcBorders>
            <w:vAlign w:val="center"/>
          </w:tcPr>
          <w:p w14:paraId="45BFF3E4" w14:textId="77777777" w:rsidR="000305F4" w:rsidRPr="001A5D85" w:rsidRDefault="000305F4" w:rsidP="001B28D1">
            <w:pPr>
              <w:widowControl w:val="0"/>
              <w:tabs>
                <w:tab w:val="decimal" w:leader="dot" w:pos="428"/>
              </w:tabs>
              <w:autoSpaceDE w:val="0"/>
              <w:autoSpaceDN w:val="0"/>
              <w:adjustRightInd w:val="0"/>
              <w:jc w:val="center"/>
              <w:rPr>
                <w:sz w:val="20"/>
                <w:szCs w:val="20"/>
              </w:rPr>
            </w:pPr>
            <w:r w:rsidRPr="001A5D85">
              <w:rPr>
                <w:sz w:val="20"/>
                <w:szCs w:val="20"/>
              </w:rPr>
              <w:t>18.86</w:t>
            </w:r>
          </w:p>
        </w:tc>
        <w:tc>
          <w:tcPr>
            <w:tcW w:w="1620" w:type="dxa"/>
            <w:tcBorders>
              <w:top w:val="nil"/>
              <w:left w:val="nil"/>
              <w:bottom w:val="nil"/>
              <w:right w:val="nil"/>
            </w:tcBorders>
            <w:vAlign w:val="center"/>
          </w:tcPr>
          <w:p w14:paraId="6FFC5C4C" w14:textId="77777777" w:rsidR="000305F4" w:rsidRPr="001A5D85" w:rsidRDefault="000305F4" w:rsidP="001B28D1">
            <w:pPr>
              <w:widowControl w:val="0"/>
              <w:tabs>
                <w:tab w:val="decimal" w:leader="dot" w:pos="428"/>
              </w:tabs>
              <w:autoSpaceDE w:val="0"/>
              <w:autoSpaceDN w:val="0"/>
              <w:adjustRightInd w:val="0"/>
              <w:jc w:val="center"/>
              <w:rPr>
                <w:sz w:val="20"/>
                <w:szCs w:val="20"/>
              </w:rPr>
            </w:pPr>
            <w:r w:rsidRPr="001A5D85">
              <w:rPr>
                <w:sz w:val="20"/>
                <w:szCs w:val="20"/>
              </w:rPr>
              <w:t>.30**</w:t>
            </w:r>
          </w:p>
        </w:tc>
        <w:tc>
          <w:tcPr>
            <w:tcW w:w="1800" w:type="dxa"/>
            <w:tcBorders>
              <w:top w:val="nil"/>
              <w:left w:val="nil"/>
              <w:bottom w:val="nil"/>
              <w:right w:val="nil"/>
            </w:tcBorders>
            <w:vAlign w:val="center"/>
          </w:tcPr>
          <w:p w14:paraId="3F6DD415" w14:textId="77777777" w:rsidR="000305F4" w:rsidRPr="001A5D85" w:rsidRDefault="000305F4" w:rsidP="001B28D1">
            <w:pPr>
              <w:widowControl w:val="0"/>
              <w:tabs>
                <w:tab w:val="decimal" w:leader="dot" w:pos="428"/>
              </w:tabs>
              <w:autoSpaceDE w:val="0"/>
              <w:autoSpaceDN w:val="0"/>
              <w:adjustRightInd w:val="0"/>
              <w:jc w:val="center"/>
              <w:rPr>
                <w:sz w:val="20"/>
                <w:szCs w:val="20"/>
              </w:rPr>
            </w:pPr>
            <w:r w:rsidRPr="001A5D85">
              <w:rPr>
                <w:sz w:val="20"/>
                <w:szCs w:val="20"/>
              </w:rPr>
              <w:t>-.25**</w:t>
            </w:r>
          </w:p>
        </w:tc>
        <w:tc>
          <w:tcPr>
            <w:tcW w:w="1980" w:type="dxa"/>
            <w:tcBorders>
              <w:top w:val="nil"/>
              <w:left w:val="nil"/>
              <w:bottom w:val="nil"/>
              <w:right w:val="nil"/>
            </w:tcBorders>
            <w:vAlign w:val="center"/>
          </w:tcPr>
          <w:p w14:paraId="736E08DC" w14:textId="77777777" w:rsidR="000305F4" w:rsidRDefault="000305F4" w:rsidP="001B28D1">
            <w:pPr>
              <w:widowControl w:val="0"/>
              <w:tabs>
                <w:tab w:val="decimal" w:leader="dot" w:pos="428"/>
              </w:tabs>
              <w:autoSpaceDE w:val="0"/>
              <w:autoSpaceDN w:val="0"/>
              <w:adjustRightInd w:val="0"/>
              <w:jc w:val="center"/>
            </w:pPr>
          </w:p>
        </w:tc>
        <w:tc>
          <w:tcPr>
            <w:tcW w:w="2160" w:type="dxa"/>
            <w:tcBorders>
              <w:top w:val="nil"/>
              <w:left w:val="nil"/>
              <w:bottom w:val="nil"/>
              <w:right w:val="nil"/>
            </w:tcBorders>
            <w:vAlign w:val="center"/>
          </w:tcPr>
          <w:p w14:paraId="5F56DAF4" w14:textId="77777777" w:rsidR="000305F4" w:rsidRDefault="000305F4" w:rsidP="001B28D1">
            <w:pPr>
              <w:widowControl w:val="0"/>
              <w:tabs>
                <w:tab w:val="decimal" w:leader="dot" w:pos="428"/>
              </w:tabs>
              <w:autoSpaceDE w:val="0"/>
              <w:autoSpaceDN w:val="0"/>
              <w:adjustRightInd w:val="0"/>
              <w:jc w:val="center"/>
            </w:pPr>
          </w:p>
        </w:tc>
      </w:tr>
      <w:tr w:rsidR="000305F4" w14:paraId="164543D9" w14:textId="77777777" w:rsidTr="001B28D1">
        <w:tc>
          <w:tcPr>
            <w:tcW w:w="2600" w:type="dxa"/>
            <w:tcBorders>
              <w:top w:val="nil"/>
              <w:left w:val="nil"/>
              <w:bottom w:val="nil"/>
              <w:right w:val="nil"/>
            </w:tcBorders>
            <w:vAlign w:val="center"/>
          </w:tcPr>
          <w:p w14:paraId="736D5B48" w14:textId="77777777" w:rsidR="000305F4" w:rsidRPr="00E04633" w:rsidRDefault="000305F4" w:rsidP="001B28D1">
            <w:pPr>
              <w:widowControl w:val="0"/>
              <w:autoSpaceDE w:val="0"/>
              <w:autoSpaceDN w:val="0"/>
              <w:adjustRightInd w:val="0"/>
              <w:rPr>
                <w:sz w:val="20"/>
                <w:szCs w:val="20"/>
              </w:rPr>
            </w:pPr>
            <w:r w:rsidRPr="00E04633">
              <w:rPr>
                <w:sz w:val="20"/>
                <w:szCs w:val="20"/>
              </w:rPr>
              <w:t xml:space="preserve"> </w:t>
            </w:r>
          </w:p>
        </w:tc>
        <w:tc>
          <w:tcPr>
            <w:tcW w:w="1080" w:type="dxa"/>
            <w:tcBorders>
              <w:top w:val="nil"/>
              <w:left w:val="nil"/>
              <w:bottom w:val="nil"/>
              <w:right w:val="nil"/>
            </w:tcBorders>
            <w:vAlign w:val="center"/>
          </w:tcPr>
          <w:p w14:paraId="4553D204" w14:textId="77777777" w:rsidR="000305F4" w:rsidRDefault="000305F4" w:rsidP="001B28D1">
            <w:pPr>
              <w:widowControl w:val="0"/>
              <w:tabs>
                <w:tab w:val="decimal" w:leader="dot" w:pos="428"/>
              </w:tabs>
              <w:autoSpaceDE w:val="0"/>
              <w:autoSpaceDN w:val="0"/>
              <w:adjustRightInd w:val="0"/>
            </w:pPr>
          </w:p>
        </w:tc>
        <w:tc>
          <w:tcPr>
            <w:tcW w:w="720" w:type="dxa"/>
            <w:tcBorders>
              <w:top w:val="nil"/>
              <w:left w:val="nil"/>
              <w:bottom w:val="nil"/>
              <w:right w:val="nil"/>
            </w:tcBorders>
            <w:vAlign w:val="center"/>
          </w:tcPr>
          <w:p w14:paraId="3BACBCD8" w14:textId="77777777" w:rsidR="000305F4" w:rsidRDefault="000305F4" w:rsidP="001B28D1">
            <w:pPr>
              <w:widowControl w:val="0"/>
              <w:tabs>
                <w:tab w:val="decimal" w:leader="dot" w:pos="428"/>
              </w:tabs>
              <w:autoSpaceDE w:val="0"/>
              <w:autoSpaceDN w:val="0"/>
              <w:adjustRightInd w:val="0"/>
              <w:jc w:val="center"/>
            </w:pPr>
          </w:p>
        </w:tc>
        <w:tc>
          <w:tcPr>
            <w:tcW w:w="1260" w:type="dxa"/>
            <w:tcBorders>
              <w:top w:val="nil"/>
              <w:left w:val="nil"/>
              <w:bottom w:val="nil"/>
              <w:right w:val="nil"/>
            </w:tcBorders>
            <w:vAlign w:val="center"/>
          </w:tcPr>
          <w:p w14:paraId="6CD578B1" w14:textId="77777777" w:rsidR="000305F4" w:rsidRDefault="000305F4" w:rsidP="001B28D1">
            <w:pPr>
              <w:widowControl w:val="0"/>
              <w:tabs>
                <w:tab w:val="decimal" w:leader="dot" w:pos="428"/>
              </w:tabs>
              <w:autoSpaceDE w:val="0"/>
              <w:autoSpaceDN w:val="0"/>
              <w:adjustRightInd w:val="0"/>
              <w:jc w:val="center"/>
            </w:pPr>
          </w:p>
        </w:tc>
        <w:tc>
          <w:tcPr>
            <w:tcW w:w="1620" w:type="dxa"/>
            <w:tcBorders>
              <w:top w:val="nil"/>
              <w:left w:val="nil"/>
              <w:bottom w:val="nil"/>
              <w:right w:val="nil"/>
            </w:tcBorders>
            <w:vAlign w:val="center"/>
          </w:tcPr>
          <w:p w14:paraId="5484106A" w14:textId="77777777" w:rsidR="000305F4" w:rsidRDefault="000305F4" w:rsidP="001B28D1">
            <w:pPr>
              <w:widowControl w:val="0"/>
              <w:tabs>
                <w:tab w:val="decimal" w:leader="dot" w:pos="428"/>
              </w:tabs>
              <w:autoSpaceDE w:val="0"/>
              <w:autoSpaceDN w:val="0"/>
              <w:adjustRightInd w:val="0"/>
              <w:jc w:val="center"/>
            </w:pPr>
            <w:r>
              <w:rPr>
                <w:sz w:val="20"/>
                <w:szCs w:val="20"/>
              </w:rPr>
              <w:t>[.23, .38]</w:t>
            </w:r>
          </w:p>
        </w:tc>
        <w:tc>
          <w:tcPr>
            <w:tcW w:w="1800" w:type="dxa"/>
            <w:tcBorders>
              <w:top w:val="nil"/>
              <w:left w:val="nil"/>
              <w:bottom w:val="nil"/>
              <w:right w:val="nil"/>
            </w:tcBorders>
            <w:vAlign w:val="center"/>
          </w:tcPr>
          <w:p w14:paraId="6976A4EC" w14:textId="77777777" w:rsidR="000305F4" w:rsidRDefault="000305F4" w:rsidP="001B28D1">
            <w:pPr>
              <w:widowControl w:val="0"/>
              <w:tabs>
                <w:tab w:val="decimal" w:leader="dot" w:pos="428"/>
              </w:tabs>
              <w:autoSpaceDE w:val="0"/>
              <w:autoSpaceDN w:val="0"/>
              <w:adjustRightInd w:val="0"/>
              <w:jc w:val="center"/>
            </w:pPr>
            <w:r>
              <w:rPr>
                <w:sz w:val="20"/>
                <w:szCs w:val="20"/>
              </w:rPr>
              <w:t>[-.33, -.17]</w:t>
            </w:r>
          </w:p>
        </w:tc>
        <w:tc>
          <w:tcPr>
            <w:tcW w:w="1980" w:type="dxa"/>
            <w:tcBorders>
              <w:top w:val="nil"/>
              <w:left w:val="nil"/>
              <w:bottom w:val="nil"/>
              <w:right w:val="nil"/>
            </w:tcBorders>
            <w:vAlign w:val="center"/>
          </w:tcPr>
          <w:p w14:paraId="07A1D997" w14:textId="77777777" w:rsidR="000305F4" w:rsidRDefault="000305F4" w:rsidP="001B28D1">
            <w:pPr>
              <w:widowControl w:val="0"/>
              <w:tabs>
                <w:tab w:val="decimal" w:leader="dot" w:pos="428"/>
              </w:tabs>
              <w:autoSpaceDE w:val="0"/>
              <w:autoSpaceDN w:val="0"/>
              <w:adjustRightInd w:val="0"/>
              <w:jc w:val="center"/>
            </w:pPr>
          </w:p>
        </w:tc>
        <w:tc>
          <w:tcPr>
            <w:tcW w:w="2160" w:type="dxa"/>
            <w:tcBorders>
              <w:top w:val="nil"/>
              <w:left w:val="nil"/>
              <w:bottom w:val="nil"/>
              <w:right w:val="nil"/>
            </w:tcBorders>
            <w:vAlign w:val="center"/>
          </w:tcPr>
          <w:p w14:paraId="67251FE3" w14:textId="77777777" w:rsidR="000305F4" w:rsidRDefault="000305F4" w:rsidP="001B28D1">
            <w:pPr>
              <w:widowControl w:val="0"/>
              <w:tabs>
                <w:tab w:val="decimal" w:leader="dot" w:pos="428"/>
              </w:tabs>
              <w:autoSpaceDE w:val="0"/>
              <w:autoSpaceDN w:val="0"/>
              <w:adjustRightInd w:val="0"/>
              <w:jc w:val="center"/>
            </w:pPr>
          </w:p>
        </w:tc>
      </w:tr>
      <w:tr w:rsidR="000305F4" w14:paraId="69789F3C" w14:textId="77777777" w:rsidTr="001B28D1">
        <w:tc>
          <w:tcPr>
            <w:tcW w:w="2600" w:type="dxa"/>
            <w:tcBorders>
              <w:top w:val="nil"/>
              <w:left w:val="nil"/>
              <w:bottom w:val="nil"/>
              <w:right w:val="nil"/>
            </w:tcBorders>
            <w:vAlign w:val="center"/>
          </w:tcPr>
          <w:p w14:paraId="7A48A363" w14:textId="77777777" w:rsidR="000305F4" w:rsidRPr="00E04633" w:rsidRDefault="000305F4" w:rsidP="001B28D1">
            <w:pPr>
              <w:widowControl w:val="0"/>
              <w:autoSpaceDE w:val="0"/>
              <w:autoSpaceDN w:val="0"/>
              <w:adjustRightInd w:val="0"/>
              <w:rPr>
                <w:sz w:val="20"/>
                <w:szCs w:val="20"/>
              </w:rPr>
            </w:pPr>
            <w:r w:rsidRPr="00E04633">
              <w:rPr>
                <w:sz w:val="20"/>
                <w:szCs w:val="20"/>
              </w:rPr>
              <w:t xml:space="preserve"> </w:t>
            </w:r>
          </w:p>
        </w:tc>
        <w:tc>
          <w:tcPr>
            <w:tcW w:w="1080" w:type="dxa"/>
            <w:tcBorders>
              <w:top w:val="nil"/>
              <w:left w:val="nil"/>
              <w:bottom w:val="nil"/>
              <w:right w:val="nil"/>
            </w:tcBorders>
            <w:vAlign w:val="center"/>
          </w:tcPr>
          <w:p w14:paraId="4FB0F8B6" w14:textId="77777777" w:rsidR="000305F4" w:rsidRDefault="000305F4" w:rsidP="001B28D1">
            <w:pPr>
              <w:widowControl w:val="0"/>
              <w:tabs>
                <w:tab w:val="decimal" w:leader="dot" w:pos="428"/>
              </w:tabs>
              <w:autoSpaceDE w:val="0"/>
              <w:autoSpaceDN w:val="0"/>
              <w:adjustRightInd w:val="0"/>
            </w:pPr>
          </w:p>
        </w:tc>
        <w:tc>
          <w:tcPr>
            <w:tcW w:w="720" w:type="dxa"/>
            <w:tcBorders>
              <w:top w:val="nil"/>
              <w:left w:val="nil"/>
              <w:bottom w:val="nil"/>
              <w:right w:val="nil"/>
            </w:tcBorders>
            <w:vAlign w:val="center"/>
          </w:tcPr>
          <w:p w14:paraId="53423FBF" w14:textId="77777777" w:rsidR="000305F4" w:rsidRDefault="000305F4" w:rsidP="001B28D1">
            <w:pPr>
              <w:widowControl w:val="0"/>
              <w:tabs>
                <w:tab w:val="decimal" w:leader="dot" w:pos="428"/>
              </w:tabs>
              <w:autoSpaceDE w:val="0"/>
              <w:autoSpaceDN w:val="0"/>
              <w:adjustRightInd w:val="0"/>
              <w:jc w:val="center"/>
            </w:pPr>
          </w:p>
        </w:tc>
        <w:tc>
          <w:tcPr>
            <w:tcW w:w="1260" w:type="dxa"/>
            <w:tcBorders>
              <w:top w:val="nil"/>
              <w:left w:val="nil"/>
              <w:bottom w:val="nil"/>
              <w:right w:val="nil"/>
            </w:tcBorders>
            <w:vAlign w:val="center"/>
          </w:tcPr>
          <w:p w14:paraId="2F94763A" w14:textId="77777777" w:rsidR="000305F4" w:rsidRDefault="000305F4" w:rsidP="001B28D1">
            <w:pPr>
              <w:widowControl w:val="0"/>
              <w:tabs>
                <w:tab w:val="decimal" w:leader="dot" w:pos="428"/>
              </w:tabs>
              <w:autoSpaceDE w:val="0"/>
              <w:autoSpaceDN w:val="0"/>
              <w:adjustRightInd w:val="0"/>
              <w:jc w:val="center"/>
            </w:pPr>
          </w:p>
        </w:tc>
        <w:tc>
          <w:tcPr>
            <w:tcW w:w="1620" w:type="dxa"/>
            <w:tcBorders>
              <w:top w:val="nil"/>
              <w:left w:val="nil"/>
              <w:bottom w:val="nil"/>
              <w:right w:val="nil"/>
            </w:tcBorders>
            <w:vAlign w:val="center"/>
          </w:tcPr>
          <w:p w14:paraId="6D8861DD" w14:textId="77777777" w:rsidR="000305F4" w:rsidRDefault="000305F4" w:rsidP="001B28D1">
            <w:pPr>
              <w:widowControl w:val="0"/>
              <w:tabs>
                <w:tab w:val="decimal" w:leader="dot" w:pos="428"/>
              </w:tabs>
              <w:autoSpaceDE w:val="0"/>
              <w:autoSpaceDN w:val="0"/>
              <w:adjustRightInd w:val="0"/>
              <w:jc w:val="center"/>
            </w:pPr>
          </w:p>
        </w:tc>
        <w:tc>
          <w:tcPr>
            <w:tcW w:w="1800" w:type="dxa"/>
            <w:tcBorders>
              <w:top w:val="nil"/>
              <w:left w:val="nil"/>
              <w:bottom w:val="nil"/>
              <w:right w:val="nil"/>
            </w:tcBorders>
            <w:vAlign w:val="center"/>
          </w:tcPr>
          <w:p w14:paraId="241F507A" w14:textId="77777777" w:rsidR="000305F4" w:rsidRDefault="000305F4" w:rsidP="001B28D1">
            <w:pPr>
              <w:widowControl w:val="0"/>
              <w:tabs>
                <w:tab w:val="decimal" w:leader="dot" w:pos="428"/>
              </w:tabs>
              <w:autoSpaceDE w:val="0"/>
              <w:autoSpaceDN w:val="0"/>
              <w:adjustRightInd w:val="0"/>
              <w:jc w:val="center"/>
            </w:pPr>
          </w:p>
        </w:tc>
        <w:tc>
          <w:tcPr>
            <w:tcW w:w="1980" w:type="dxa"/>
            <w:tcBorders>
              <w:top w:val="nil"/>
              <w:left w:val="nil"/>
              <w:bottom w:val="nil"/>
              <w:right w:val="nil"/>
            </w:tcBorders>
            <w:vAlign w:val="center"/>
          </w:tcPr>
          <w:p w14:paraId="605F0F17" w14:textId="77777777" w:rsidR="000305F4" w:rsidRDefault="000305F4" w:rsidP="001B28D1">
            <w:pPr>
              <w:widowControl w:val="0"/>
              <w:tabs>
                <w:tab w:val="decimal" w:leader="dot" w:pos="428"/>
              </w:tabs>
              <w:autoSpaceDE w:val="0"/>
              <w:autoSpaceDN w:val="0"/>
              <w:adjustRightInd w:val="0"/>
              <w:jc w:val="center"/>
            </w:pPr>
          </w:p>
        </w:tc>
        <w:tc>
          <w:tcPr>
            <w:tcW w:w="2160" w:type="dxa"/>
            <w:tcBorders>
              <w:top w:val="nil"/>
              <w:left w:val="nil"/>
              <w:bottom w:val="nil"/>
              <w:right w:val="nil"/>
            </w:tcBorders>
            <w:vAlign w:val="center"/>
          </w:tcPr>
          <w:p w14:paraId="39D2DD17" w14:textId="77777777" w:rsidR="000305F4" w:rsidRDefault="000305F4" w:rsidP="001B28D1">
            <w:pPr>
              <w:widowControl w:val="0"/>
              <w:tabs>
                <w:tab w:val="decimal" w:leader="dot" w:pos="428"/>
              </w:tabs>
              <w:autoSpaceDE w:val="0"/>
              <w:autoSpaceDN w:val="0"/>
              <w:adjustRightInd w:val="0"/>
              <w:jc w:val="center"/>
            </w:pPr>
          </w:p>
        </w:tc>
      </w:tr>
      <w:tr w:rsidR="000305F4" w14:paraId="7C47E5CB" w14:textId="77777777" w:rsidTr="001B28D1">
        <w:tc>
          <w:tcPr>
            <w:tcW w:w="2600" w:type="dxa"/>
            <w:tcBorders>
              <w:top w:val="nil"/>
              <w:left w:val="nil"/>
              <w:bottom w:val="nil"/>
              <w:right w:val="nil"/>
            </w:tcBorders>
            <w:vAlign w:val="center"/>
          </w:tcPr>
          <w:p w14:paraId="53819F81" w14:textId="77777777" w:rsidR="000305F4" w:rsidRPr="001A5D85" w:rsidRDefault="000305F4" w:rsidP="001B28D1">
            <w:pPr>
              <w:widowControl w:val="0"/>
              <w:autoSpaceDE w:val="0"/>
              <w:autoSpaceDN w:val="0"/>
              <w:adjustRightInd w:val="0"/>
              <w:rPr>
                <w:sz w:val="20"/>
                <w:szCs w:val="20"/>
              </w:rPr>
            </w:pPr>
            <w:r w:rsidRPr="001A5D85">
              <w:rPr>
                <w:sz w:val="20"/>
                <w:szCs w:val="20"/>
              </w:rPr>
              <w:t>4. Contact with White people</w:t>
            </w:r>
          </w:p>
        </w:tc>
        <w:tc>
          <w:tcPr>
            <w:tcW w:w="1080" w:type="dxa"/>
            <w:tcBorders>
              <w:top w:val="nil"/>
              <w:left w:val="nil"/>
              <w:bottom w:val="nil"/>
              <w:right w:val="nil"/>
            </w:tcBorders>
            <w:vAlign w:val="center"/>
          </w:tcPr>
          <w:p w14:paraId="2ED1087B" w14:textId="77777777" w:rsidR="000305F4" w:rsidRPr="001A5D85" w:rsidRDefault="000305F4" w:rsidP="001B28D1">
            <w:pPr>
              <w:widowControl w:val="0"/>
              <w:tabs>
                <w:tab w:val="decimal" w:leader="dot" w:pos="428"/>
              </w:tabs>
              <w:autoSpaceDE w:val="0"/>
              <w:autoSpaceDN w:val="0"/>
              <w:adjustRightInd w:val="0"/>
              <w:rPr>
                <w:sz w:val="20"/>
                <w:szCs w:val="20"/>
              </w:rPr>
            </w:pPr>
            <w:r>
              <w:rPr>
                <w:sz w:val="20"/>
                <w:szCs w:val="20"/>
              </w:rPr>
              <w:t>0 - 20</w:t>
            </w:r>
          </w:p>
        </w:tc>
        <w:tc>
          <w:tcPr>
            <w:tcW w:w="720" w:type="dxa"/>
            <w:tcBorders>
              <w:top w:val="nil"/>
              <w:left w:val="nil"/>
              <w:bottom w:val="nil"/>
              <w:right w:val="nil"/>
            </w:tcBorders>
            <w:vAlign w:val="center"/>
          </w:tcPr>
          <w:p w14:paraId="243F30C0" w14:textId="77777777" w:rsidR="000305F4" w:rsidRPr="001A5D85" w:rsidRDefault="000305F4" w:rsidP="001B28D1">
            <w:pPr>
              <w:widowControl w:val="0"/>
              <w:tabs>
                <w:tab w:val="decimal" w:leader="dot" w:pos="428"/>
              </w:tabs>
              <w:autoSpaceDE w:val="0"/>
              <w:autoSpaceDN w:val="0"/>
              <w:adjustRightInd w:val="0"/>
              <w:jc w:val="center"/>
              <w:rPr>
                <w:sz w:val="20"/>
                <w:szCs w:val="20"/>
              </w:rPr>
            </w:pPr>
            <w:r w:rsidRPr="001A5D85">
              <w:rPr>
                <w:sz w:val="20"/>
                <w:szCs w:val="20"/>
              </w:rPr>
              <w:t>14.88</w:t>
            </w:r>
          </w:p>
        </w:tc>
        <w:tc>
          <w:tcPr>
            <w:tcW w:w="1260" w:type="dxa"/>
            <w:tcBorders>
              <w:top w:val="nil"/>
              <w:left w:val="nil"/>
              <w:bottom w:val="nil"/>
              <w:right w:val="nil"/>
            </w:tcBorders>
            <w:vAlign w:val="center"/>
          </w:tcPr>
          <w:p w14:paraId="273DF5F7" w14:textId="77777777" w:rsidR="000305F4" w:rsidRPr="001A5D85" w:rsidRDefault="000305F4" w:rsidP="001B28D1">
            <w:pPr>
              <w:widowControl w:val="0"/>
              <w:tabs>
                <w:tab w:val="decimal" w:leader="dot" w:pos="428"/>
              </w:tabs>
              <w:autoSpaceDE w:val="0"/>
              <w:autoSpaceDN w:val="0"/>
              <w:adjustRightInd w:val="0"/>
              <w:jc w:val="center"/>
              <w:rPr>
                <w:sz w:val="20"/>
                <w:szCs w:val="20"/>
              </w:rPr>
            </w:pPr>
            <w:r w:rsidRPr="001A5D85">
              <w:rPr>
                <w:sz w:val="20"/>
                <w:szCs w:val="20"/>
              </w:rPr>
              <w:t>4.27</w:t>
            </w:r>
          </w:p>
        </w:tc>
        <w:tc>
          <w:tcPr>
            <w:tcW w:w="1620" w:type="dxa"/>
            <w:tcBorders>
              <w:top w:val="nil"/>
              <w:left w:val="nil"/>
              <w:bottom w:val="nil"/>
              <w:right w:val="nil"/>
            </w:tcBorders>
            <w:vAlign w:val="center"/>
          </w:tcPr>
          <w:p w14:paraId="0F11D1C3" w14:textId="77777777" w:rsidR="000305F4" w:rsidRPr="001A5D85" w:rsidRDefault="000305F4" w:rsidP="001B28D1">
            <w:pPr>
              <w:widowControl w:val="0"/>
              <w:tabs>
                <w:tab w:val="decimal" w:leader="dot" w:pos="428"/>
              </w:tabs>
              <w:autoSpaceDE w:val="0"/>
              <w:autoSpaceDN w:val="0"/>
              <w:adjustRightInd w:val="0"/>
              <w:jc w:val="center"/>
              <w:rPr>
                <w:sz w:val="20"/>
                <w:szCs w:val="20"/>
              </w:rPr>
            </w:pPr>
            <w:r w:rsidRPr="001A5D85">
              <w:rPr>
                <w:sz w:val="20"/>
                <w:szCs w:val="20"/>
              </w:rPr>
              <w:t>-.19**</w:t>
            </w:r>
          </w:p>
        </w:tc>
        <w:tc>
          <w:tcPr>
            <w:tcW w:w="1800" w:type="dxa"/>
            <w:tcBorders>
              <w:top w:val="nil"/>
              <w:left w:val="nil"/>
              <w:bottom w:val="nil"/>
              <w:right w:val="nil"/>
            </w:tcBorders>
            <w:vAlign w:val="center"/>
          </w:tcPr>
          <w:p w14:paraId="39A8CED4" w14:textId="77777777" w:rsidR="000305F4" w:rsidRPr="001A5D85" w:rsidRDefault="000305F4" w:rsidP="001B28D1">
            <w:pPr>
              <w:widowControl w:val="0"/>
              <w:tabs>
                <w:tab w:val="decimal" w:leader="dot" w:pos="428"/>
              </w:tabs>
              <w:autoSpaceDE w:val="0"/>
              <w:autoSpaceDN w:val="0"/>
              <w:adjustRightInd w:val="0"/>
              <w:jc w:val="center"/>
              <w:rPr>
                <w:sz w:val="20"/>
                <w:szCs w:val="20"/>
              </w:rPr>
            </w:pPr>
            <w:r w:rsidRPr="001A5D85">
              <w:rPr>
                <w:sz w:val="20"/>
                <w:szCs w:val="20"/>
              </w:rPr>
              <w:t>.16**</w:t>
            </w:r>
          </w:p>
        </w:tc>
        <w:tc>
          <w:tcPr>
            <w:tcW w:w="1980" w:type="dxa"/>
            <w:tcBorders>
              <w:top w:val="nil"/>
              <w:left w:val="nil"/>
              <w:bottom w:val="nil"/>
              <w:right w:val="nil"/>
            </w:tcBorders>
            <w:vAlign w:val="center"/>
          </w:tcPr>
          <w:p w14:paraId="1C135C35" w14:textId="77777777" w:rsidR="000305F4" w:rsidRPr="001A5D85" w:rsidRDefault="000305F4" w:rsidP="001B28D1">
            <w:pPr>
              <w:widowControl w:val="0"/>
              <w:tabs>
                <w:tab w:val="decimal" w:leader="dot" w:pos="428"/>
              </w:tabs>
              <w:autoSpaceDE w:val="0"/>
              <w:autoSpaceDN w:val="0"/>
              <w:adjustRightInd w:val="0"/>
              <w:jc w:val="center"/>
              <w:rPr>
                <w:sz w:val="20"/>
                <w:szCs w:val="20"/>
              </w:rPr>
            </w:pPr>
            <w:r w:rsidRPr="001A5D85">
              <w:rPr>
                <w:sz w:val="20"/>
                <w:szCs w:val="20"/>
              </w:rPr>
              <w:t>-.20**</w:t>
            </w:r>
          </w:p>
        </w:tc>
        <w:tc>
          <w:tcPr>
            <w:tcW w:w="2160" w:type="dxa"/>
            <w:tcBorders>
              <w:top w:val="nil"/>
              <w:left w:val="nil"/>
              <w:bottom w:val="nil"/>
              <w:right w:val="nil"/>
            </w:tcBorders>
            <w:vAlign w:val="center"/>
          </w:tcPr>
          <w:p w14:paraId="2DC511C8" w14:textId="77777777" w:rsidR="000305F4" w:rsidRDefault="000305F4" w:rsidP="001B28D1">
            <w:pPr>
              <w:widowControl w:val="0"/>
              <w:tabs>
                <w:tab w:val="decimal" w:leader="dot" w:pos="428"/>
              </w:tabs>
              <w:autoSpaceDE w:val="0"/>
              <w:autoSpaceDN w:val="0"/>
              <w:adjustRightInd w:val="0"/>
              <w:jc w:val="center"/>
            </w:pPr>
          </w:p>
        </w:tc>
      </w:tr>
      <w:tr w:rsidR="000305F4" w14:paraId="00BA369C" w14:textId="77777777" w:rsidTr="001B28D1">
        <w:tc>
          <w:tcPr>
            <w:tcW w:w="2600" w:type="dxa"/>
            <w:tcBorders>
              <w:top w:val="nil"/>
              <w:left w:val="nil"/>
              <w:bottom w:val="nil"/>
              <w:right w:val="nil"/>
            </w:tcBorders>
            <w:vAlign w:val="center"/>
          </w:tcPr>
          <w:p w14:paraId="6D47892A" w14:textId="77777777" w:rsidR="000305F4" w:rsidRPr="00E04633" w:rsidRDefault="000305F4" w:rsidP="001B28D1">
            <w:pPr>
              <w:widowControl w:val="0"/>
              <w:autoSpaceDE w:val="0"/>
              <w:autoSpaceDN w:val="0"/>
              <w:adjustRightInd w:val="0"/>
              <w:rPr>
                <w:sz w:val="20"/>
                <w:szCs w:val="20"/>
              </w:rPr>
            </w:pPr>
            <w:r w:rsidRPr="00E04633">
              <w:rPr>
                <w:sz w:val="20"/>
                <w:szCs w:val="20"/>
              </w:rPr>
              <w:t xml:space="preserve"> </w:t>
            </w:r>
          </w:p>
        </w:tc>
        <w:tc>
          <w:tcPr>
            <w:tcW w:w="1080" w:type="dxa"/>
            <w:tcBorders>
              <w:top w:val="nil"/>
              <w:left w:val="nil"/>
              <w:bottom w:val="nil"/>
              <w:right w:val="nil"/>
            </w:tcBorders>
            <w:vAlign w:val="center"/>
          </w:tcPr>
          <w:p w14:paraId="6C660A2A" w14:textId="77777777" w:rsidR="000305F4" w:rsidRDefault="000305F4" w:rsidP="001B28D1">
            <w:pPr>
              <w:widowControl w:val="0"/>
              <w:tabs>
                <w:tab w:val="decimal" w:leader="dot" w:pos="428"/>
              </w:tabs>
              <w:autoSpaceDE w:val="0"/>
              <w:autoSpaceDN w:val="0"/>
              <w:adjustRightInd w:val="0"/>
            </w:pPr>
          </w:p>
        </w:tc>
        <w:tc>
          <w:tcPr>
            <w:tcW w:w="720" w:type="dxa"/>
            <w:tcBorders>
              <w:top w:val="nil"/>
              <w:left w:val="nil"/>
              <w:bottom w:val="nil"/>
              <w:right w:val="nil"/>
            </w:tcBorders>
            <w:vAlign w:val="center"/>
          </w:tcPr>
          <w:p w14:paraId="21A0DB7B" w14:textId="77777777" w:rsidR="000305F4" w:rsidRDefault="000305F4" w:rsidP="001B28D1">
            <w:pPr>
              <w:widowControl w:val="0"/>
              <w:tabs>
                <w:tab w:val="decimal" w:leader="dot" w:pos="428"/>
              </w:tabs>
              <w:autoSpaceDE w:val="0"/>
              <w:autoSpaceDN w:val="0"/>
              <w:adjustRightInd w:val="0"/>
              <w:jc w:val="center"/>
            </w:pPr>
          </w:p>
        </w:tc>
        <w:tc>
          <w:tcPr>
            <w:tcW w:w="1260" w:type="dxa"/>
            <w:tcBorders>
              <w:top w:val="nil"/>
              <w:left w:val="nil"/>
              <w:bottom w:val="nil"/>
              <w:right w:val="nil"/>
            </w:tcBorders>
            <w:vAlign w:val="center"/>
          </w:tcPr>
          <w:p w14:paraId="3310B8A7" w14:textId="77777777" w:rsidR="000305F4" w:rsidRDefault="000305F4" w:rsidP="001B28D1">
            <w:pPr>
              <w:widowControl w:val="0"/>
              <w:tabs>
                <w:tab w:val="decimal" w:leader="dot" w:pos="428"/>
              </w:tabs>
              <w:autoSpaceDE w:val="0"/>
              <w:autoSpaceDN w:val="0"/>
              <w:adjustRightInd w:val="0"/>
              <w:jc w:val="center"/>
            </w:pPr>
          </w:p>
        </w:tc>
        <w:tc>
          <w:tcPr>
            <w:tcW w:w="1620" w:type="dxa"/>
            <w:tcBorders>
              <w:top w:val="nil"/>
              <w:left w:val="nil"/>
              <w:bottom w:val="nil"/>
              <w:right w:val="nil"/>
            </w:tcBorders>
            <w:vAlign w:val="center"/>
          </w:tcPr>
          <w:p w14:paraId="2388B6A3" w14:textId="77777777" w:rsidR="000305F4" w:rsidRDefault="000305F4" w:rsidP="001B28D1">
            <w:pPr>
              <w:widowControl w:val="0"/>
              <w:tabs>
                <w:tab w:val="decimal" w:leader="dot" w:pos="428"/>
              </w:tabs>
              <w:autoSpaceDE w:val="0"/>
              <w:autoSpaceDN w:val="0"/>
              <w:adjustRightInd w:val="0"/>
              <w:jc w:val="center"/>
            </w:pPr>
            <w:r>
              <w:rPr>
                <w:sz w:val="20"/>
                <w:szCs w:val="20"/>
              </w:rPr>
              <w:t>[-.27, -.11]</w:t>
            </w:r>
          </w:p>
        </w:tc>
        <w:tc>
          <w:tcPr>
            <w:tcW w:w="1800" w:type="dxa"/>
            <w:tcBorders>
              <w:top w:val="nil"/>
              <w:left w:val="nil"/>
              <w:bottom w:val="nil"/>
              <w:right w:val="nil"/>
            </w:tcBorders>
            <w:vAlign w:val="center"/>
          </w:tcPr>
          <w:p w14:paraId="4ED34822" w14:textId="77777777" w:rsidR="000305F4" w:rsidRDefault="000305F4" w:rsidP="001B28D1">
            <w:pPr>
              <w:widowControl w:val="0"/>
              <w:tabs>
                <w:tab w:val="decimal" w:leader="dot" w:pos="428"/>
              </w:tabs>
              <w:autoSpaceDE w:val="0"/>
              <w:autoSpaceDN w:val="0"/>
              <w:adjustRightInd w:val="0"/>
              <w:jc w:val="center"/>
            </w:pPr>
            <w:r>
              <w:rPr>
                <w:sz w:val="20"/>
                <w:szCs w:val="20"/>
              </w:rPr>
              <w:t>[.08, .23]</w:t>
            </w:r>
          </w:p>
        </w:tc>
        <w:tc>
          <w:tcPr>
            <w:tcW w:w="1980" w:type="dxa"/>
            <w:tcBorders>
              <w:top w:val="nil"/>
              <w:left w:val="nil"/>
              <w:bottom w:val="nil"/>
              <w:right w:val="nil"/>
            </w:tcBorders>
            <w:vAlign w:val="center"/>
          </w:tcPr>
          <w:p w14:paraId="1A830DAE" w14:textId="77777777" w:rsidR="000305F4" w:rsidRDefault="000305F4" w:rsidP="001B28D1">
            <w:pPr>
              <w:widowControl w:val="0"/>
              <w:tabs>
                <w:tab w:val="decimal" w:leader="dot" w:pos="428"/>
              </w:tabs>
              <w:autoSpaceDE w:val="0"/>
              <w:autoSpaceDN w:val="0"/>
              <w:adjustRightInd w:val="0"/>
              <w:jc w:val="center"/>
            </w:pPr>
            <w:r>
              <w:rPr>
                <w:sz w:val="20"/>
                <w:szCs w:val="20"/>
              </w:rPr>
              <w:t>[-.27, -.12]</w:t>
            </w:r>
          </w:p>
        </w:tc>
        <w:tc>
          <w:tcPr>
            <w:tcW w:w="2160" w:type="dxa"/>
            <w:tcBorders>
              <w:top w:val="nil"/>
              <w:left w:val="nil"/>
              <w:bottom w:val="nil"/>
              <w:right w:val="nil"/>
            </w:tcBorders>
            <w:vAlign w:val="center"/>
          </w:tcPr>
          <w:p w14:paraId="30B09112" w14:textId="77777777" w:rsidR="000305F4" w:rsidRDefault="000305F4" w:rsidP="001B28D1">
            <w:pPr>
              <w:widowControl w:val="0"/>
              <w:tabs>
                <w:tab w:val="decimal" w:leader="dot" w:pos="428"/>
              </w:tabs>
              <w:autoSpaceDE w:val="0"/>
              <w:autoSpaceDN w:val="0"/>
              <w:adjustRightInd w:val="0"/>
              <w:jc w:val="center"/>
            </w:pPr>
          </w:p>
        </w:tc>
      </w:tr>
      <w:tr w:rsidR="000305F4" w14:paraId="7F91EEF1" w14:textId="77777777" w:rsidTr="001B28D1">
        <w:tc>
          <w:tcPr>
            <w:tcW w:w="2600" w:type="dxa"/>
            <w:tcBorders>
              <w:top w:val="nil"/>
              <w:left w:val="nil"/>
              <w:bottom w:val="nil"/>
              <w:right w:val="nil"/>
            </w:tcBorders>
            <w:vAlign w:val="center"/>
          </w:tcPr>
          <w:p w14:paraId="02CDB4B3" w14:textId="77777777" w:rsidR="000305F4" w:rsidRPr="00E04633" w:rsidRDefault="000305F4" w:rsidP="001B28D1">
            <w:pPr>
              <w:widowControl w:val="0"/>
              <w:autoSpaceDE w:val="0"/>
              <w:autoSpaceDN w:val="0"/>
              <w:adjustRightInd w:val="0"/>
              <w:rPr>
                <w:sz w:val="20"/>
                <w:szCs w:val="20"/>
              </w:rPr>
            </w:pPr>
            <w:r w:rsidRPr="00E04633">
              <w:rPr>
                <w:sz w:val="20"/>
                <w:szCs w:val="20"/>
              </w:rPr>
              <w:t xml:space="preserve"> </w:t>
            </w:r>
          </w:p>
        </w:tc>
        <w:tc>
          <w:tcPr>
            <w:tcW w:w="1080" w:type="dxa"/>
            <w:tcBorders>
              <w:top w:val="nil"/>
              <w:left w:val="nil"/>
              <w:bottom w:val="nil"/>
              <w:right w:val="nil"/>
            </w:tcBorders>
            <w:vAlign w:val="center"/>
          </w:tcPr>
          <w:p w14:paraId="2899E915" w14:textId="77777777" w:rsidR="000305F4" w:rsidRDefault="000305F4" w:rsidP="001B28D1">
            <w:pPr>
              <w:widowControl w:val="0"/>
              <w:tabs>
                <w:tab w:val="decimal" w:leader="dot" w:pos="428"/>
              </w:tabs>
              <w:autoSpaceDE w:val="0"/>
              <w:autoSpaceDN w:val="0"/>
              <w:adjustRightInd w:val="0"/>
            </w:pPr>
          </w:p>
        </w:tc>
        <w:tc>
          <w:tcPr>
            <w:tcW w:w="720" w:type="dxa"/>
            <w:tcBorders>
              <w:top w:val="nil"/>
              <w:left w:val="nil"/>
              <w:bottom w:val="nil"/>
              <w:right w:val="nil"/>
            </w:tcBorders>
            <w:vAlign w:val="center"/>
          </w:tcPr>
          <w:p w14:paraId="338F967E" w14:textId="77777777" w:rsidR="000305F4" w:rsidRDefault="000305F4" w:rsidP="001B28D1">
            <w:pPr>
              <w:widowControl w:val="0"/>
              <w:tabs>
                <w:tab w:val="decimal" w:leader="dot" w:pos="428"/>
              </w:tabs>
              <w:autoSpaceDE w:val="0"/>
              <w:autoSpaceDN w:val="0"/>
              <w:adjustRightInd w:val="0"/>
              <w:jc w:val="center"/>
            </w:pPr>
          </w:p>
        </w:tc>
        <w:tc>
          <w:tcPr>
            <w:tcW w:w="1260" w:type="dxa"/>
            <w:tcBorders>
              <w:top w:val="nil"/>
              <w:left w:val="nil"/>
              <w:bottom w:val="nil"/>
              <w:right w:val="nil"/>
            </w:tcBorders>
            <w:vAlign w:val="center"/>
          </w:tcPr>
          <w:p w14:paraId="268D3262" w14:textId="77777777" w:rsidR="000305F4" w:rsidRDefault="000305F4" w:rsidP="001B28D1">
            <w:pPr>
              <w:widowControl w:val="0"/>
              <w:tabs>
                <w:tab w:val="decimal" w:leader="dot" w:pos="428"/>
              </w:tabs>
              <w:autoSpaceDE w:val="0"/>
              <w:autoSpaceDN w:val="0"/>
              <w:adjustRightInd w:val="0"/>
              <w:jc w:val="center"/>
            </w:pPr>
          </w:p>
        </w:tc>
        <w:tc>
          <w:tcPr>
            <w:tcW w:w="1620" w:type="dxa"/>
            <w:tcBorders>
              <w:top w:val="nil"/>
              <w:left w:val="nil"/>
              <w:bottom w:val="nil"/>
              <w:right w:val="nil"/>
            </w:tcBorders>
            <w:vAlign w:val="center"/>
          </w:tcPr>
          <w:p w14:paraId="11D2AA31" w14:textId="77777777" w:rsidR="000305F4" w:rsidRDefault="000305F4" w:rsidP="001B28D1">
            <w:pPr>
              <w:widowControl w:val="0"/>
              <w:tabs>
                <w:tab w:val="decimal" w:leader="dot" w:pos="428"/>
              </w:tabs>
              <w:autoSpaceDE w:val="0"/>
              <w:autoSpaceDN w:val="0"/>
              <w:adjustRightInd w:val="0"/>
              <w:jc w:val="center"/>
            </w:pPr>
          </w:p>
        </w:tc>
        <w:tc>
          <w:tcPr>
            <w:tcW w:w="1800" w:type="dxa"/>
            <w:tcBorders>
              <w:top w:val="nil"/>
              <w:left w:val="nil"/>
              <w:bottom w:val="nil"/>
              <w:right w:val="nil"/>
            </w:tcBorders>
            <w:vAlign w:val="center"/>
          </w:tcPr>
          <w:p w14:paraId="59D7C7B1" w14:textId="77777777" w:rsidR="000305F4" w:rsidRDefault="000305F4" w:rsidP="001B28D1">
            <w:pPr>
              <w:widowControl w:val="0"/>
              <w:tabs>
                <w:tab w:val="decimal" w:leader="dot" w:pos="428"/>
              </w:tabs>
              <w:autoSpaceDE w:val="0"/>
              <w:autoSpaceDN w:val="0"/>
              <w:adjustRightInd w:val="0"/>
              <w:jc w:val="center"/>
            </w:pPr>
          </w:p>
        </w:tc>
        <w:tc>
          <w:tcPr>
            <w:tcW w:w="1980" w:type="dxa"/>
            <w:tcBorders>
              <w:top w:val="nil"/>
              <w:left w:val="nil"/>
              <w:bottom w:val="nil"/>
              <w:right w:val="nil"/>
            </w:tcBorders>
            <w:vAlign w:val="center"/>
          </w:tcPr>
          <w:p w14:paraId="4614C819" w14:textId="77777777" w:rsidR="000305F4" w:rsidRDefault="000305F4" w:rsidP="001B28D1">
            <w:pPr>
              <w:widowControl w:val="0"/>
              <w:tabs>
                <w:tab w:val="decimal" w:leader="dot" w:pos="428"/>
              </w:tabs>
              <w:autoSpaceDE w:val="0"/>
              <w:autoSpaceDN w:val="0"/>
              <w:adjustRightInd w:val="0"/>
              <w:jc w:val="center"/>
            </w:pPr>
          </w:p>
        </w:tc>
        <w:tc>
          <w:tcPr>
            <w:tcW w:w="2160" w:type="dxa"/>
            <w:tcBorders>
              <w:top w:val="nil"/>
              <w:left w:val="nil"/>
              <w:bottom w:val="nil"/>
              <w:right w:val="nil"/>
            </w:tcBorders>
            <w:vAlign w:val="center"/>
          </w:tcPr>
          <w:p w14:paraId="264D53BB" w14:textId="77777777" w:rsidR="000305F4" w:rsidRDefault="000305F4" w:rsidP="001B28D1">
            <w:pPr>
              <w:widowControl w:val="0"/>
              <w:tabs>
                <w:tab w:val="decimal" w:leader="dot" w:pos="428"/>
              </w:tabs>
              <w:autoSpaceDE w:val="0"/>
              <w:autoSpaceDN w:val="0"/>
              <w:adjustRightInd w:val="0"/>
              <w:jc w:val="center"/>
            </w:pPr>
          </w:p>
        </w:tc>
      </w:tr>
      <w:tr w:rsidR="000305F4" w14:paraId="166B342E" w14:textId="77777777" w:rsidTr="001B28D1">
        <w:tc>
          <w:tcPr>
            <w:tcW w:w="2600" w:type="dxa"/>
            <w:tcBorders>
              <w:top w:val="nil"/>
              <w:left w:val="nil"/>
              <w:bottom w:val="nil"/>
              <w:right w:val="nil"/>
            </w:tcBorders>
            <w:vAlign w:val="center"/>
          </w:tcPr>
          <w:p w14:paraId="1C8894BB" w14:textId="77777777" w:rsidR="000305F4" w:rsidRPr="001A5D85" w:rsidRDefault="000305F4" w:rsidP="001B28D1">
            <w:pPr>
              <w:widowControl w:val="0"/>
              <w:autoSpaceDE w:val="0"/>
              <w:autoSpaceDN w:val="0"/>
              <w:adjustRightInd w:val="0"/>
              <w:rPr>
                <w:sz w:val="20"/>
                <w:szCs w:val="20"/>
              </w:rPr>
            </w:pPr>
            <w:r w:rsidRPr="001A5D85">
              <w:rPr>
                <w:sz w:val="20"/>
                <w:szCs w:val="20"/>
              </w:rPr>
              <w:t>5. White neighborhood proportion</w:t>
            </w:r>
          </w:p>
        </w:tc>
        <w:tc>
          <w:tcPr>
            <w:tcW w:w="1080" w:type="dxa"/>
            <w:tcBorders>
              <w:top w:val="nil"/>
              <w:left w:val="nil"/>
              <w:bottom w:val="nil"/>
              <w:right w:val="nil"/>
            </w:tcBorders>
            <w:vAlign w:val="center"/>
          </w:tcPr>
          <w:p w14:paraId="3EBE831B" w14:textId="77777777" w:rsidR="000305F4" w:rsidRPr="001A5D85" w:rsidRDefault="000305F4" w:rsidP="001B28D1">
            <w:pPr>
              <w:widowControl w:val="0"/>
              <w:tabs>
                <w:tab w:val="decimal" w:leader="dot" w:pos="428"/>
              </w:tabs>
              <w:autoSpaceDE w:val="0"/>
              <w:autoSpaceDN w:val="0"/>
              <w:adjustRightInd w:val="0"/>
              <w:rPr>
                <w:sz w:val="20"/>
                <w:szCs w:val="20"/>
              </w:rPr>
            </w:pPr>
            <w:r>
              <w:rPr>
                <w:sz w:val="20"/>
                <w:szCs w:val="20"/>
              </w:rPr>
              <w:t>0.02 – 1.0</w:t>
            </w:r>
          </w:p>
        </w:tc>
        <w:tc>
          <w:tcPr>
            <w:tcW w:w="720" w:type="dxa"/>
            <w:tcBorders>
              <w:top w:val="nil"/>
              <w:left w:val="nil"/>
              <w:bottom w:val="nil"/>
              <w:right w:val="nil"/>
            </w:tcBorders>
            <w:vAlign w:val="center"/>
          </w:tcPr>
          <w:p w14:paraId="2DB86CFD" w14:textId="77777777" w:rsidR="000305F4" w:rsidRPr="001A5D85" w:rsidRDefault="000305F4" w:rsidP="001B28D1">
            <w:pPr>
              <w:widowControl w:val="0"/>
              <w:tabs>
                <w:tab w:val="decimal" w:leader="dot" w:pos="428"/>
              </w:tabs>
              <w:autoSpaceDE w:val="0"/>
              <w:autoSpaceDN w:val="0"/>
              <w:adjustRightInd w:val="0"/>
              <w:jc w:val="center"/>
              <w:rPr>
                <w:sz w:val="20"/>
                <w:szCs w:val="20"/>
              </w:rPr>
            </w:pPr>
            <w:r w:rsidRPr="001A5D85">
              <w:rPr>
                <w:sz w:val="20"/>
                <w:szCs w:val="20"/>
              </w:rPr>
              <w:t>0.80</w:t>
            </w:r>
          </w:p>
        </w:tc>
        <w:tc>
          <w:tcPr>
            <w:tcW w:w="1260" w:type="dxa"/>
            <w:tcBorders>
              <w:top w:val="nil"/>
              <w:left w:val="nil"/>
              <w:bottom w:val="nil"/>
              <w:right w:val="nil"/>
            </w:tcBorders>
            <w:vAlign w:val="center"/>
          </w:tcPr>
          <w:p w14:paraId="1739F902" w14:textId="77777777" w:rsidR="000305F4" w:rsidRPr="001A5D85" w:rsidRDefault="000305F4" w:rsidP="001B28D1">
            <w:pPr>
              <w:widowControl w:val="0"/>
              <w:tabs>
                <w:tab w:val="decimal" w:leader="dot" w:pos="428"/>
              </w:tabs>
              <w:autoSpaceDE w:val="0"/>
              <w:autoSpaceDN w:val="0"/>
              <w:adjustRightInd w:val="0"/>
              <w:jc w:val="center"/>
              <w:rPr>
                <w:sz w:val="20"/>
                <w:szCs w:val="20"/>
              </w:rPr>
            </w:pPr>
            <w:r w:rsidRPr="001A5D85">
              <w:rPr>
                <w:sz w:val="20"/>
                <w:szCs w:val="20"/>
              </w:rPr>
              <w:t>0.21</w:t>
            </w:r>
          </w:p>
        </w:tc>
        <w:tc>
          <w:tcPr>
            <w:tcW w:w="1620" w:type="dxa"/>
            <w:tcBorders>
              <w:top w:val="nil"/>
              <w:left w:val="nil"/>
              <w:bottom w:val="nil"/>
              <w:right w:val="nil"/>
            </w:tcBorders>
            <w:vAlign w:val="center"/>
          </w:tcPr>
          <w:p w14:paraId="26128610" w14:textId="77777777" w:rsidR="000305F4" w:rsidRPr="001A5D85" w:rsidRDefault="000305F4" w:rsidP="001B28D1">
            <w:pPr>
              <w:widowControl w:val="0"/>
              <w:tabs>
                <w:tab w:val="decimal" w:leader="dot" w:pos="428"/>
              </w:tabs>
              <w:autoSpaceDE w:val="0"/>
              <w:autoSpaceDN w:val="0"/>
              <w:adjustRightInd w:val="0"/>
              <w:jc w:val="center"/>
              <w:rPr>
                <w:sz w:val="20"/>
                <w:szCs w:val="20"/>
              </w:rPr>
            </w:pPr>
            <w:r w:rsidRPr="001A5D85">
              <w:rPr>
                <w:sz w:val="20"/>
                <w:szCs w:val="20"/>
              </w:rPr>
              <w:t>-.06</w:t>
            </w:r>
          </w:p>
        </w:tc>
        <w:tc>
          <w:tcPr>
            <w:tcW w:w="1800" w:type="dxa"/>
            <w:tcBorders>
              <w:top w:val="nil"/>
              <w:left w:val="nil"/>
              <w:bottom w:val="nil"/>
              <w:right w:val="nil"/>
            </w:tcBorders>
            <w:vAlign w:val="center"/>
          </w:tcPr>
          <w:p w14:paraId="2FADE077" w14:textId="77777777" w:rsidR="000305F4" w:rsidRPr="001A5D85" w:rsidRDefault="000305F4" w:rsidP="001B28D1">
            <w:pPr>
              <w:widowControl w:val="0"/>
              <w:tabs>
                <w:tab w:val="decimal" w:leader="dot" w:pos="428"/>
              </w:tabs>
              <w:autoSpaceDE w:val="0"/>
              <w:autoSpaceDN w:val="0"/>
              <w:adjustRightInd w:val="0"/>
              <w:jc w:val="center"/>
              <w:rPr>
                <w:sz w:val="20"/>
                <w:szCs w:val="20"/>
              </w:rPr>
            </w:pPr>
            <w:r w:rsidRPr="001A5D85">
              <w:rPr>
                <w:sz w:val="20"/>
                <w:szCs w:val="20"/>
              </w:rPr>
              <w:t>-.05</w:t>
            </w:r>
          </w:p>
        </w:tc>
        <w:tc>
          <w:tcPr>
            <w:tcW w:w="1980" w:type="dxa"/>
            <w:tcBorders>
              <w:top w:val="nil"/>
              <w:left w:val="nil"/>
              <w:bottom w:val="nil"/>
              <w:right w:val="nil"/>
            </w:tcBorders>
            <w:vAlign w:val="center"/>
          </w:tcPr>
          <w:p w14:paraId="3C89081A" w14:textId="77777777" w:rsidR="000305F4" w:rsidRPr="001A5D85" w:rsidRDefault="000305F4" w:rsidP="001B28D1">
            <w:pPr>
              <w:widowControl w:val="0"/>
              <w:tabs>
                <w:tab w:val="decimal" w:leader="dot" w:pos="428"/>
              </w:tabs>
              <w:autoSpaceDE w:val="0"/>
              <w:autoSpaceDN w:val="0"/>
              <w:adjustRightInd w:val="0"/>
              <w:jc w:val="center"/>
              <w:rPr>
                <w:sz w:val="20"/>
                <w:szCs w:val="20"/>
              </w:rPr>
            </w:pPr>
            <w:r w:rsidRPr="001A5D85">
              <w:rPr>
                <w:sz w:val="20"/>
                <w:szCs w:val="20"/>
              </w:rPr>
              <w:t>-.01</w:t>
            </w:r>
          </w:p>
        </w:tc>
        <w:tc>
          <w:tcPr>
            <w:tcW w:w="2160" w:type="dxa"/>
            <w:tcBorders>
              <w:top w:val="nil"/>
              <w:left w:val="nil"/>
              <w:bottom w:val="nil"/>
              <w:right w:val="nil"/>
            </w:tcBorders>
            <w:vAlign w:val="center"/>
          </w:tcPr>
          <w:p w14:paraId="7008A33C" w14:textId="77777777" w:rsidR="000305F4" w:rsidRPr="001A5D85" w:rsidRDefault="000305F4" w:rsidP="001B28D1">
            <w:pPr>
              <w:widowControl w:val="0"/>
              <w:tabs>
                <w:tab w:val="decimal" w:leader="dot" w:pos="428"/>
              </w:tabs>
              <w:autoSpaceDE w:val="0"/>
              <w:autoSpaceDN w:val="0"/>
              <w:adjustRightInd w:val="0"/>
              <w:jc w:val="center"/>
              <w:rPr>
                <w:sz w:val="20"/>
                <w:szCs w:val="20"/>
              </w:rPr>
            </w:pPr>
            <w:r w:rsidRPr="001A5D85">
              <w:rPr>
                <w:sz w:val="20"/>
                <w:szCs w:val="20"/>
              </w:rPr>
              <w:t>.08*</w:t>
            </w:r>
          </w:p>
        </w:tc>
      </w:tr>
      <w:tr w:rsidR="000305F4" w14:paraId="447D6C72" w14:textId="77777777" w:rsidTr="001B28D1">
        <w:tc>
          <w:tcPr>
            <w:tcW w:w="2600" w:type="dxa"/>
            <w:tcBorders>
              <w:top w:val="nil"/>
              <w:left w:val="nil"/>
              <w:bottom w:val="nil"/>
              <w:right w:val="nil"/>
            </w:tcBorders>
            <w:vAlign w:val="center"/>
          </w:tcPr>
          <w:p w14:paraId="29BD7419" w14:textId="77777777" w:rsidR="000305F4" w:rsidRDefault="000305F4" w:rsidP="001B28D1">
            <w:pPr>
              <w:widowControl w:val="0"/>
              <w:autoSpaceDE w:val="0"/>
              <w:autoSpaceDN w:val="0"/>
              <w:adjustRightInd w:val="0"/>
            </w:pPr>
            <w:r>
              <w:t xml:space="preserve"> </w:t>
            </w:r>
          </w:p>
        </w:tc>
        <w:tc>
          <w:tcPr>
            <w:tcW w:w="1080" w:type="dxa"/>
            <w:tcBorders>
              <w:top w:val="nil"/>
              <w:left w:val="nil"/>
              <w:bottom w:val="nil"/>
              <w:right w:val="nil"/>
            </w:tcBorders>
            <w:vAlign w:val="center"/>
          </w:tcPr>
          <w:p w14:paraId="641B9D13" w14:textId="77777777" w:rsidR="000305F4" w:rsidRDefault="000305F4" w:rsidP="001B28D1">
            <w:pPr>
              <w:widowControl w:val="0"/>
              <w:tabs>
                <w:tab w:val="decimal" w:leader="dot" w:pos="428"/>
              </w:tabs>
              <w:autoSpaceDE w:val="0"/>
              <w:autoSpaceDN w:val="0"/>
              <w:adjustRightInd w:val="0"/>
            </w:pPr>
          </w:p>
        </w:tc>
        <w:tc>
          <w:tcPr>
            <w:tcW w:w="720" w:type="dxa"/>
            <w:tcBorders>
              <w:top w:val="nil"/>
              <w:left w:val="nil"/>
              <w:bottom w:val="nil"/>
              <w:right w:val="nil"/>
            </w:tcBorders>
            <w:vAlign w:val="center"/>
          </w:tcPr>
          <w:p w14:paraId="1265D25F" w14:textId="77777777" w:rsidR="000305F4" w:rsidRDefault="000305F4" w:rsidP="001B28D1">
            <w:pPr>
              <w:widowControl w:val="0"/>
              <w:tabs>
                <w:tab w:val="decimal" w:leader="dot" w:pos="428"/>
              </w:tabs>
              <w:autoSpaceDE w:val="0"/>
              <w:autoSpaceDN w:val="0"/>
              <w:adjustRightInd w:val="0"/>
              <w:jc w:val="center"/>
            </w:pPr>
          </w:p>
        </w:tc>
        <w:tc>
          <w:tcPr>
            <w:tcW w:w="1260" w:type="dxa"/>
            <w:tcBorders>
              <w:top w:val="nil"/>
              <w:left w:val="nil"/>
              <w:bottom w:val="nil"/>
              <w:right w:val="nil"/>
            </w:tcBorders>
            <w:vAlign w:val="center"/>
          </w:tcPr>
          <w:p w14:paraId="674452A3" w14:textId="77777777" w:rsidR="000305F4" w:rsidRDefault="000305F4" w:rsidP="001B28D1">
            <w:pPr>
              <w:widowControl w:val="0"/>
              <w:tabs>
                <w:tab w:val="decimal" w:leader="dot" w:pos="428"/>
              </w:tabs>
              <w:autoSpaceDE w:val="0"/>
              <w:autoSpaceDN w:val="0"/>
              <w:adjustRightInd w:val="0"/>
              <w:jc w:val="center"/>
            </w:pPr>
          </w:p>
        </w:tc>
        <w:tc>
          <w:tcPr>
            <w:tcW w:w="1620" w:type="dxa"/>
            <w:tcBorders>
              <w:top w:val="nil"/>
              <w:left w:val="nil"/>
              <w:bottom w:val="nil"/>
              <w:right w:val="nil"/>
            </w:tcBorders>
            <w:vAlign w:val="center"/>
          </w:tcPr>
          <w:p w14:paraId="43232609" w14:textId="77777777" w:rsidR="000305F4" w:rsidRDefault="000305F4" w:rsidP="001B28D1">
            <w:pPr>
              <w:widowControl w:val="0"/>
              <w:tabs>
                <w:tab w:val="decimal" w:leader="dot" w:pos="428"/>
              </w:tabs>
              <w:autoSpaceDE w:val="0"/>
              <w:autoSpaceDN w:val="0"/>
              <w:adjustRightInd w:val="0"/>
              <w:jc w:val="center"/>
            </w:pPr>
            <w:r>
              <w:rPr>
                <w:sz w:val="20"/>
                <w:szCs w:val="20"/>
              </w:rPr>
              <w:t>[-.15, .02]</w:t>
            </w:r>
          </w:p>
        </w:tc>
        <w:tc>
          <w:tcPr>
            <w:tcW w:w="1800" w:type="dxa"/>
            <w:tcBorders>
              <w:top w:val="nil"/>
              <w:left w:val="nil"/>
              <w:bottom w:val="nil"/>
              <w:right w:val="nil"/>
            </w:tcBorders>
            <w:vAlign w:val="center"/>
          </w:tcPr>
          <w:p w14:paraId="3676F38C" w14:textId="77777777" w:rsidR="000305F4" w:rsidRDefault="000305F4" w:rsidP="001B28D1">
            <w:pPr>
              <w:widowControl w:val="0"/>
              <w:tabs>
                <w:tab w:val="decimal" w:leader="dot" w:pos="428"/>
              </w:tabs>
              <w:autoSpaceDE w:val="0"/>
              <w:autoSpaceDN w:val="0"/>
              <w:adjustRightInd w:val="0"/>
              <w:jc w:val="center"/>
            </w:pPr>
            <w:r>
              <w:rPr>
                <w:sz w:val="20"/>
                <w:szCs w:val="20"/>
              </w:rPr>
              <w:t>[-.13, .03]</w:t>
            </w:r>
          </w:p>
        </w:tc>
        <w:tc>
          <w:tcPr>
            <w:tcW w:w="1980" w:type="dxa"/>
            <w:tcBorders>
              <w:top w:val="nil"/>
              <w:left w:val="nil"/>
              <w:bottom w:val="nil"/>
              <w:right w:val="nil"/>
            </w:tcBorders>
            <w:vAlign w:val="center"/>
          </w:tcPr>
          <w:p w14:paraId="0C6A1841" w14:textId="77777777" w:rsidR="000305F4" w:rsidRDefault="000305F4" w:rsidP="001B28D1">
            <w:pPr>
              <w:widowControl w:val="0"/>
              <w:tabs>
                <w:tab w:val="decimal" w:leader="dot" w:pos="428"/>
              </w:tabs>
              <w:autoSpaceDE w:val="0"/>
              <w:autoSpaceDN w:val="0"/>
              <w:adjustRightInd w:val="0"/>
              <w:jc w:val="center"/>
            </w:pPr>
            <w:r>
              <w:rPr>
                <w:sz w:val="20"/>
                <w:szCs w:val="20"/>
              </w:rPr>
              <w:t>[-.10, .07]</w:t>
            </w:r>
          </w:p>
        </w:tc>
        <w:tc>
          <w:tcPr>
            <w:tcW w:w="2160" w:type="dxa"/>
            <w:tcBorders>
              <w:top w:val="nil"/>
              <w:left w:val="nil"/>
              <w:bottom w:val="nil"/>
              <w:right w:val="nil"/>
            </w:tcBorders>
            <w:vAlign w:val="center"/>
          </w:tcPr>
          <w:p w14:paraId="5D3139A6" w14:textId="77777777" w:rsidR="000305F4" w:rsidRDefault="000305F4" w:rsidP="001B28D1">
            <w:pPr>
              <w:widowControl w:val="0"/>
              <w:tabs>
                <w:tab w:val="decimal" w:leader="dot" w:pos="428"/>
              </w:tabs>
              <w:autoSpaceDE w:val="0"/>
              <w:autoSpaceDN w:val="0"/>
              <w:adjustRightInd w:val="0"/>
              <w:jc w:val="center"/>
            </w:pPr>
            <w:r>
              <w:rPr>
                <w:sz w:val="20"/>
                <w:szCs w:val="20"/>
              </w:rPr>
              <w:t>[.00, .16]</w:t>
            </w:r>
          </w:p>
        </w:tc>
      </w:tr>
      <w:tr w:rsidR="000305F4" w14:paraId="2C3ACD10" w14:textId="77777777" w:rsidTr="001B28D1">
        <w:tc>
          <w:tcPr>
            <w:tcW w:w="2600" w:type="dxa"/>
            <w:tcBorders>
              <w:top w:val="nil"/>
              <w:left w:val="nil"/>
              <w:bottom w:val="single" w:sz="6" w:space="0" w:color="auto"/>
              <w:right w:val="nil"/>
            </w:tcBorders>
            <w:vAlign w:val="center"/>
          </w:tcPr>
          <w:p w14:paraId="1AB634C6" w14:textId="77777777" w:rsidR="000305F4" w:rsidRDefault="000305F4" w:rsidP="001B28D1">
            <w:pPr>
              <w:widowControl w:val="0"/>
              <w:autoSpaceDE w:val="0"/>
              <w:autoSpaceDN w:val="0"/>
              <w:adjustRightInd w:val="0"/>
            </w:pPr>
            <w:r>
              <w:t xml:space="preserve"> </w:t>
            </w:r>
          </w:p>
        </w:tc>
        <w:tc>
          <w:tcPr>
            <w:tcW w:w="1080" w:type="dxa"/>
            <w:tcBorders>
              <w:top w:val="nil"/>
              <w:left w:val="nil"/>
              <w:bottom w:val="single" w:sz="6" w:space="0" w:color="auto"/>
              <w:right w:val="nil"/>
            </w:tcBorders>
            <w:vAlign w:val="center"/>
          </w:tcPr>
          <w:p w14:paraId="5B133DDC" w14:textId="77777777" w:rsidR="000305F4" w:rsidRDefault="000305F4" w:rsidP="001B28D1">
            <w:pPr>
              <w:widowControl w:val="0"/>
              <w:tabs>
                <w:tab w:val="decimal" w:leader="dot" w:pos="428"/>
              </w:tabs>
              <w:autoSpaceDE w:val="0"/>
              <w:autoSpaceDN w:val="0"/>
              <w:adjustRightInd w:val="0"/>
            </w:pPr>
          </w:p>
        </w:tc>
        <w:tc>
          <w:tcPr>
            <w:tcW w:w="720" w:type="dxa"/>
            <w:tcBorders>
              <w:top w:val="nil"/>
              <w:left w:val="nil"/>
              <w:bottom w:val="single" w:sz="6" w:space="0" w:color="auto"/>
              <w:right w:val="nil"/>
            </w:tcBorders>
            <w:vAlign w:val="center"/>
          </w:tcPr>
          <w:p w14:paraId="0C390807" w14:textId="77777777" w:rsidR="000305F4" w:rsidRDefault="000305F4" w:rsidP="001B28D1">
            <w:pPr>
              <w:widowControl w:val="0"/>
              <w:tabs>
                <w:tab w:val="decimal" w:leader="dot" w:pos="428"/>
              </w:tabs>
              <w:autoSpaceDE w:val="0"/>
              <w:autoSpaceDN w:val="0"/>
              <w:adjustRightInd w:val="0"/>
              <w:jc w:val="center"/>
            </w:pPr>
          </w:p>
        </w:tc>
        <w:tc>
          <w:tcPr>
            <w:tcW w:w="1260" w:type="dxa"/>
            <w:tcBorders>
              <w:top w:val="nil"/>
              <w:left w:val="nil"/>
              <w:bottom w:val="single" w:sz="6" w:space="0" w:color="auto"/>
              <w:right w:val="nil"/>
            </w:tcBorders>
            <w:vAlign w:val="center"/>
          </w:tcPr>
          <w:p w14:paraId="02F5A5A0" w14:textId="77777777" w:rsidR="000305F4" w:rsidRDefault="000305F4" w:rsidP="001B28D1">
            <w:pPr>
              <w:widowControl w:val="0"/>
              <w:tabs>
                <w:tab w:val="decimal" w:leader="dot" w:pos="428"/>
              </w:tabs>
              <w:autoSpaceDE w:val="0"/>
              <w:autoSpaceDN w:val="0"/>
              <w:adjustRightInd w:val="0"/>
              <w:jc w:val="center"/>
            </w:pPr>
          </w:p>
        </w:tc>
        <w:tc>
          <w:tcPr>
            <w:tcW w:w="1620" w:type="dxa"/>
            <w:tcBorders>
              <w:top w:val="nil"/>
              <w:left w:val="nil"/>
              <w:bottom w:val="single" w:sz="6" w:space="0" w:color="auto"/>
              <w:right w:val="nil"/>
            </w:tcBorders>
            <w:vAlign w:val="center"/>
          </w:tcPr>
          <w:p w14:paraId="24DF9DA1" w14:textId="77777777" w:rsidR="000305F4" w:rsidRDefault="000305F4" w:rsidP="001B28D1">
            <w:pPr>
              <w:widowControl w:val="0"/>
              <w:tabs>
                <w:tab w:val="decimal" w:leader="dot" w:pos="428"/>
              </w:tabs>
              <w:autoSpaceDE w:val="0"/>
              <w:autoSpaceDN w:val="0"/>
              <w:adjustRightInd w:val="0"/>
              <w:jc w:val="center"/>
            </w:pPr>
          </w:p>
        </w:tc>
        <w:tc>
          <w:tcPr>
            <w:tcW w:w="1800" w:type="dxa"/>
            <w:tcBorders>
              <w:top w:val="nil"/>
              <w:left w:val="nil"/>
              <w:bottom w:val="single" w:sz="6" w:space="0" w:color="auto"/>
              <w:right w:val="nil"/>
            </w:tcBorders>
            <w:vAlign w:val="center"/>
          </w:tcPr>
          <w:p w14:paraId="31AEED4D" w14:textId="77777777" w:rsidR="000305F4" w:rsidRDefault="000305F4" w:rsidP="001B28D1">
            <w:pPr>
              <w:widowControl w:val="0"/>
              <w:tabs>
                <w:tab w:val="decimal" w:leader="dot" w:pos="428"/>
              </w:tabs>
              <w:autoSpaceDE w:val="0"/>
              <w:autoSpaceDN w:val="0"/>
              <w:adjustRightInd w:val="0"/>
              <w:jc w:val="center"/>
            </w:pPr>
          </w:p>
        </w:tc>
        <w:tc>
          <w:tcPr>
            <w:tcW w:w="1980" w:type="dxa"/>
            <w:tcBorders>
              <w:top w:val="nil"/>
              <w:left w:val="nil"/>
              <w:bottom w:val="single" w:sz="6" w:space="0" w:color="auto"/>
              <w:right w:val="nil"/>
            </w:tcBorders>
            <w:vAlign w:val="center"/>
          </w:tcPr>
          <w:p w14:paraId="1ED27C37" w14:textId="77777777" w:rsidR="000305F4" w:rsidRDefault="000305F4" w:rsidP="001B28D1">
            <w:pPr>
              <w:widowControl w:val="0"/>
              <w:tabs>
                <w:tab w:val="decimal" w:leader="dot" w:pos="428"/>
              </w:tabs>
              <w:autoSpaceDE w:val="0"/>
              <w:autoSpaceDN w:val="0"/>
              <w:adjustRightInd w:val="0"/>
              <w:jc w:val="center"/>
            </w:pPr>
          </w:p>
        </w:tc>
        <w:tc>
          <w:tcPr>
            <w:tcW w:w="2160" w:type="dxa"/>
            <w:tcBorders>
              <w:top w:val="nil"/>
              <w:left w:val="nil"/>
              <w:bottom w:val="single" w:sz="6" w:space="0" w:color="auto"/>
              <w:right w:val="nil"/>
            </w:tcBorders>
            <w:vAlign w:val="center"/>
          </w:tcPr>
          <w:p w14:paraId="0BF40A46" w14:textId="77777777" w:rsidR="000305F4" w:rsidRDefault="000305F4" w:rsidP="001B28D1">
            <w:pPr>
              <w:widowControl w:val="0"/>
              <w:tabs>
                <w:tab w:val="decimal" w:leader="dot" w:pos="428"/>
              </w:tabs>
              <w:autoSpaceDE w:val="0"/>
              <w:autoSpaceDN w:val="0"/>
              <w:adjustRightInd w:val="0"/>
              <w:jc w:val="center"/>
            </w:pPr>
          </w:p>
        </w:tc>
      </w:tr>
    </w:tbl>
    <w:p w14:paraId="5D0894D1" w14:textId="59B7B3CD" w:rsidR="00CF769A" w:rsidRPr="00AE4384" w:rsidRDefault="00CF769A" w:rsidP="00CF769A">
      <w:pPr>
        <w:widowControl w:val="0"/>
        <w:autoSpaceDE w:val="0"/>
        <w:autoSpaceDN w:val="0"/>
        <w:adjustRightInd w:val="0"/>
        <w:rPr>
          <w:sz w:val="20"/>
          <w:szCs w:val="20"/>
        </w:rPr>
      </w:pPr>
      <w:r w:rsidRPr="00AE4384">
        <w:rPr>
          <w:i/>
          <w:iCs/>
          <w:sz w:val="20"/>
          <w:szCs w:val="20"/>
        </w:rPr>
        <w:t>Note.</w:t>
      </w:r>
      <w:r w:rsidRPr="00AE4384">
        <w:rPr>
          <w:sz w:val="20"/>
          <w:szCs w:val="20"/>
        </w:rPr>
        <w:t xml:space="preserve"> </w:t>
      </w:r>
      <w:r w:rsidRPr="00AE4384">
        <w:rPr>
          <w:i/>
          <w:iCs/>
          <w:sz w:val="20"/>
          <w:szCs w:val="20"/>
        </w:rPr>
        <w:t>M</w:t>
      </w:r>
      <w:r w:rsidRPr="00AE4384">
        <w:rPr>
          <w:sz w:val="20"/>
          <w:szCs w:val="20"/>
        </w:rPr>
        <w:t xml:space="preserve"> and </w:t>
      </w:r>
      <w:r w:rsidRPr="00AE4384">
        <w:rPr>
          <w:i/>
          <w:iCs/>
          <w:sz w:val="20"/>
          <w:szCs w:val="20"/>
        </w:rPr>
        <w:t>SD</w:t>
      </w:r>
      <w:r w:rsidRPr="00AE4384">
        <w:rPr>
          <w:sz w:val="20"/>
          <w:szCs w:val="20"/>
        </w:rPr>
        <w:t xml:space="preserve"> are used to represent mean and standard deviation, respectively. Values in square brackets indicate the 95% confidence interval for each correlation. The confidence interval is a plausible range of population correlations that could have caused the sample correlation (Cumming, 2014). * </w:t>
      </w:r>
      <w:proofErr w:type="gramStart"/>
      <w:r w:rsidRPr="00AE4384">
        <w:rPr>
          <w:sz w:val="20"/>
          <w:szCs w:val="20"/>
        </w:rPr>
        <w:t>indicates</w:t>
      </w:r>
      <w:proofErr w:type="gramEnd"/>
      <w:r w:rsidRPr="00AE4384">
        <w:rPr>
          <w:sz w:val="20"/>
          <w:szCs w:val="20"/>
        </w:rPr>
        <w:t xml:space="preserve"> </w:t>
      </w:r>
      <w:r w:rsidRPr="00AE4384">
        <w:rPr>
          <w:i/>
          <w:iCs/>
          <w:sz w:val="20"/>
          <w:szCs w:val="20"/>
        </w:rPr>
        <w:t>p</w:t>
      </w:r>
      <w:r w:rsidRPr="00AE4384">
        <w:rPr>
          <w:sz w:val="20"/>
          <w:szCs w:val="20"/>
        </w:rPr>
        <w:t xml:space="preserve"> &lt; .05. ** indicates </w:t>
      </w:r>
      <w:r w:rsidRPr="00AE4384">
        <w:rPr>
          <w:i/>
          <w:iCs/>
          <w:sz w:val="20"/>
          <w:szCs w:val="20"/>
        </w:rPr>
        <w:t>p</w:t>
      </w:r>
      <w:r w:rsidRPr="00AE4384">
        <w:rPr>
          <w:sz w:val="20"/>
          <w:szCs w:val="20"/>
        </w:rPr>
        <w:t xml:space="preserve"> &lt; .0</w:t>
      </w:r>
      <w:r w:rsidR="004532C6">
        <w:rPr>
          <w:sz w:val="20"/>
          <w:szCs w:val="20"/>
        </w:rPr>
        <w:t>0</w:t>
      </w:r>
      <w:r w:rsidRPr="00AE4384">
        <w:rPr>
          <w:sz w:val="20"/>
          <w:szCs w:val="20"/>
        </w:rPr>
        <w:t>1.</w:t>
      </w:r>
    </w:p>
    <w:p w14:paraId="2D41EB45" w14:textId="77777777" w:rsidR="00CF769A" w:rsidRDefault="00CF769A" w:rsidP="00CF769A">
      <w:pPr>
        <w:rPr>
          <w:b/>
          <w:bCs/>
        </w:rPr>
      </w:pPr>
    </w:p>
    <w:p w14:paraId="54EB8BA2" w14:textId="77777777" w:rsidR="00CF769A" w:rsidRDefault="00CF769A" w:rsidP="00CF769A">
      <w:pPr>
        <w:rPr>
          <w:b/>
          <w:bCs/>
        </w:rPr>
      </w:pPr>
    </w:p>
    <w:p w14:paraId="18DBF410" w14:textId="77777777" w:rsidR="000D0C3A" w:rsidRPr="00114D33" w:rsidRDefault="000D0C3A" w:rsidP="000D0C3A">
      <w:pPr>
        <w:spacing w:line="480" w:lineRule="auto"/>
        <w:ind w:firstLine="720"/>
        <w:jc w:val="center"/>
        <w:rPr>
          <w:b/>
          <w:bCs/>
        </w:rPr>
      </w:pPr>
    </w:p>
    <w:p w14:paraId="3784C61B" w14:textId="77777777" w:rsidR="00CF769A" w:rsidRDefault="00CF769A">
      <w:pPr>
        <w:rPr>
          <w:b/>
          <w:bCs/>
          <w:i/>
          <w:iCs/>
        </w:rPr>
      </w:pPr>
      <w:r>
        <w:rPr>
          <w:b/>
          <w:bCs/>
          <w:i/>
          <w:iCs/>
        </w:rPr>
        <w:br w:type="page"/>
      </w:r>
    </w:p>
    <w:p w14:paraId="475B9401" w14:textId="77777777" w:rsidR="00CF769A" w:rsidRDefault="00CF769A" w:rsidP="000D0C3A">
      <w:pPr>
        <w:spacing w:line="480" w:lineRule="auto"/>
        <w:rPr>
          <w:b/>
          <w:bCs/>
          <w:i/>
          <w:iCs/>
        </w:rPr>
        <w:sectPr w:rsidR="00CF769A" w:rsidSect="00CF769A">
          <w:pgSz w:w="15840" w:h="12240" w:orient="landscape"/>
          <w:pgMar w:top="1440" w:right="1440" w:bottom="1440" w:left="1440" w:header="720" w:footer="720" w:gutter="0"/>
          <w:cols w:space="720"/>
          <w:docGrid w:linePitch="360"/>
        </w:sectPr>
      </w:pPr>
    </w:p>
    <w:p w14:paraId="07151525" w14:textId="77777777" w:rsidR="00C0297C" w:rsidRPr="00114D33" w:rsidRDefault="00C0297C" w:rsidP="00C0297C">
      <w:pPr>
        <w:spacing w:line="480" w:lineRule="auto"/>
        <w:rPr>
          <w:b/>
          <w:bCs/>
          <w:i/>
          <w:iCs/>
        </w:rPr>
      </w:pPr>
      <w:r w:rsidRPr="00904093">
        <w:rPr>
          <w:b/>
          <w:bCs/>
          <w:i/>
          <w:iCs/>
        </w:rPr>
        <w:lastRenderedPageBreak/>
        <w:t xml:space="preserve">Desire </w:t>
      </w:r>
      <w:r w:rsidRPr="004C13C4">
        <w:rPr>
          <w:b/>
          <w:bCs/>
          <w:i/>
          <w:iCs/>
        </w:rPr>
        <w:t>for social distance</w:t>
      </w:r>
    </w:p>
    <w:p w14:paraId="4ED8CEE8" w14:textId="77777777" w:rsidR="00C0297C" w:rsidRPr="004C13C4" w:rsidRDefault="00C0297C" w:rsidP="00C0297C">
      <w:pPr>
        <w:spacing w:line="480" w:lineRule="auto"/>
        <w:ind w:firstLine="720"/>
      </w:pPr>
      <w:r w:rsidRPr="004C13C4">
        <w:t xml:space="preserve">To assess how much participants wanted to avoid interaction with members of each target group, participants completed </w:t>
      </w:r>
      <w:r>
        <w:t>a</w:t>
      </w:r>
      <w:r w:rsidRPr="004C13C4">
        <w:t xml:space="preserve"> 7-item social distance scale (Bogardus, 1933)</w:t>
      </w:r>
      <w:r>
        <w:t xml:space="preserve"> where White people were the target racial group in question</w:t>
      </w:r>
      <w:r w:rsidRPr="004C13C4">
        <w:t>. Sample items asked participants how willing they were “to accept a</w:t>
      </w:r>
      <w:r>
        <w:t xml:space="preserve"> White </w:t>
      </w:r>
      <w:r w:rsidRPr="004C13C4">
        <w:t xml:space="preserve">person as a coworker,” or “to live next door to </w:t>
      </w:r>
      <w:r>
        <w:t>White</w:t>
      </w:r>
      <w:r w:rsidRPr="004C13C4">
        <w:t xml:space="preserve"> person”, with item responses ranging from “strongly agree” (1) to “strongly disagree” (7), such that a higher value indicated a greater desire for social distance from the target </w:t>
      </w:r>
      <w:r w:rsidRPr="005C5BB1">
        <w:t>group (</w:t>
      </w:r>
      <m:oMath>
        <m:r>
          <w:rPr>
            <w:rFonts w:ascii="Cambria Math" w:hAnsi="Cambria Math"/>
          </w:rPr>
          <m:t>α</m:t>
        </m:r>
      </m:oMath>
      <w:r w:rsidRPr="00114D33">
        <w:rPr>
          <w:i/>
          <w:iCs/>
        </w:rPr>
        <w:t xml:space="preserve"> = .93</w:t>
      </w:r>
      <w:r w:rsidRPr="005C5BB1">
        <w:t>).</w:t>
      </w:r>
    </w:p>
    <w:p w14:paraId="6E868966" w14:textId="77777777" w:rsidR="00C0297C" w:rsidRPr="006B01DE" w:rsidRDefault="00C0297C" w:rsidP="00C0297C">
      <w:pPr>
        <w:spacing w:line="480" w:lineRule="auto"/>
        <w:ind w:firstLine="720"/>
      </w:pPr>
      <w:r w:rsidRPr="006B01DE">
        <w:rPr>
          <w:i/>
          <w:iCs/>
        </w:rPr>
        <w:t>Deaths due to COVID-19.</w:t>
      </w:r>
      <w:r w:rsidRPr="006B01DE">
        <w:t xml:space="preserve"> </w:t>
      </w:r>
      <w:r>
        <w:t>T</w:t>
      </w:r>
      <w:r w:rsidRPr="006B01DE">
        <w:t xml:space="preserve">here were no main or interactive effects of any COVID-19 variables, nor was there an effect of </w:t>
      </w:r>
      <w:r>
        <w:t>White neighborhood proportion on a desire for distance from White people</w:t>
      </w:r>
      <w:r w:rsidRPr="006B01DE">
        <w:t>. The only significant effect was that participants who had less contact with White people expressed a greater desire for social distance from White people.</w:t>
      </w:r>
    </w:p>
    <w:p w14:paraId="3A51F635" w14:textId="77777777" w:rsidR="00C0297C" w:rsidRPr="006B01DE" w:rsidRDefault="00C0297C" w:rsidP="00C0297C">
      <w:pPr>
        <w:spacing w:line="480" w:lineRule="auto"/>
        <w:ind w:firstLine="720"/>
      </w:pPr>
      <w:r w:rsidRPr="006B01DE">
        <w:rPr>
          <w:i/>
          <w:iCs/>
        </w:rPr>
        <w:t>Cases due to COVID-19.</w:t>
      </w:r>
      <w:r w:rsidRPr="006B01DE">
        <w:t xml:space="preserve"> When cases due to COVID-19 were included as the predictor, we find the same pattern of results as when deaths due to COVID-19 were included. </w:t>
      </w:r>
    </w:p>
    <w:p w14:paraId="755F154F" w14:textId="77777777" w:rsidR="00C0297C" w:rsidRPr="006B01DE" w:rsidRDefault="00C0297C" w:rsidP="00C0297C">
      <w:pPr>
        <w:spacing w:line="480" w:lineRule="auto"/>
      </w:pPr>
      <w:r>
        <w:t>Again,</w:t>
      </w:r>
      <w:r w:rsidRPr="006B01DE">
        <w:t xml:space="preserve"> contact with White people was associated with less prejudice toward White people</w:t>
      </w:r>
      <w:r>
        <w:t>.</w:t>
      </w:r>
    </w:p>
    <w:p w14:paraId="5BC17188" w14:textId="77777777" w:rsidR="00C0297C" w:rsidRDefault="00C0297C" w:rsidP="00C0297C">
      <w:pPr>
        <w:spacing w:line="480" w:lineRule="auto"/>
        <w:rPr>
          <w:b/>
          <w:bCs/>
          <w:i/>
          <w:iCs/>
        </w:rPr>
      </w:pPr>
      <w:r w:rsidRPr="006B01DE">
        <w:rPr>
          <w:b/>
          <w:bCs/>
          <w:i/>
          <w:iCs/>
        </w:rPr>
        <w:t>Support for exclusionary travel policies</w:t>
      </w:r>
    </w:p>
    <w:p w14:paraId="272D55BC" w14:textId="77777777" w:rsidR="00C0297C" w:rsidRDefault="00C0297C" w:rsidP="00C0297C">
      <w:pPr>
        <w:spacing w:line="480" w:lineRule="auto"/>
        <w:ind w:firstLine="720"/>
      </w:pPr>
      <w:r>
        <w:t>After informing</w:t>
      </w:r>
      <w:r w:rsidRPr="00BA133C">
        <w:t xml:space="preserve"> participants about an actual U.S. travel policy </w:t>
      </w:r>
      <w:r>
        <w:t>(“</w:t>
      </w:r>
      <w:r w:rsidRPr="00BA133C">
        <w:t>On March 13, 2020, in response to the spread of COVID-19, the United States government instituted travel restrictions for individuals traveling to and from certain areas of Europe.</w:t>
      </w:r>
      <w:r>
        <w:t xml:space="preserve">”), </w:t>
      </w:r>
      <w:r w:rsidRPr="00690870">
        <w:t xml:space="preserve">participants were asked how much they did or did not support this travel restriction on a 7-point scale, with item responses ranging from “do not support at all” (1) to “support completely” (7). </w:t>
      </w:r>
    </w:p>
    <w:p w14:paraId="113ED348" w14:textId="77777777" w:rsidR="00C0297C" w:rsidRPr="006B01DE" w:rsidRDefault="00C0297C" w:rsidP="00C0297C">
      <w:pPr>
        <w:spacing w:line="480" w:lineRule="auto"/>
        <w:ind w:firstLine="720"/>
      </w:pPr>
      <w:r w:rsidRPr="006B01DE">
        <w:rPr>
          <w:i/>
          <w:iCs/>
        </w:rPr>
        <w:t xml:space="preserve">Deaths due to COVID-19. </w:t>
      </w:r>
      <w:r>
        <w:t>T</w:t>
      </w:r>
      <w:r w:rsidRPr="006B01DE">
        <w:t xml:space="preserve">here was a main effect of contact only; participants who reported greater contact with White people also expressed more support for a ban on travelers </w:t>
      </w:r>
      <w:r w:rsidRPr="006B01DE">
        <w:lastRenderedPageBreak/>
        <w:t xml:space="preserve">from Europe. There were no main or interactive effects of COVID-19 intensity, nor any effect of </w:t>
      </w:r>
      <w:r>
        <w:t>neighborhood proportion of</w:t>
      </w:r>
      <w:r w:rsidRPr="006B01DE">
        <w:t xml:space="preserve"> White people.</w:t>
      </w:r>
      <w:r>
        <w:t xml:space="preserve"> </w:t>
      </w:r>
    </w:p>
    <w:p w14:paraId="323C3DA9" w14:textId="77777777" w:rsidR="00C0297C" w:rsidRDefault="00C0297C" w:rsidP="00C0297C">
      <w:pPr>
        <w:spacing w:line="480" w:lineRule="auto"/>
        <w:ind w:firstLine="720"/>
      </w:pPr>
      <w:r w:rsidRPr="006B01DE">
        <w:rPr>
          <w:i/>
          <w:iCs/>
        </w:rPr>
        <w:t xml:space="preserve">Cases due to COVID-19. </w:t>
      </w:r>
      <w:r>
        <w:t>W</w:t>
      </w:r>
      <w:r w:rsidRPr="006B01DE">
        <w:t xml:space="preserve">e find the same main effect of contact as described above. Participants who reported greater contact with White people also expressed more support for a ban on travelers from Europe. </w:t>
      </w:r>
    </w:p>
    <w:p w14:paraId="4C164154" w14:textId="77777777" w:rsidR="00C0297C" w:rsidRPr="006B01DE" w:rsidRDefault="00C0297C" w:rsidP="00C0297C">
      <w:pPr>
        <w:spacing w:line="480" w:lineRule="auto"/>
        <w:ind w:firstLine="720"/>
      </w:pPr>
      <w:r>
        <w:t>In conjunction with the pattern of results described in the main text</w:t>
      </w:r>
      <w:r w:rsidRPr="006B01DE">
        <w:t xml:space="preserve">, </w:t>
      </w:r>
      <w:r>
        <w:t>these data</w:t>
      </w:r>
      <w:r w:rsidRPr="006B01DE">
        <w:t xml:space="preserve"> provide some preliminary evidence that contact might moderate the relation between COVID-19 intensity and support for exclusionary policy that targets Asian people, but not policy that targets White people. However, this proposition should be further interrogated before drawing any strong conclusions, especially because of the suggestion that greater contact with White people was associated with greater support for travel policies that would primarily exclude White, European people.</w:t>
      </w:r>
    </w:p>
    <w:p w14:paraId="0CD5118E" w14:textId="77777777" w:rsidR="00C0297C" w:rsidRDefault="00C0297C" w:rsidP="00C0297C">
      <w:pPr>
        <w:spacing w:line="480" w:lineRule="auto"/>
        <w:rPr>
          <w:b/>
          <w:bCs/>
          <w:i/>
          <w:iCs/>
        </w:rPr>
      </w:pPr>
      <w:r w:rsidRPr="006B01DE">
        <w:rPr>
          <w:b/>
          <w:bCs/>
          <w:i/>
          <w:iCs/>
        </w:rPr>
        <w:t xml:space="preserve">Negative affect </w:t>
      </w:r>
    </w:p>
    <w:p w14:paraId="650F267C" w14:textId="77777777" w:rsidR="00C0297C" w:rsidRPr="00AC0CD1" w:rsidRDefault="00C0297C" w:rsidP="00C0297C">
      <w:pPr>
        <w:spacing w:line="480" w:lineRule="auto"/>
        <w:ind w:firstLine="720"/>
      </w:pPr>
      <w:r w:rsidRPr="00AC0CD1">
        <w:t xml:space="preserve">Participants completed a </w:t>
      </w:r>
      <w:proofErr w:type="gramStart"/>
      <w:r w:rsidRPr="00AC0CD1">
        <w:t>feeling thermometers</w:t>
      </w:r>
      <w:proofErr w:type="gramEnd"/>
      <w:r w:rsidRPr="00AC0CD1">
        <w:t xml:space="preserve"> in which they indicated “how warm or cold they felt toward White people,” with possible scores ranged from 0 (very cold) to 100 (very warm). Participants’ feelings thermometer score was </w:t>
      </w:r>
      <w:proofErr w:type="gramStart"/>
      <w:r w:rsidRPr="00AC0CD1">
        <w:t>reverse-scored</w:t>
      </w:r>
      <w:proofErr w:type="gramEnd"/>
      <w:r w:rsidRPr="00AC0CD1">
        <w:t xml:space="preserve"> by subtracting it from 100, so that a higher value would indicate feeling more cold (and thus less warm) toward White people.</w:t>
      </w:r>
    </w:p>
    <w:p w14:paraId="11446234" w14:textId="77777777" w:rsidR="00C0297C" w:rsidRPr="006B01DE" w:rsidRDefault="00C0297C" w:rsidP="00C0297C">
      <w:pPr>
        <w:spacing w:line="480" w:lineRule="auto"/>
        <w:ind w:firstLine="720"/>
      </w:pPr>
      <w:r w:rsidRPr="006B01DE">
        <w:rPr>
          <w:i/>
          <w:iCs/>
        </w:rPr>
        <w:t xml:space="preserve">Deaths due to COVID-19. </w:t>
      </w:r>
      <w:r w:rsidRPr="006B01DE">
        <w:t xml:space="preserve">We found a main effect of contact with White people, such that participants who reported greater contact with White people also reported less negative affect toward White people. There was no main effect of </w:t>
      </w:r>
      <w:r>
        <w:t>neighborhood proportion of</w:t>
      </w:r>
      <w:r w:rsidRPr="006B01DE">
        <w:t xml:space="preserve"> White people, and no main or interactive effects of any COVID-19 variables.</w:t>
      </w:r>
    </w:p>
    <w:p w14:paraId="077821BC" w14:textId="77777777" w:rsidR="00C0297C" w:rsidRPr="006B05BD" w:rsidRDefault="00C0297C" w:rsidP="00C0297C">
      <w:pPr>
        <w:spacing w:line="480" w:lineRule="auto"/>
        <w:ind w:firstLine="720"/>
      </w:pPr>
      <w:r w:rsidRPr="006B01DE">
        <w:rPr>
          <w:i/>
          <w:iCs/>
        </w:rPr>
        <w:lastRenderedPageBreak/>
        <w:t xml:space="preserve">Cases due to COVID-19. </w:t>
      </w:r>
      <w:r w:rsidRPr="006B01DE">
        <w:t>We found the same pattern of results when cases due to COVID-19 were included in place of deaths due to COVID-19.</w:t>
      </w:r>
    </w:p>
    <w:p w14:paraId="665DEBF0" w14:textId="26B2EFA8" w:rsidR="000D0C3A" w:rsidRDefault="00C0297C" w:rsidP="00C0297C">
      <w:pPr>
        <w:spacing w:line="480" w:lineRule="auto"/>
        <w:ind w:firstLine="720"/>
      </w:pPr>
      <w:r>
        <w:t>Thus, across all three indicators of prejudice, we find no relations between COVID-19 intensity (either actual or perceived) and anti-White bias. This stands in contrast to the results presented in the main text, where COVID-19 intensity was related to prejudice toward racial outgroups</w:t>
      </w:r>
      <w:r w:rsidR="000D0C3A">
        <w:t>.</w:t>
      </w:r>
    </w:p>
    <w:p w14:paraId="0D3E768B" w14:textId="4A09C6AE" w:rsidR="000D0C3A" w:rsidRDefault="000D0C3A"/>
    <w:p w14:paraId="7417D8B9" w14:textId="51E23767" w:rsidR="00A9033B" w:rsidRDefault="00A9033B">
      <w:r>
        <w:br w:type="page"/>
      </w:r>
    </w:p>
    <w:p w14:paraId="41DCB4EA" w14:textId="77777777" w:rsidR="00A9033B" w:rsidRDefault="00A9033B">
      <w:pPr>
        <w:rPr>
          <w:b/>
          <w:bCs/>
        </w:rPr>
        <w:sectPr w:rsidR="00A9033B" w:rsidSect="00CF769A">
          <w:pgSz w:w="12240" w:h="15840"/>
          <w:pgMar w:top="1440" w:right="1440" w:bottom="1440" w:left="1440" w:header="720" w:footer="720" w:gutter="0"/>
          <w:cols w:space="720"/>
          <w:docGrid w:linePitch="360"/>
        </w:sectPr>
      </w:pPr>
    </w:p>
    <w:p w14:paraId="4B1541F5" w14:textId="77777777" w:rsidR="00A9033B" w:rsidRDefault="00A9033B" w:rsidP="00A9033B">
      <w:pPr>
        <w:rPr>
          <w:b/>
          <w:bCs/>
        </w:rPr>
      </w:pPr>
    </w:p>
    <w:p w14:paraId="099042C0" w14:textId="77777777" w:rsidR="00A9033B" w:rsidRDefault="00A9033B" w:rsidP="00A9033B">
      <w:r>
        <w:rPr>
          <w:b/>
          <w:bCs/>
        </w:rPr>
        <w:t>Table SOM2</w:t>
      </w:r>
    </w:p>
    <w:p w14:paraId="7E5D850E" w14:textId="4BFDC3CA" w:rsidR="00A9033B" w:rsidRDefault="00A9033B" w:rsidP="00A9033B">
      <w:r w:rsidRPr="00361413">
        <w:rPr>
          <w:i/>
          <w:iCs/>
        </w:rPr>
        <w:t>Summary of model results, including parameter estimates and p-values</w:t>
      </w:r>
      <w:r>
        <w:rPr>
          <w:i/>
          <w:iCs/>
        </w:rPr>
        <w:t xml:space="preserve"> when anti-White prejudice is the outcome variable. </w:t>
      </w:r>
      <w:r w:rsidR="00FF225A">
        <w:rPr>
          <w:i/>
          <w:iCs/>
        </w:rPr>
        <w:t>Bold values indicate relations where p &lt; .05.</w:t>
      </w:r>
      <w:r w:rsidR="00FF225A">
        <w:t xml:space="preserve"> </w:t>
      </w:r>
      <w:r w:rsidRPr="005B7A77">
        <w:rPr>
          <w:i/>
          <w:iCs/>
        </w:rPr>
        <w:t>This table corresponds to Table</w:t>
      </w:r>
      <w:r>
        <w:rPr>
          <w:i/>
          <w:iCs/>
        </w:rPr>
        <w:t>s</w:t>
      </w:r>
      <w:r w:rsidRPr="005B7A77">
        <w:rPr>
          <w:i/>
          <w:iCs/>
        </w:rPr>
        <w:t xml:space="preserve"> 2</w:t>
      </w:r>
      <w:r>
        <w:rPr>
          <w:i/>
          <w:iCs/>
        </w:rPr>
        <w:t xml:space="preserve"> and 3</w:t>
      </w:r>
      <w:r w:rsidRPr="005B7A77">
        <w:rPr>
          <w:i/>
          <w:iCs/>
        </w:rPr>
        <w:t xml:space="preserve"> in the main text.</w:t>
      </w:r>
    </w:p>
    <w:tbl>
      <w:tblPr>
        <w:tblStyle w:val="PlainTable2"/>
        <w:tblW w:w="13462" w:type="dxa"/>
        <w:tblInd w:w="-862" w:type="dxa"/>
        <w:tblLook w:val="04A0" w:firstRow="1" w:lastRow="0" w:firstColumn="1" w:lastColumn="0" w:noHBand="0" w:noVBand="1"/>
      </w:tblPr>
      <w:tblGrid>
        <w:gridCol w:w="3342"/>
        <w:gridCol w:w="1250"/>
        <w:gridCol w:w="1249"/>
        <w:gridCol w:w="1238"/>
        <w:gridCol w:w="1244"/>
        <w:gridCol w:w="2070"/>
        <w:gridCol w:w="1123"/>
        <w:gridCol w:w="1046"/>
        <w:gridCol w:w="900"/>
      </w:tblGrid>
      <w:tr w:rsidR="00A9033B" w:rsidRPr="00F158C7" w14:paraId="01C3F0E0" w14:textId="77777777" w:rsidTr="00CC12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2" w:type="dxa"/>
          </w:tcPr>
          <w:p w14:paraId="64C66AF6" w14:textId="77777777" w:rsidR="00A9033B" w:rsidRPr="00F158C7" w:rsidRDefault="00A9033B" w:rsidP="00CC122C">
            <w:pPr>
              <w:rPr>
                <w:i/>
                <w:iCs/>
                <w:sz w:val="20"/>
                <w:szCs w:val="20"/>
              </w:rPr>
            </w:pPr>
          </w:p>
        </w:tc>
        <w:tc>
          <w:tcPr>
            <w:tcW w:w="4981" w:type="dxa"/>
            <w:gridSpan w:val="4"/>
          </w:tcPr>
          <w:p w14:paraId="2B024964" w14:textId="77777777" w:rsidR="00A9033B" w:rsidRPr="00F158C7" w:rsidRDefault="00A9033B" w:rsidP="00CC122C">
            <w:pPr>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F158C7">
              <w:rPr>
                <w:sz w:val="20"/>
                <w:szCs w:val="20"/>
              </w:rPr>
              <w:t xml:space="preserve">Analyses with COVID-19 Intensity based on </w:t>
            </w:r>
            <w:r w:rsidRPr="00F158C7">
              <w:rPr>
                <w:i/>
                <w:iCs/>
                <w:sz w:val="20"/>
                <w:szCs w:val="20"/>
              </w:rPr>
              <w:t>DEATHS</w:t>
            </w:r>
          </w:p>
        </w:tc>
        <w:tc>
          <w:tcPr>
            <w:tcW w:w="5139" w:type="dxa"/>
            <w:gridSpan w:val="4"/>
          </w:tcPr>
          <w:p w14:paraId="11C65BFF" w14:textId="77777777" w:rsidR="00A9033B" w:rsidRPr="00F158C7" w:rsidRDefault="00A9033B" w:rsidP="00CC122C">
            <w:pPr>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F158C7">
              <w:rPr>
                <w:sz w:val="20"/>
                <w:szCs w:val="20"/>
              </w:rPr>
              <w:t xml:space="preserve">Analyses with COVID-19 Intensity based on </w:t>
            </w:r>
            <w:r w:rsidRPr="00F158C7">
              <w:rPr>
                <w:i/>
                <w:sz w:val="20"/>
                <w:szCs w:val="20"/>
              </w:rPr>
              <w:t>CASES</w:t>
            </w:r>
          </w:p>
        </w:tc>
      </w:tr>
      <w:tr w:rsidR="00A9033B" w:rsidRPr="00F158C7" w14:paraId="3DBC61DE" w14:textId="77777777" w:rsidTr="00CC1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2" w:type="dxa"/>
          </w:tcPr>
          <w:p w14:paraId="54FC6D6F" w14:textId="77777777" w:rsidR="00A9033B" w:rsidRPr="00F158C7" w:rsidRDefault="00A9033B" w:rsidP="00CC122C">
            <w:pPr>
              <w:rPr>
                <w:i/>
                <w:iCs/>
                <w:sz w:val="20"/>
                <w:szCs w:val="20"/>
              </w:rPr>
            </w:pPr>
          </w:p>
        </w:tc>
        <w:tc>
          <w:tcPr>
            <w:tcW w:w="10120" w:type="dxa"/>
            <w:gridSpan w:val="8"/>
          </w:tcPr>
          <w:p w14:paraId="72FF0DAC"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b/>
                <w:bCs/>
                <w:i/>
                <w:iCs/>
                <w:sz w:val="20"/>
                <w:szCs w:val="20"/>
              </w:rPr>
            </w:pPr>
            <w:r w:rsidRPr="00F158C7">
              <w:rPr>
                <w:b/>
                <w:bCs/>
                <w:sz w:val="20"/>
                <w:szCs w:val="20"/>
              </w:rPr>
              <w:t xml:space="preserve">Desire </w:t>
            </w:r>
            <w:r>
              <w:rPr>
                <w:b/>
                <w:bCs/>
                <w:sz w:val="20"/>
                <w:szCs w:val="20"/>
              </w:rPr>
              <w:t>for social distance from</w:t>
            </w:r>
            <w:r w:rsidRPr="00F158C7">
              <w:rPr>
                <w:b/>
                <w:bCs/>
                <w:sz w:val="20"/>
                <w:szCs w:val="20"/>
              </w:rPr>
              <w:t xml:space="preserve"> </w:t>
            </w:r>
            <w:r>
              <w:rPr>
                <w:b/>
                <w:bCs/>
                <w:sz w:val="20"/>
                <w:szCs w:val="20"/>
              </w:rPr>
              <w:t>White</w:t>
            </w:r>
            <w:r w:rsidRPr="00026D59">
              <w:rPr>
                <w:sz w:val="20"/>
                <w:szCs w:val="20"/>
              </w:rPr>
              <w:t xml:space="preserve"> </w:t>
            </w:r>
            <w:r w:rsidRPr="00F158C7">
              <w:rPr>
                <w:b/>
                <w:bCs/>
                <w:sz w:val="20"/>
                <w:szCs w:val="20"/>
              </w:rPr>
              <w:t>people</w:t>
            </w:r>
          </w:p>
        </w:tc>
      </w:tr>
      <w:tr w:rsidR="00A9033B" w:rsidRPr="00F158C7" w14:paraId="6EAF2621" w14:textId="77777777" w:rsidTr="00CC122C">
        <w:tc>
          <w:tcPr>
            <w:cnfStyle w:val="001000000000" w:firstRow="0" w:lastRow="0" w:firstColumn="1" w:lastColumn="0" w:oddVBand="0" w:evenVBand="0" w:oddHBand="0" w:evenHBand="0" w:firstRowFirstColumn="0" w:firstRowLastColumn="0" w:lastRowFirstColumn="0" w:lastRowLastColumn="0"/>
            <w:tcW w:w="3342" w:type="dxa"/>
          </w:tcPr>
          <w:p w14:paraId="7F034827" w14:textId="77777777" w:rsidR="00A9033B" w:rsidRPr="00F158C7" w:rsidRDefault="00A9033B" w:rsidP="00CC122C">
            <w:pPr>
              <w:rPr>
                <w:b w:val="0"/>
                <w:bCs w:val="0"/>
                <w:i/>
                <w:iCs/>
                <w:sz w:val="20"/>
                <w:szCs w:val="20"/>
              </w:rPr>
            </w:pPr>
            <w:r w:rsidRPr="00F158C7">
              <w:rPr>
                <w:b w:val="0"/>
                <w:bCs w:val="0"/>
                <w:i/>
                <w:iCs/>
                <w:sz w:val="20"/>
                <w:szCs w:val="20"/>
              </w:rPr>
              <w:t>Predictor</w:t>
            </w:r>
          </w:p>
        </w:tc>
        <w:tc>
          <w:tcPr>
            <w:tcW w:w="1250" w:type="dxa"/>
          </w:tcPr>
          <w:p w14:paraId="3BF3FD73" w14:textId="77777777" w:rsidR="00A9033B" w:rsidRPr="00F158C7" w:rsidRDefault="00A9033B" w:rsidP="00CC122C">
            <w:pPr>
              <w:tabs>
                <w:tab w:val="left" w:pos="756"/>
              </w:tabs>
              <w:jc w:val="center"/>
              <w:cnfStyle w:val="000000000000" w:firstRow="0" w:lastRow="0" w:firstColumn="0" w:lastColumn="0" w:oddVBand="0" w:evenVBand="0" w:oddHBand="0" w:evenHBand="0" w:firstRowFirstColumn="0" w:firstRowLastColumn="0" w:lastRowFirstColumn="0" w:lastRowLastColumn="0"/>
              <w:rPr>
                <w:i/>
                <w:iCs/>
                <w:sz w:val="20"/>
                <w:szCs w:val="20"/>
              </w:rPr>
            </w:pPr>
            <m:oMathPara>
              <m:oMath>
                <m:r>
                  <w:rPr>
                    <w:rFonts w:ascii="Cambria Math" w:hAnsi="Cambria Math"/>
                    <w:sz w:val="20"/>
                    <w:szCs w:val="20"/>
                  </w:rPr>
                  <m:t>β</m:t>
                </m:r>
              </m:oMath>
            </m:oMathPara>
          </w:p>
        </w:tc>
        <w:tc>
          <w:tcPr>
            <w:tcW w:w="1249" w:type="dxa"/>
          </w:tcPr>
          <w:p w14:paraId="1A4EF33B"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F158C7">
              <w:rPr>
                <w:i/>
                <w:iCs/>
                <w:sz w:val="20"/>
                <w:szCs w:val="20"/>
              </w:rPr>
              <w:t>SE</w:t>
            </w:r>
          </w:p>
        </w:tc>
        <w:tc>
          <w:tcPr>
            <w:tcW w:w="1238" w:type="dxa"/>
          </w:tcPr>
          <w:p w14:paraId="61D5D8BA"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F158C7">
              <w:rPr>
                <w:i/>
                <w:iCs/>
                <w:sz w:val="20"/>
                <w:szCs w:val="20"/>
              </w:rPr>
              <w:t>t</w:t>
            </w:r>
          </w:p>
        </w:tc>
        <w:tc>
          <w:tcPr>
            <w:tcW w:w="1244" w:type="dxa"/>
          </w:tcPr>
          <w:p w14:paraId="63E83D8C"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F158C7">
              <w:rPr>
                <w:i/>
                <w:iCs/>
                <w:sz w:val="20"/>
                <w:szCs w:val="20"/>
              </w:rPr>
              <w:t>p</w:t>
            </w:r>
          </w:p>
        </w:tc>
        <w:tc>
          <w:tcPr>
            <w:tcW w:w="2070" w:type="dxa"/>
          </w:tcPr>
          <w:p w14:paraId="5F8E05DD"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m:oMathPara>
              <m:oMath>
                <m:r>
                  <w:rPr>
                    <w:rFonts w:ascii="Cambria Math" w:hAnsi="Cambria Math"/>
                    <w:sz w:val="20"/>
                    <w:szCs w:val="20"/>
                  </w:rPr>
                  <m:t>β</m:t>
                </m:r>
              </m:oMath>
            </m:oMathPara>
          </w:p>
        </w:tc>
        <w:tc>
          <w:tcPr>
            <w:tcW w:w="1123" w:type="dxa"/>
          </w:tcPr>
          <w:p w14:paraId="6683DF9A"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158C7">
              <w:rPr>
                <w:i/>
                <w:iCs/>
                <w:sz w:val="20"/>
                <w:szCs w:val="20"/>
              </w:rPr>
              <w:t>SE</w:t>
            </w:r>
          </w:p>
        </w:tc>
        <w:tc>
          <w:tcPr>
            <w:tcW w:w="1046" w:type="dxa"/>
          </w:tcPr>
          <w:p w14:paraId="6C25FB7F"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158C7">
              <w:rPr>
                <w:i/>
                <w:iCs/>
                <w:sz w:val="20"/>
                <w:szCs w:val="20"/>
              </w:rPr>
              <w:t>t</w:t>
            </w:r>
          </w:p>
        </w:tc>
        <w:tc>
          <w:tcPr>
            <w:tcW w:w="900" w:type="dxa"/>
          </w:tcPr>
          <w:p w14:paraId="082E2E34"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158C7">
              <w:rPr>
                <w:i/>
                <w:iCs/>
                <w:sz w:val="20"/>
                <w:szCs w:val="20"/>
              </w:rPr>
              <w:t>p</w:t>
            </w:r>
          </w:p>
        </w:tc>
      </w:tr>
      <w:tr w:rsidR="00A9033B" w:rsidRPr="00F158C7" w14:paraId="0B54F2E0" w14:textId="77777777" w:rsidTr="00CC1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2" w:type="dxa"/>
            <w:tcBorders>
              <w:bottom w:val="nil"/>
            </w:tcBorders>
          </w:tcPr>
          <w:p w14:paraId="5056A464" w14:textId="77777777" w:rsidR="00A9033B" w:rsidRPr="00026D59" w:rsidRDefault="00A9033B" w:rsidP="00CC122C">
            <w:pPr>
              <w:rPr>
                <w:b w:val="0"/>
                <w:bCs w:val="0"/>
                <w:sz w:val="20"/>
                <w:szCs w:val="20"/>
              </w:rPr>
            </w:pPr>
            <w:r w:rsidRPr="00026D59">
              <w:rPr>
                <w:b w:val="0"/>
                <w:bCs w:val="0"/>
                <w:sz w:val="20"/>
                <w:szCs w:val="20"/>
              </w:rPr>
              <w:t>Perceived COVID-19 intensity</w:t>
            </w:r>
          </w:p>
        </w:tc>
        <w:tc>
          <w:tcPr>
            <w:tcW w:w="1250" w:type="dxa"/>
            <w:tcBorders>
              <w:bottom w:val="nil"/>
            </w:tcBorders>
          </w:tcPr>
          <w:p w14:paraId="26ED7974" w14:textId="77777777" w:rsidR="00A9033B" w:rsidRPr="00804D96"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sidRPr="00804D96">
              <w:rPr>
                <w:sz w:val="20"/>
                <w:szCs w:val="20"/>
              </w:rPr>
              <w:t>1.92x10-5</w:t>
            </w:r>
          </w:p>
        </w:tc>
        <w:tc>
          <w:tcPr>
            <w:tcW w:w="1249" w:type="dxa"/>
            <w:tcBorders>
              <w:bottom w:val="nil"/>
            </w:tcBorders>
          </w:tcPr>
          <w:p w14:paraId="7F592AE8" w14:textId="77777777" w:rsidR="00A9033B" w:rsidRPr="00804D96"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sidRPr="00804D96">
              <w:rPr>
                <w:sz w:val="20"/>
                <w:szCs w:val="20"/>
              </w:rPr>
              <w:t>2.07 x10-5</w:t>
            </w:r>
          </w:p>
        </w:tc>
        <w:tc>
          <w:tcPr>
            <w:tcW w:w="1238" w:type="dxa"/>
            <w:tcBorders>
              <w:bottom w:val="nil"/>
            </w:tcBorders>
          </w:tcPr>
          <w:p w14:paraId="1AD00955" w14:textId="77777777" w:rsidR="00A9033B" w:rsidRPr="00804D96"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sidRPr="00804D96">
              <w:rPr>
                <w:sz w:val="20"/>
                <w:szCs w:val="20"/>
              </w:rPr>
              <w:t>0.93</w:t>
            </w:r>
          </w:p>
        </w:tc>
        <w:tc>
          <w:tcPr>
            <w:tcW w:w="1244" w:type="dxa"/>
            <w:tcBorders>
              <w:bottom w:val="nil"/>
            </w:tcBorders>
          </w:tcPr>
          <w:p w14:paraId="3A02CFE1" w14:textId="77777777" w:rsidR="00A9033B" w:rsidRPr="00804D96"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sidRPr="00804D96">
              <w:rPr>
                <w:sz w:val="20"/>
                <w:szCs w:val="20"/>
              </w:rPr>
              <w:t>0.36</w:t>
            </w:r>
          </w:p>
        </w:tc>
        <w:tc>
          <w:tcPr>
            <w:tcW w:w="2070" w:type="dxa"/>
            <w:tcBorders>
              <w:bottom w:val="nil"/>
            </w:tcBorders>
          </w:tcPr>
          <w:p w14:paraId="18EDC7F4"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3.19 x10-6</w:t>
            </w:r>
          </w:p>
        </w:tc>
        <w:tc>
          <w:tcPr>
            <w:tcW w:w="1123" w:type="dxa"/>
            <w:tcBorders>
              <w:bottom w:val="nil"/>
            </w:tcBorders>
          </w:tcPr>
          <w:p w14:paraId="751C8D9D"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1.77 x10-6</w:t>
            </w:r>
          </w:p>
        </w:tc>
        <w:tc>
          <w:tcPr>
            <w:tcW w:w="1046" w:type="dxa"/>
            <w:tcBorders>
              <w:bottom w:val="nil"/>
            </w:tcBorders>
          </w:tcPr>
          <w:p w14:paraId="6371C628"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1.81</w:t>
            </w:r>
          </w:p>
        </w:tc>
        <w:tc>
          <w:tcPr>
            <w:tcW w:w="900" w:type="dxa"/>
            <w:tcBorders>
              <w:bottom w:val="nil"/>
            </w:tcBorders>
          </w:tcPr>
          <w:p w14:paraId="1ECBCBC4"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0.07</w:t>
            </w:r>
          </w:p>
        </w:tc>
      </w:tr>
      <w:tr w:rsidR="00A9033B" w:rsidRPr="00F158C7" w14:paraId="2F82C135" w14:textId="77777777" w:rsidTr="00CC122C">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54F63897" w14:textId="77777777" w:rsidR="00A9033B" w:rsidRPr="00026D59" w:rsidRDefault="00A9033B" w:rsidP="00CC122C">
            <w:pPr>
              <w:rPr>
                <w:b w:val="0"/>
                <w:bCs w:val="0"/>
                <w:sz w:val="20"/>
                <w:szCs w:val="20"/>
              </w:rPr>
            </w:pPr>
            <w:r w:rsidRPr="00026D59">
              <w:rPr>
                <w:b w:val="0"/>
                <w:bCs w:val="0"/>
                <w:sz w:val="20"/>
                <w:szCs w:val="20"/>
              </w:rPr>
              <w:t>Actual COVID-19 intensity</w:t>
            </w:r>
          </w:p>
        </w:tc>
        <w:tc>
          <w:tcPr>
            <w:tcW w:w="1250" w:type="dxa"/>
            <w:tcBorders>
              <w:top w:val="nil"/>
              <w:bottom w:val="nil"/>
            </w:tcBorders>
          </w:tcPr>
          <w:p w14:paraId="04E5E20F" w14:textId="77777777" w:rsidR="00A9033B" w:rsidRPr="00F158C7" w:rsidRDefault="00A9033B" w:rsidP="00CC12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-4.66 x10-5</w:t>
            </w:r>
          </w:p>
        </w:tc>
        <w:tc>
          <w:tcPr>
            <w:tcW w:w="1249" w:type="dxa"/>
            <w:tcBorders>
              <w:top w:val="nil"/>
              <w:bottom w:val="nil"/>
            </w:tcBorders>
          </w:tcPr>
          <w:p w14:paraId="021E0DD4"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5.98 x10-5</w:t>
            </w:r>
          </w:p>
        </w:tc>
        <w:tc>
          <w:tcPr>
            <w:tcW w:w="1238" w:type="dxa"/>
            <w:tcBorders>
              <w:top w:val="nil"/>
              <w:bottom w:val="nil"/>
            </w:tcBorders>
          </w:tcPr>
          <w:p w14:paraId="56053037"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-0.78</w:t>
            </w:r>
          </w:p>
        </w:tc>
        <w:tc>
          <w:tcPr>
            <w:tcW w:w="1244" w:type="dxa"/>
            <w:tcBorders>
              <w:top w:val="nil"/>
              <w:bottom w:val="nil"/>
            </w:tcBorders>
          </w:tcPr>
          <w:p w14:paraId="2017A2A6"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0.44</w:t>
            </w:r>
          </w:p>
        </w:tc>
        <w:tc>
          <w:tcPr>
            <w:tcW w:w="2070" w:type="dxa"/>
            <w:tcBorders>
              <w:top w:val="nil"/>
              <w:bottom w:val="nil"/>
            </w:tcBorders>
          </w:tcPr>
          <w:p w14:paraId="45C77DAA"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-2.72 x10-6</w:t>
            </w:r>
          </w:p>
        </w:tc>
        <w:tc>
          <w:tcPr>
            <w:tcW w:w="1123" w:type="dxa"/>
            <w:tcBorders>
              <w:top w:val="nil"/>
              <w:bottom w:val="nil"/>
            </w:tcBorders>
          </w:tcPr>
          <w:p w14:paraId="112CC7EA"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2.33 x10-6</w:t>
            </w:r>
          </w:p>
        </w:tc>
        <w:tc>
          <w:tcPr>
            <w:tcW w:w="1046" w:type="dxa"/>
            <w:tcBorders>
              <w:top w:val="nil"/>
              <w:bottom w:val="nil"/>
            </w:tcBorders>
          </w:tcPr>
          <w:p w14:paraId="7DFE17B9"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-1.17</w:t>
            </w:r>
          </w:p>
        </w:tc>
        <w:tc>
          <w:tcPr>
            <w:tcW w:w="900" w:type="dxa"/>
            <w:tcBorders>
              <w:top w:val="nil"/>
              <w:bottom w:val="nil"/>
            </w:tcBorders>
          </w:tcPr>
          <w:p w14:paraId="17E10B7F"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0.24</w:t>
            </w:r>
          </w:p>
        </w:tc>
      </w:tr>
      <w:tr w:rsidR="00A9033B" w:rsidRPr="00F158C7" w14:paraId="758FC4F9" w14:textId="77777777" w:rsidTr="00CC1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463ADF54" w14:textId="77777777" w:rsidR="00A9033B" w:rsidRPr="00026D59" w:rsidRDefault="00A9033B" w:rsidP="00CC122C">
            <w:pPr>
              <w:rPr>
                <w:b w:val="0"/>
                <w:bCs w:val="0"/>
                <w:sz w:val="20"/>
                <w:szCs w:val="20"/>
              </w:rPr>
            </w:pPr>
            <w:r w:rsidRPr="00026D59">
              <w:rPr>
                <w:b w:val="0"/>
                <w:bCs w:val="0"/>
                <w:sz w:val="20"/>
                <w:szCs w:val="20"/>
              </w:rPr>
              <w:t xml:space="preserve">Contact with </w:t>
            </w:r>
            <w:r>
              <w:rPr>
                <w:b w:val="0"/>
                <w:bCs w:val="0"/>
                <w:sz w:val="20"/>
                <w:szCs w:val="20"/>
              </w:rPr>
              <w:t>White</w:t>
            </w:r>
            <w:r w:rsidRPr="00026D59">
              <w:rPr>
                <w:b w:val="0"/>
                <w:bCs w:val="0"/>
                <w:sz w:val="20"/>
                <w:szCs w:val="20"/>
              </w:rPr>
              <w:t xml:space="preserve"> people</w:t>
            </w:r>
          </w:p>
        </w:tc>
        <w:tc>
          <w:tcPr>
            <w:tcW w:w="1250" w:type="dxa"/>
            <w:tcBorders>
              <w:top w:val="nil"/>
              <w:bottom w:val="nil"/>
            </w:tcBorders>
          </w:tcPr>
          <w:p w14:paraId="5B966185"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-0.032</w:t>
            </w:r>
          </w:p>
        </w:tc>
        <w:tc>
          <w:tcPr>
            <w:tcW w:w="1249" w:type="dxa"/>
            <w:tcBorders>
              <w:top w:val="nil"/>
              <w:bottom w:val="nil"/>
            </w:tcBorders>
          </w:tcPr>
          <w:p w14:paraId="33281A83" w14:textId="77777777" w:rsidR="00A9033B" w:rsidRPr="00804D96" w:rsidRDefault="00A9033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804D96">
              <w:rPr>
                <w:b/>
                <w:bCs/>
                <w:sz w:val="20"/>
                <w:szCs w:val="20"/>
              </w:rPr>
              <w:t>6.98 x10-3</w:t>
            </w:r>
          </w:p>
        </w:tc>
        <w:tc>
          <w:tcPr>
            <w:tcW w:w="1238" w:type="dxa"/>
            <w:tcBorders>
              <w:top w:val="nil"/>
              <w:bottom w:val="nil"/>
            </w:tcBorders>
          </w:tcPr>
          <w:p w14:paraId="248DDC59"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-4.52</w:t>
            </w:r>
          </w:p>
        </w:tc>
        <w:tc>
          <w:tcPr>
            <w:tcW w:w="1244" w:type="dxa"/>
            <w:tcBorders>
              <w:top w:val="nil"/>
              <w:bottom w:val="nil"/>
            </w:tcBorders>
          </w:tcPr>
          <w:p w14:paraId="714B041E"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&lt; .001</w:t>
            </w:r>
          </w:p>
        </w:tc>
        <w:tc>
          <w:tcPr>
            <w:tcW w:w="2070" w:type="dxa"/>
            <w:tcBorders>
              <w:top w:val="nil"/>
              <w:bottom w:val="nil"/>
            </w:tcBorders>
          </w:tcPr>
          <w:p w14:paraId="65E9DF2B"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-0.032</w:t>
            </w:r>
          </w:p>
        </w:tc>
        <w:tc>
          <w:tcPr>
            <w:tcW w:w="1123" w:type="dxa"/>
            <w:tcBorders>
              <w:top w:val="nil"/>
              <w:bottom w:val="nil"/>
            </w:tcBorders>
          </w:tcPr>
          <w:p w14:paraId="58236097" w14:textId="77777777" w:rsidR="00A9033B" w:rsidRPr="00161F16" w:rsidRDefault="00A9033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161F16">
              <w:rPr>
                <w:b/>
                <w:bCs/>
                <w:sz w:val="20"/>
                <w:szCs w:val="20"/>
              </w:rPr>
              <w:t>7.04 x10-3</w:t>
            </w:r>
          </w:p>
        </w:tc>
        <w:tc>
          <w:tcPr>
            <w:tcW w:w="1046" w:type="dxa"/>
            <w:tcBorders>
              <w:top w:val="nil"/>
              <w:bottom w:val="nil"/>
            </w:tcBorders>
          </w:tcPr>
          <w:p w14:paraId="603D773E"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-4.51</w:t>
            </w:r>
          </w:p>
        </w:tc>
        <w:tc>
          <w:tcPr>
            <w:tcW w:w="900" w:type="dxa"/>
            <w:tcBorders>
              <w:top w:val="nil"/>
              <w:bottom w:val="nil"/>
            </w:tcBorders>
          </w:tcPr>
          <w:p w14:paraId="31145F10"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&lt; .001</w:t>
            </w:r>
          </w:p>
        </w:tc>
      </w:tr>
      <w:tr w:rsidR="00A9033B" w:rsidRPr="00F158C7" w14:paraId="635D020F" w14:textId="77777777" w:rsidTr="00CC122C">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27846E55" w14:textId="77777777" w:rsidR="00A9033B" w:rsidRPr="00026D59" w:rsidRDefault="00A9033B" w:rsidP="00CC122C">
            <w:pPr>
              <w:rPr>
                <w:b w:val="0"/>
                <w:bCs w:val="0"/>
                <w:sz w:val="20"/>
                <w:szCs w:val="20"/>
              </w:rPr>
            </w:pPr>
            <w:r w:rsidRPr="00026D59">
              <w:rPr>
                <w:b w:val="0"/>
                <w:bCs w:val="0"/>
                <w:sz w:val="20"/>
                <w:szCs w:val="20"/>
              </w:rPr>
              <w:t>Perceived intensity x contact</w:t>
            </w:r>
          </w:p>
        </w:tc>
        <w:tc>
          <w:tcPr>
            <w:tcW w:w="1250" w:type="dxa"/>
            <w:tcBorders>
              <w:top w:val="nil"/>
              <w:bottom w:val="nil"/>
            </w:tcBorders>
          </w:tcPr>
          <w:p w14:paraId="1E897FAF"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-3.58 x10-6</w:t>
            </w:r>
          </w:p>
        </w:tc>
        <w:tc>
          <w:tcPr>
            <w:tcW w:w="1249" w:type="dxa"/>
            <w:tcBorders>
              <w:top w:val="nil"/>
              <w:bottom w:val="nil"/>
            </w:tcBorders>
          </w:tcPr>
          <w:p w14:paraId="1BF41705"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8.39 x10-6</w:t>
            </w:r>
          </w:p>
        </w:tc>
        <w:tc>
          <w:tcPr>
            <w:tcW w:w="1238" w:type="dxa"/>
            <w:tcBorders>
              <w:top w:val="nil"/>
              <w:bottom w:val="nil"/>
            </w:tcBorders>
          </w:tcPr>
          <w:p w14:paraId="7E23E85D"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-0.43</w:t>
            </w:r>
          </w:p>
        </w:tc>
        <w:tc>
          <w:tcPr>
            <w:tcW w:w="1244" w:type="dxa"/>
            <w:tcBorders>
              <w:top w:val="nil"/>
              <w:bottom w:val="nil"/>
            </w:tcBorders>
          </w:tcPr>
          <w:p w14:paraId="429637EA"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0.67</w:t>
            </w:r>
          </w:p>
        </w:tc>
        <w:tc>
          <w:tcPr>
            <w:tcW w:w="2070" w:type="dxa"/>
            <w:tcBorders>
              <w:top w:val="nil"/>
              <w:bottom w:val="nil"/>
            </w:tcBorders>
          </w:tcPr>
          <w:p w14:paraId="17EBD6DD"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-5.88 x10-8</w:t>
            </w:r>
          </w:p>
        </w:tc>
        <w:tc>
          <w:tcPr>
            <w:tcW w:w="1123" w:type="dxa"/>
            <w:tcBorders>
              <w:top w:val="nil"/>
              <w:bottom w:val="nil"/>
            </w:tcBorders>
          </w:tcPr>
          <w:p w14:paraId="4D9EA15E"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6.92 x10-7</w:t>
            </w:r>
          </w:p>
        </w:tc>
        <w:tc>
          <w:tcPr>
            <w:tcW w:w="1046" w:type="dxa"/>
            <w:tcBorders>
              <w:top w:val="nil"/>
              <w:bottom w:val="nil"/>
            </w:tcBorders>
          </w:tcPr>
          <w:p w14:paraId="59A17F1E"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-0.085</w:t>
            </w:r>
          </w:p>
        </w:tc>
        <w:tc>
          <w:tcPr>
            <w:tcW w:w="900" w:type="dxa"/>
            <w:tcBorders>
              <w:top w:val="nil"/>
              <w:bottom w:val="nil"/>
            </w:tcBorders>
          </w:tcPr>
          <w:p w14:paraId="2396984A"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0.93</w:t>
            </w:r>
          </w:p>
        </w:tc>
      </w:tr>
      <w:tr w:rsidR="00A9033B" w:rsidRPr="00F158C7" w14:paraId="76D0EB62" w14:textId="77777777" w:rsidTr="00CC1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0224D59D" w14:textId="77777777" w:rsidR="00A9033B" w:rsidRPr="00026D59" w:rsidRDefault="00A9033B" w:rsidP="00CC122C">
            <w:pPr>
              <w:rPr>
                <w:sz w:val="20"/>
                <w:szCs w:val="20"/>
              </w:rPr>
            </w:pPr>
            <w:r w:rsidRPr="00026D59">
              <w:rPr>
                <w:b w:val="0"/>
                <w:bCs w:val="0"/>
                <w:sz w:val="20"/>
                <w:szCs w:val="20"/>
              </w:rPr>
              <w:t>Actual intensity x contact</w:t>
            </w:r>
          </w:p>
        </w:tc>
        <w:tc>
          <w:tcPr>
            <w:tcW w:w="1250" w:type="dxa"/>
            <w:tcBorders>
              <w:top w:val="nil"/>
              <w:bottom w:val="nil"/>
            </w:tcBorders>
          </w:tcPr>
          <w:p w14:paraId="5A23AB8B"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2.17 x10-5</w:t>
            </w:r>
          </w:p>
        </w:tc>
        <w:tc>
          <w:tcPr>
            <w:tcW w:w="1249" w:type="dxa"/>
            <w:tcBorders>
              <w:top w:val="nil"/>
              <w:bottom w:val="nil"/>
            </w:tcBorders>
          </w:tcPr>
          <w:p w14:paraId="2578E697"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2.16 x10-5</w:t>
            </w:r>
          </w:p>
        </w:tc>
        <w:tc>
          <w:tcPr>
            <w:tcW w:w="1238" w:type="dxa"/>
            <w:tcBorders>
              <w:top w:val="nil"/>
              <w:bottom w:val="nil"/>
            </w:tcBorders>
          </w:tcPr>
          <w:p w14:paraId="2A32F956"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w:t>
            </w:r>
          </w:p>
        </w:tc>
        <w:tc>
          <w:tcPr>
            <w:tcW w:w="1244" w:type="dxa"/>
            <w:tcBorders>
              <w:top w:val="nil"/>
              <w:bottom w:val="nil"/>
            </w:tcBorders>
          </w:tcPr>
          <w:p w14:paraId="009420DA"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0.32</w:t>
            </w:r>
          </w:p>
        </w:tc>
        <w:tc>
          <w:tcPr>
            <w:tcW w:w="2070" w:type="dxa"/>
            <w:tcBorders>
              <w:top w:val="nil"/>
              <w:bottom w:val="nil"/>
            </w:tcBorders>
          </w:tcPr>
          <w:p w14:paraId="4DBCFF0C"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2.31 x10-7</w:t>
            </w:r>
          </w:p>
        </w:tc>
        <w:tc>
          <w:tcPr>
            <w:tcW w:w="1123" w:type="dxa"/>
            <w:tcBorders>
              <w:top w:val="nil"/>
              <w:bottom w:val="nil"/>
            </w:tcBorders>
          </w:tcPr>
          <w:p w14:paraId="66913D82"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4.88 x10-8</w:t>
            </w:r>
          </w:p>
        </w:tc>
        <w:tc>
          <w:tcPr>
            <w:tcW w:w="1046" w:type="dxa"/>
            <w:tcBorders>
              <w:top w:val="nil"/>
              <w:bottom w:val="nil"/>
            </w:tcBorders>
          </w:tcPr>
          <w:p w14:paraId="6CF19AD6"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0.47</w:t>
            </w:r>
          </w:p>
        </w:tc>
        <w:tc>
          <w:tcPr>
            <w:tcW w:w="900" w:type="dxa"/>
            <w:tcBorders>
              <w:top w:val="nil"/>
              <w:bottom w:val="nil"/>
            </w:tcBorders>
          </w:tcPr>
          <w:p w14:paraId="0BCDF231"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0.63</w:t>
            </w:r>
          </w:p>
        </w:tc>
      </w:tr>
      <w:tr w:rsidR="00A9033B" w:rsidRPr="00F158C7" w14:paraId="482E2959" w14:textId="77777777" w:rsidTr="00CC122C">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47E30789" w14:textId="77777777" w:rsidR="00A9033B" w:rsidRPr="00D75700" w:rsidRDefault="00A9033B" w:rsidP="00CC122C">
            <w:pPr>
              <w:rPr>
                <w:b w:val="0"/>
                <w:bCs w:val="0"/>
                <w:sz w:val="20"/>
                <w:szCs w:val="20"/>
              </w:rPr>
            </w:pPr>
            <w:r>
              <w:rPr>
                <w:b w:val="0"/>
                <w:bCs w:val="0"/>
                <w:sz w:val="20"/>
                <w:szCs w:val="20"/>
              </w:rPr>
              <w:t>White</w:t>
            </w:r>
            <w:r w:rsidRPr="00026D59">
              <w:rPr>
                <w:b w:val="0"/>
                <w:bCs w:val="0"/>
                <w:sz w:val="20"/>
                <w:szCs w:val="20"/>
              </w:rPr>
              <w:t xml:space="preserve"> </w:t>
            </w:r>
            <w:r>
              <w:rPr>
                <w:b w:val="0"/>
                <w:bCs w:val="0"/>
                <w:sz w:val="20"/>
                <w:szCs w:val="20"/>
              </w:rPr>
              <w:t>neighborhood proportion</w:t>
            </w:r>
            <w:r w:rsidRPr="00D75700">
              <w:rPr>
                <w:b w:val="0"/>
                <w:bCs w:val="0"/>
                <w:sz w:val="20"/>
                <w:szCs w:val="20"/>
              </w:rPr>
              <w:t xml:space="preserve"> </w:t>
            </w:r>
          </w:p>
        </w:tc>
        <w:tc>
          <w:tcPr>
            <w:tcW w:w="1250" w:type="dxa"/>
            <w:tcBorders>
              <w:top w:val="nil"/>
              <w:bottom w:val="single" w:sz="4" w:space="0" w:color="auto"/>
            </w:tcBorders>
          </w:tcPr>
          <w:p w14:paraId="6BA4F333" w14:textId="77777777" w:rsidR="00A9033B" w:rsidRPr="007263CF"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-0.17</w:t>
            </w:r>
          </w:p>
        </w:tc>
        <w:tc>
          <w:tcPr>
            <w:tcW w:w="1249" w:type="dxa"/>
            <w:tcBorders>
              <w:top w:val="nil"/>
              <w:bottom w:val="single" w:sz="4" w:space="0" w:color="auto"/>
            </w:tcBorders>
          </w:tcPr>
          <w:p w14:paraId="3212E2F7" w14:textId="77777777" w:rsidR="00A9033B" w:rsidRPr="007263CF"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0.14</w:t>
            </w:r>
          </w:p>
        </w:tc>
        <w:tc>
          <w:tcPr>
            <w:tcW w:w="1238" w:type="dxa"/>
            <w:tcBorders>
              <w:top w:val="nil"/>
              <w:bottom w:val="single" w:sz="4" w:space="0" w:color="auto"/>
            </w:tcBorders>
          </w:tcPr>
          <w:p w14:paraId="1999E5E4" w14:textId="77777777" w:rsidR="00A9033B" w:rsidRPr="007263CF"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-1.15</w:t>
            </w:r>
          </w:p>
        </w:tc>
        <w:tc>
          <w:tcPr>
            <w:tcW w:w="1244" w:type="dxa"/>
            <w:tcBorders>
              <w:top w:val="nil"/>
              <w:bottom w:val="single" w:sz="4" w:space="0" w:color="auto"/>
            </w:tcBorders>
          </w:tcPr>
          <w:p w14:paraId="40150C3B" w14:textId="77777777" w:rsidR="00A9033B" w:rsidRPr="007263CF"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0.25</w:t>
            </w:r>
          </w:p>
        </w:tc>
        <w:tc>
          <w:tcPr>
            <w:tcW w:w="2070" w:type="dxa"/>
            <w:tcBorders>
              <w:top w:val="nil"/>
              <w:bottom w:val="single" w:sz="4" w:space="0" w:color="auto"/>
            </w:tcBorders>
          </w:tcPr>
          <w:p w14:paraId="02831A50" w14:textId="77777777" w:rsidR="00A9033B" w:rsidRPr="007263CF"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6.57 x10-7</w:t>
            </w:r>
          </w:p>
        </w:tc>
        <w:tc>
          <w:tcPr>
            <w:tcW w:w="1123" w:type="dxa"/>
            <w:tcBorders>
              <w:top w:val="nil"/>
              <w:bottom w:val="single" w:sz="4" w:space="0" w:color="auto"/>
            </w:tcBorders>
          </w:tcPr>
          <w:p w14:paraId="7A953198" w14:textId="77777777" w:rsidR="00A9033B" w:rsidRPr="007263CF"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7.08 x10-7</w:t>
            </w:r>
          </w:p>
        </w:tc>
        <w:tc>
          <w:tcPr>
            <w:tcW w:w="1046" w:type="dxa"/>
            <w:tcBorders>
              <w:top w:val="nil"/>
              <w:bottom w:val="single" w:sz="4" w:space="0" w:color="auto"/>
            </w:tcBorders>
          </w:tcPr>
          <w:p w14:paraId="489C9FD0" w14:textId="77777777" w:rsidR="00A9033B" w:rsidRPr="007263CF"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0.93</w:t>
            </w:r>
          </w:p>
        </w:tc>
        <w:tc>
          <w:tcPr>
            <w:tcW w:w="900" w:type="dxa"/>
            <w:tcBorders>
              <w:top w:val="nil"/>
              <w:bottom w:val="single" w:sz="4" w:space="0" w:color="auto"/>
            </w:tcBorders>
          </w:tcPr>
          <w:p w14:paraId="3BABC841" w14:textId="77777777" w:rsidR="00A9033B" w:rsidRPr="007263CF"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0.35</w:t>
            </w:r>
          </w:p>
        </w:tc>
      </w:tr>
      <w:tr w:rsidR="00A9033B" w:rsidRPr="00F158C7" w14:paraId="5052AD0D" w14:textId="77777777" w:rsidTr="00CC1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2DF51CF7" w14:textId="77777777" w:rsidR="00A9033B" w:rsidRPr="00F158C7" w:rsidRDefault="00A9033B" w:rsidP="00CC122C">
            <w:pPr>
              <w:rPr>
                <w:sz w:val="20"/>
                <w:szCs w:val="20"/>
              </w:rPr>
            </w:pPr>
          </w:p>
        </w:tc>
        <w:tc>
          <w:tcPr>
            <w:tcW w:w="10120" w:type="dxa"/>
            <w:gridSpan w:val="8"/>
            <w:tcBorders>
              <w:top w:val="single" w:sz="4" w:space="0" w:color="auto"/>
              <w:bottom w:val="single" w:sz="4" w:space="0" w:color="auto"/>
            </w:tcBorders>
          </w:tcPr>
          <w:p w14:paraId="2F64FD35"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F158C7">
              <w:rPr>
                <w:b/>
                <w:bCs/>
                <w:sz w:val="20"/>
                <w:szCs w:val="20"/>
              </w:rPr>
              <w:t>Support for exclusionary anti-</w:t>
            </w:r>
            <w:r>
              <w:rPr>
                <w:b/>
                <w:bCs/>
                <w:sz w:val="20"/>
                <w:szCs w:val="20"/>
              </w:rPr>
              <w:t xml:space="preserve">European </w:t>
            </w:r>
            <w:r w:rsidRPr="00F158C7">
              <w:rPr>
                <w:b/>
                <w:bCs/>
                <w:sz w:val="20"/>
                <w:szCs w:val="20"/>
              </w:rPr>
              <w:t>travel policy</w:t>
            </w:r>
          </w:p>
        </w:tc>
      </w:tr>
      <w:tr w:rsidR="00A9033B" w:rsidRPr="00F158C7" w14:paraId="00E7421B" w14:textId="77777777" w:rsidTr="00CC122C">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0EC59A8D" w14:textId="77777777" w:rsidR="00A9033B" w:rsidRPr="00F158C7" w:rsidRDefault="00A9033B" w:rsidP="00CC122C">
            <w:pPr>
              <w:rPr>
                <w:sz w:val="20"/>
                <w:szCs w:val="20"/>
              </w:rPr>
            </w:pPr>
            <w:r w:rsidRPr="00026D59">
              <w:rPr>
                <w:b w:val="0"/>
                <w:bCs w:val="0"/>
                <w:sz w:val="20"/>
                <w:szCs w:val="20"/>
              </w:rPr>
              <w:t>Perceived COVID-19 intensity</w:t>
            </w:r>
          </w:p>
        </w:tc>
        <w:tc>
          <w:tcPr>
            <w:tcW w:w="1250" w:type="dxa"/>
            <w:tcBorders>
              <w:top w:val="single" w:sz="4" w:space="0" w:color="auto"/>
              <w:bottom w:val="nil"/>
            </w:tcBorders>
          </w:tcPr>
          <w:p w14:paraId="4DC6C9FF"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-4.74 x10-5</w:t>
            </w:r>
          </w:p>
        </w:tc>
        <w:tc>
          <w:tcPr>
            <w:tcW w:w="1249" w:type="dxa"/>
            <w:tcBorders>
              <w:top w:val="single" w:sz="4" w:space="0" w:color="auto"/>
              <w:bottom w:val="nil"/>
            </w:tcBorders>
          </w:tcPr>
          <w:p w14:paraId="5E400D02"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3.95 x10-5</w:t>
            </w:r>
          </w:p>
        </w:tc>
        <w:tc>
          <w:tcPr>
            <w:tcW w:w="1238" w:type="dxa"/>
            <w:tcBorders>
              <w:top w:val="single" w:sz="4" w:space="0" w:color="auto"/>
              <w:bottom w:val="nil"/>
            </w:tcBorders>
          </w:tcPr>
          <w:p w14:paraId="5A3FE99B"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-1.20</w:t>
            </w:r>
          </w:p>
        </w:tc>
        <w:tc>
          <w:tcPr>
            <w:tcW w:w="1244" w:type="dxa"/>
            <w:tcBorders>
              <w:top w:val="single" w:sz="4" w:space="0" w:color="auto"/>
              <w:bottom w:val="nil"/>
            </w:tcBorders>
          </w:tcPr>
          <w:p w14:paraId="60F1BE04"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0.23</w:t>
            </w:r>
          </w:p>
        </w:tc>
        <w:tc>
          <w:tcPr>
            <w:tcW w:w="2070" w:type="dxa"/>
            <w:tcBorders>
              <w:top w:val="single" w:sz="4" w:space="0" w:color="auto"/>
              <w:bottom w:val="nil"/>
            </w:tcBorders>
          </w:tcPr>
          <w:p w14:paraId="35139012" w14:textId="77777777" w:rsidR="00A9033B" w:rsidRPr="00511392"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-2.06 x10-6</w:t>
            </w:r>
          </w:p>
        </w:tc>
        <w:tc>
          <w:tcPr>
            <w:tcW w:w="1123" w:type="dxa"/>
            <w:tcBorders>
              <w:top w:val="single" w:sz="4" w:space="0" w:color="auto"/>
              <w:bottom w:val="nil"/>
            </w:tcBorders>
          </w:tcPr>
          <w:p w14:paraId="4A8ADC9A" w14:textId="77777777" w:rsidR="00A9033B" w:rsidRPr="00511392"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3.37 x10-6</w:t>
            </w:r>
          </w:p>
        </w:tc>
        <w:tc>
          <w:tcPr>
            <w:tcW w:w="1046" w:type="dxa"/>
            <w:tcBorders>
              <w:top w:val="single" w:sz="4" w:space="0" w:color="auto"/>
              <w:bottom w:val="nil"/>
            </w:tcBorders>
          </w:tcPr>
          <w:p w14:paraId="4C3DE686" w14:textId="77777777" w:rsidR="00A9033B" w:rsidRPr="00511392"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-0.61</w:t>
            </w:r>
          </w:p>
        </w:tc>
        <w:tc>
          <w:tcPr>
            <w:tcW w:w="900" w:type="dxa"/>
            <w:tcBorders>
              <w:top w:val="single" w:sz="4" w:space="0" w:color="auto"/>
              <w:bottom w:val="nil"/>
            </w:tcBorders>
          </w:tcPr>
          <w:p w14:paraId="7DC16FB4" w14:textId="77777777" w:rsidR="00A9033B" w:rsidRPr="00511392"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0.54</w:t>
            </w:r>
          </w:p>
        </w:tc>
      </w:tr>
      <w:tr w:rsidR="00A9033B" w:rsidRPr="00F158C7" w14:paraId="4AA2904E" w14:textId="77777777" w:rsidTr="00CC1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42DFC712" w14:textId="77777777" w:rsidR="00A9033B" w:rsidRPr="00F158C7" w:rsidRDefault="00A9033B" w:rsidP="00CC122C">
            <w:pPr>
              <w:rPr>
                <w:b w:val="0"/>
                <w:bCs w:val="0"/>
                <w:sz w:val="20"/>
                <w:szCs w:val="20"/>
              </w:rPr>
            </w:pPr>
            <w:r w:rsidRPr="00026D59">
              <w:rPr>
                <w:b w:val="0"/>
                <w:bCs w:val="0"/>
                <w:sz w:val="20"/>
                <w:szCs w:val="20"/>
              </w:rPr>
              <w:t>Actual COVID-19 intensity</w:t>
            </w:r>
          </w:p>
        </w:tc>
        <w:tc>
          <w:tcPr>
            <w:tcW w:w="1250" w:type="dxa"/>
            <w:tcBorders>
              <w:top w:val="nil"/>
              <w:bottom w:val="nil"/>
            </w:tcBorders>
          </w:tcPr>
          <w:p w14:paraId="1DE4DF66"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1.56 x10-4</w:t>
            </w:r>
          </w:p>
        </w:tc>
        <w:tc>
          <w:tcPr>
            <w:tcW w:w="1249" w:type="dxa"/>
            <w:tcBorders>
              <w:top w:val="nil"/>
              <w:bottom w:val="nil"/>
            </w:tcBorders>
          </w:tcPr>
          <w:p w14:paraId="705B1389"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1.14 x10-4</w:t>
            </w:r>
          </w:p>
        </w:tc>
        <w:tc>
          <w:tcPr>
            <w:tcW w:w="1238" w:type="dxa"/>
            <w:tcBorders>
              <w:top w:val="nil"/>
              <w:bottom w:val="nil"/>
            </w:tcBorders>
          </w:tcPr>
          <w:p w14:paraId="7109538C"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1.37</w:t>
            </w:r>
          </w:p>
        </w:tc>
        <w:tc>
          <w:tcPr>
            <w:tcW w:w="1244" w:type="dxa"/>
            <w:tcBorders>
              <w:top w:val="nil"/>
              <w:bottom w:val="nil"/>
            </w:tcBorders>
          </w:tcPr>
          <w:p w14:paraId="0DD7078A"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0.17</w:t>
            </w:r>
          </w:p>
        </w:tc>
        <w:tc>
          <w:tcPr>
            <w:tcW w:w="2070" w:type="dxa"/>
            <w:tcBorders>
              <w:top w:val="nil"/>
              <w:bottom w:val="nil"/>
            </w:tcBorders>
          </w:tcPr>
          <w:p w14:paraId="0D48FF58" w14:textId="77777777" w:rsidR="00A9033B" w:rsidRPr="00511392"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5.08 x10-6</w:t>
            </w:r>
          </w:p>
        </w:tc>
        <w:tc>
          <w:tcPr>
            <w:tcW w:w="1123" w:type="dxa"/>
            <w:tcBorders>
              <w:top w:val="nil"/>
              <w:bottom w:val="nil"/>
            </w:tcBorders>
          </w:tcPr>
          <w:p w14:paraId="44788E03" w14:textId="77777777" w:rsidR="00A9033B" w:rsidRPr="00511392"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4.45 x10-6</w:t>
            </w:r>
          </w:p>
        </w:tc>
        <w:tc>
          <w:tcPr>
            <w:tcW w:w="1046" w:type="dxa"/>
            <w:tcBorders>
              <w:top w:val="nil"/>
              <w:bottom w:val="nil"/>
            </w:tcBorders>
          </w:tcPr>
          <w:p w14:paraId="5FECE806" w14:textId="77777777" w:rsidR="00A9033B" w:rsidRPr="00511392"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1.14</w:t>
            </w:r>
          </w:p>
        </w:tc>
        <w:tc>
          <w:tcPr>
            <w:tcW w:w="900" w:type="dxa"/>
            <w:tcBorders>
              <w:top w:val="nil"/>
              <w:bottom w:val="nil"/>
            </w:tcBorders>
          </w:tcPr>
          <w:p w14:paraId="1E8E0D57" w14:textId="77777777" w:rsidR="00A9033B" w:rsidRPr="00511392"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0.25</w:t>
            </w:r>
          </w:p>
        </w:tc>
      </w:tr>
      <w:tr w:rsidR="00A9033B" w:rsidRPr="00F158C7" w14:paraId="67075899" w14:textId="77777777" w:rsidTr="00CC122C">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5986E809" w14:textId="77777777" w:rsidR="00A9033B" w:rsidRPr="00F158C7" w:rsidRDefault="00A9033B" w:rsidP="00CC122C">
            <w:pPr>
              <w:rPr>
                <w:sz w:val="20"/>
                <w:szCs w:val="20"/>
              </w:rPr>
            </w:pPr>
            <w:r w:rsidRPr="00026D59">
              <w:rPr>
                <w:b w:val="0"/>
                <w:bCs w:val="0"/>
                <w:sz w:val="20"/>
                <w:szCs w:val="20"/>
              </w:rPr>
              <w:t xml:space="preserve">Contact with </w:t>
            </w:r>
            <w:r>
              <w:rPr>
                <w:b w:val="0"/>
                <w:bCs w:val="0"/>
                <w:sz w:val="20"/>
                <w:szCs w:val="20"/>
              </w:rPr>
              <w:t>White</w:t>
            </w:r>
            <w:r w:rsidRPr="00026D59">
              <w:rPr>
                <w:b w:val="0"/>
                <w:bCs w:val="0"/>
                <w:sz w:val="20"/>
                <w:szCs w:val="20"/>
              </w:rPr>
              <w:t xml:space="preserve"> people</w:t>
            </w:r>
          </w:p>
        </w:tc>
        <w:tc>
          <w:tcPr>
            <w:tcW w:w="1250" w:type="dxa"/>
            <w:tcBorders>
              <w:top w:val="nil"/>
              <w:bottom w:val="nil"/>
            </w:tcBorders>
          </w:tcPr>
          <w:p w14:paraId="27808A19" w14:textId="77777777" w:rsidR="00A9033B" w:rsidRPr="004C5A24" w:rsidRDefault="00A9033B" w:rsidP="00CC122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4C5A24">
              <w:rPr>
                <w:b/>
                <w:bCs/>
                <w:sz w:val="20"/>
                <w:szCs w:val="20"/>
              </w:rPr>
              <w:t>0.047</w:t>
            </w:r>
          </w:p>
        </w:tc>
        <w:tc>
          <w:tcPr>
            <w:tcW w:w="1249" w:type="dxa"/>
            <w:tcBorders>
              <w:top w:val="nil"/>
              <w:bottom w:val="nil"/>
            </w:tcBorders>
          </w:tcPr>
          <w:p w14:paraId="093E98FB" w14:textId="77777777" w:rsidR="00A9033B" w:rsidRPr="004C5A24" w:rsidRDefault="00A9033B" w:rsidP="00CC122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4C5A24">
              <w:rPr>
                <w:b/>
                <w:bCs/>
                <w:sz w:val="20"/>
                <w:szCs w:val="20"/>
              </w:rPr>
              <w:t>0.013</w:t>
            </w:r>
          </w:p>
        </w:tc>
        <w:tc>
          <w:tcPr>
            <w:tcW w:w="1238" w:type="dxa"/>
            <w:tcBorders>
              <w:top w:val="nil"/>
              <w:bottom w:val="nil"/>
            </w:tcBorders>
          </w:tcPr>
          <w:p w14:paraId="417F9BFE" w14:textId="77777777" w:rsidR="00A9033B" w:rsidRPr="004C5A24" w:rsidRDefault="00A9033B" w:rsidP="00CC122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4C5A24">
              <w:rPr>
                <w:b/>
                <w:bCs/>
                <w:sz w:val="20"/>
                <w:szCs w:val="20"/>
              </w:rPr>
              <w:t>3.57</w:t>
            </w:r>
          </w:p>
        </w:tc>
        <w:tc>
          <w:tcPr>
            <w:tcW w:w="1244" w:type="dxa"/>
            <w:tcBorders>
              <w:top w:val="nil"/>
              <w:bottom w:val="nil"/>
            </w:tcBorders>
          </w:tcPr>
          <w:p w14:paraId="57902BB3" w14:textId="77777777" w:rsidR="00A9033B" w:rsidRPr="004C5A24" w:rsidRDefault="00A9033B" w:rsidP="00CC122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4C5A24">
              <w:rPr>
                <w:b/>
                <w:bCs/>
                <w:sz w:val="20"/>
                <w:szCs w:val="20"/>
              </w:rPr>
              <w:t>&lt;.001</w:t>
            </w:r>
          </w:p>
        </w:tc>
        <w:tc>
          <w:tcPr>
            <w:tcW w:w="2070" w:type="dxa"/>
            <w:tcBorders>
              <w:top w:val="nil"/>
              <w:bottom w:val="nil"/>
            </w:tcBorders>
          </w:tcPr>
          <w:p w14:paraId="50E9565B" w14:textId="77777777" w:rsidR="00A9033B" w:rsidRPr="008659FB" w:rsidRDefault="00A9033B" w:rsidP="00CC122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8659FB">
              <w:rPr>
                <w:b/>
                <w:bCs/>
                <w:sz w:val="20"/>
                <w:szCs w:val="20"/>
              </w:rPr>
              <w:t>0.044</w:t>
            </w:r>
          </w:p>
        </w:tc>
        <w:tc>
          <w:tcPr>
            <w:tcW w:w="1123" w:type="dxa"/>
            <w:tcBorders>
              <w:top w:val="nil"/>
              <w:bottom w:val="nil"/>
            </w:tcBorders>
          </w:tcPr>
          <w:p w14:paraId="22A2C337" w14:textId="77777777" w:rsidR="00A9033B" w:rsidRPr="008659FB" w:rsidRDefault="00A9033B" w:rsidP="00CC122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8659FB">
              <w:rPr>
                <w:b/>
                <w:bCs/>
                <w:sz w:val="20"/>
                <w:szCs w:val="20"/>
              </w:rPr>
              <w:t>0.013</w:t>
            </w:r>
          </w:p>
        </w:tc>
        <w:tc>
          <w:tcPr>
            <w:tcW w:w="1046" w:type="dxa"/>
            <w:tcBorders>
              <w:top w:val="nil"/>
              <w:bottom w:val="nil"/>
            </w:tcBorders>
          </w:tcPr>
          <w:p w14:paraId="5927ECDF" w14:textId="77777777" w:rsidR="00A9033B" w:rsidRPr="008659FB" w:rsidRDefault="00A9033B" w:rsidP="00CC122C">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8659FB">
              <w:rPr>
                <w:b/>
                <w:bCs/>
                <w:sz w:val="20"/>
                <w:szCs w:val="20"/>
              </w:rPr>
              <w:t>3.29</w:t>
            </w:r>
          </w:p>
        </w:tc>
        <w:tc>
          <w:tcPr>
            <w:tcW w:w="900" w:type="dxa"/>
            <w:tcBorders>
              <w:top w:val="nil"/>
              <w:bottom w:val="nil"/>
            </w:tcBorders>
          </w:tcPr>
          <w:p w14:paraId="6BB70352" w14:textId="77777777" w:rsidR="00A9033B" w:rsidRPr="008659FB" w:rsidRDefault="00A9033B" w:rsidP="00CC122C">
            <w:pPr>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 xml:space="preserve">&lt; </w:t>
            </w:r>
            <w:r w:rsidRPr="008659FB">
              <w:rPr>
                <w:b/>
                <w:bCs/>
                <w:sz w:val="20"/>
                <w:szCs w:val="20"/>
              </w:rPr>
              <w:t>0.001</w:t>
            </w:r>
          </w:p>
        </w:tc>
      </w:tr>
      <w:tr w:rsidR="00A9033B" w:rsidRPr="00F158C7" w14:paraId="3ACF131A" w14:textId="77777777" w:rsidTr="00CC1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1FDED082" w14:textId="77777777" w:rsidR="00A9033B" w:rsidRPr="00F158C7" w:rsidRDefault="00A9033B" w:rsidP="00CC122C">
            <w:pPr>
              <w:rPr>
                <w:sz w:val="20"/>
                <w:szCs w:val="20"/>
              </w:rPr>
            </w:pPr>
            <w:r w:rsidRPr="00026D59">
              <w:rPr>
                <w:b w:val="0"/>
                <w:bCs w:val="0"/>
                <w:sz w:val="20"/>
                <w:szCs w:val="20"/>
              </w:rPr>
              <w:t>Perceived intensity x contact</w:t>
            </w:r>
          </w:p>
        </w:tc>
        <w:tc>
          <w:tcPr>
            <w:tcW w:w="1250" w:type="dxa"/>
            <w:tcBorders>
              <w:top w:val="nil"/>
              <w:bottom w:val="nil"/>
            </w:tcBorders>
          </w:tcPr>
          <w:p w14:paraId="41F1C66C"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6.16 x10-6</w:t>
            </w:r>
          </w:p>
        </w:tc>
        <w:tc>
          <w:tcPr>
            <w:tcW w:w="1249" w:type="dxa"/>
            <w:tcBorders>
              <w:top w:val="nil"/>
              <w:bottom w:val="nil"/>
            </w:tcBorders>
          </w:tcPr>
          <w:p w14:paraId="7355E3BD"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1.59 x10-5</w:t>
            </w:r>
          </w:p>
        </w:tc>
        <w:tc>
          <w:tcPr>
            <w:tcW w:w="1238" w:type="dxa"/>
            <w:tcBorders>
              <w:top w:val="nil"/>
              <w:bottom w:val="nil"/>
            </w:tcBorders>
          </w:tcPr>
          <w:p w14:paraId="410EC6F1"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0.39</w:t>
            </w:r>
          </w:p>
        </w:tc>
        <w:tc>
          <w:tcPr>
            <w:tcW w:w="1244" w:type="dxa"/>
            <w:tcBorders>
              <w:top w:val="nil"/>
              <w:bottom w:val="nil"/>
            </w:tcBorders>
          </w:tcPr>
          <w:p w14:paraId="6EF2DA00"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0.70</w:t>
            </w:r>
          </w:p>
        </w:tc>
        <w:tc>
          <w:tcPr>
            <w:tcW w:w="2070" w:type="dxa"/>
            <w:tcBorders>
              <w:top w:val="nil"/>
              <w:bottom w:val="nil"/>
            </w:tcBorders>
          </w:tcPr>
          <w:p w14:paraId="75A212A8" w14:textId="77777777" w:rsidR="00A9033B" w:rsidRPr="00511392"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-2.04 x10-6</w:t>
            </w:r>
          </w:p>
        </w:tc>
        <w:tc>
          <w:tcPr>
            <w:tcW w:w="1123" w:type="dxa"/>
            <w:tcBorders>
              <w:top w:val="nil"/>
              <w:bottom w:val="nil"/>
            </w:tcBorders>
            <w:vAlign w:val="center"/>
          </w:tcPr>
          <w:p w14:paraId="65B29D28" w14:textId="77777777" w:rsidR="00A9033B" w:rsidRPr="00511392"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1.32 x10-6</w:t>
            </w:r>
          </w:p>
        </w:tc>
        <w:tc>
          <w:tcPr>
            <w:tcW w:w="1046" w:type="dxa"/>
            <w:tcBorders>
              <w:top w:val="nil"/>
              <w:bottom w:val="nil"/>
            </w:tcBorders>
          </w:tcPr>
          <w:p w14:paraId="1043F78D" w14:textId="77777777" w:rsidR="00A9033B" w:rsidRPr="00511392"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-1.55</w:t>
            </w:r>
          </w:p>
        </w:tc>
        <w:tc>
          <w:tcPr>
            <w:tcW w:w="900" w:type="dxa"/>
            <w:tcBorders>
              <w:top w:val="nil"/>
              <w:bottom w:val="nil"/>
            </w:tcBorders>
          </w:tcPr>
          <w:p w14:paraId="1A7CA4E8" w14:textId="77777777" w:rsidR="00A9033B" w:rsidRPr="00511392"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0.12</w:t>
            </w:r>
          </w:p>
        </w:tc>
      </w:tr>
      <w:tr w:rsidR="00A9033B" w:rsidRPr="00F158C7" w14:paraId="0B1D29CB" w14:textId="77777777" w:rsidTr="00CC122C">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351C967A" w14:textId="77777777" w:rsidR="00A9033B" w:rsidRPr="00F158C7" w:rsidRDefault="00A9033B" w:rsidP="00CC122C">
            <w:pPr>
              <w:rPr>
                <w:sz w:val="20"/>
                <w:szCs w:val="20"/>
              </w:rPr>
            </w:pPr>
            <w:r w:rsidRPr="00026D59">
              <w:rPr>
                <w:b w:val="0"/>
                <w:bCs w:val="0"/>
                <w:sz w:val="20"/>
                <w:szCs w:val="20"/>
              </w:rPr>
              <w:t>Actual intensity x contact</w:t>
            </w:r>
          </w:p>
        </w:tc>
        <w:tc>
          <w:tcPr>
            <w:tcW w:w="1250" w:type="dxa"/>
            <w:tcBorders>
              <w:top w:val="nil"/>
              <w:bottom w:val="nil"/>
            </w:tcBorders>
          </w:tcPr>
          <w:p w14:paraId="24C58B7B" w14:textId="77777777" w:rsidR="00A9033B" w:rsidRPr="004C5A24"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sidRPr="004C5A24">
              <w:rPr>
                <w:sz w:val="20"/>
                <w:szCs w:val="20"/>
              </w:rPr>
              <w:t>-1.50 x10-5</w:t>
            </w:r>
          </w:p>
        </w:tc>
        <w:tc>
          <w:tcPr>
            <w:tcW w:w="1249" w:type="dxa"/>
            <w:tcBorders>
              <w:top w:val="nil"/>
              <w:bottom w:val="nil"/>
            </w:tcBorders>
          </w:tcPr>
          <w:p w14:paraId="4984BA43" w14:textId="77777777" w:rsidR="00A9033B" w:rsidRPr="004C5A24"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sidRPr="004C5A24">
              <w:rPr>
                <w:sz w:val="20"/>
                <w:szCs w:val="20"/>
              </w:rPr>
              <w:t>4.10 x10-5</w:t>
            </w:r>
          </w:p>
        </w:tc>
        <w:tc>
          <w:tcPr>
            <w:tcW w:w="1238" w:type="dxa"/>
            <w:tcBorders>
              <w:top w:val="nil"/>
              <w:bottom w:val="nil"/>
            </w:tcBorders>
          </w:tcPr>
          <w:p w14:paraId="03EA683F" w14:textId="77777777" w:rsidR="00A9033B" w:rsidRPr="004C5A24"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sidRPr="004C5A24">
              <w:rPr>
                <w:sz w:val="20"/>
                <w:szCs w:val="20"/>
              </w:rPr>
              <w:t>-0.37</w:t>
            </w:r>
          </w:p>
        </w:tc>
        <w:tc>
          <w:tcPr>
            <w:tcW w:w="1244" w:type="dxa"/>
            <w:tcBorders>
              <w:top w:val="nil"/>
              <w:bottom w:val="nil"/>
            </w:tcBorders>
          </w:tcPr>
          <w:p w14:paraId="52ADEC70" w14:textId="77777777" w:rsidR="00A9033B" w:rsidRPr="004C5A24"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sidRPr="004C5A24">
              <w:rPr>
                <w:sz w:val="20"/>
                <w:szCs w:val="20"/>
              </w:rPr>
              <w:t>0.71</w:t>
            </w:r>
          </w:p>
        </w:tc>
        <w:tc>
          <w:tcPr>
            <w:tcW w:w="2070" w:type="dxa"/>
            <w:tcBorders>
              <w:top w:val="nil"/>
              <w:bottom w:val="nil"/>
            </w:tcBorders>
          </w:tcPr>
          <w:p w14:paraId="75545D53" w14:textId="77777777" w:rsidR="00A9033B" w:rsidRPr="00511392"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8.64 x10-7</w:t>
            </w:r>
          </w:p>
        </w:tc>
        <w:tc>
          <w:tcPr>
            <w:tcW w:w="1123" w:type="dxa"/>
            <w:tcBorders>
              <w:top w:val="nil"/>
              <w:bottom w:val="nil"/>
            </w:tcBorders>
            <w:vAlign w:val="center"/>
          </w:tcPr>
          <w:p w14:paraId="408D34C9" w14:textId="77777777" w:rsidR="00A9033B" w:rsidRPr="00511392"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1.35 x10-6</w:t>
            </w:r>
          </w:p>
        </w:tc>
        <w:tc>
          <w:tcPr>
            <w:tcW w:w="1046" w:type="dxa"/>
            <w:tcBorders>
              <w:top w:val="nil"/>
              <w:bottom w:val="nil"/>
            </w:tcBorders>
          </w:tcPr>
          <w:p w14:paraId="042ED1C6" w14:textId="77777777" w:rsidR="00A9033B" w:rsidRPr="00511392"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0.64</w:t>
            </w:r>
          </w:p>
        </w:tc>
        <w:tc>
          <w:tcPr>
            <w:tcW w:w="900" w:type="dxa"/>
            <w:tcBorders>
              <w:top w:val="nil"/>
              <w:bottom w:val="nil"/>
            </w:tcBorders>
          </w:tcPr>
          <w:p w14:paraId="133248BD" w14:textId="77777777" w:rsidR="00A9033B" w:rsidRPr="00511392"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0.52</w:t>
            </w:r>
          </w:p>
        </w:tc>
      </w:tr>
      <w:tr w:rsidR="00A9033B" w:rsidRPr="00F158C7" w14:paraId="5FE53C85" w14:textId="77777777" w:rsidTr="00CC1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78D90DE2" w14:textId="77777777" w:rsidR="00A9033B" w:rsidRPr="00F158C7" w:rsidRDefault="00A9033B" w:rsidP="00CC122C">
            <w:pPr>
              <w:rPr>
                <w:sz w:val="20"/>
                <w:szCs w:val="20"/>
              </w:rPr>
            </w:pPr>
            <w:r>
              <w:rPr>
                <w:b w:val="0"/>
                <w:bCs w:val="0"/>
                <w:sz w:val="20"/>
                <w:szCs w:val="20"/>
              </w:rPr>
              <w:t>White</w:t>
            </w:r>
            <w:r w:rsidRPr="00026D59">
              <w:rPr>
                <w:b w:val="0"/>
                <w:bCs w:val="0"/>
                <w:sz w:val="20"/>
                <w:szCs w:val="20"/>
              </w:rPr>
              <w:t xml:space="preserve"> </w:t>
            </w:r>
            <w:r>
              <w:rPr>
                <w:b w:val="0"/>
                <w:bCs w:val="0"/>
                <w:sz w:val="20"/>
                <w:szCs w:val="20"/>
              </w:rPr>
              <w:t>neighborhood proportion</w:t>
            </w:r>
          </w:p>
        </w:tc>
        <w:tc>
          <w:tcPr>
            <w:tcW w:w="1250" w:type="dxa"/>
            <w:tcBorders>
              <w:top w:val="nil"/>
              <w:bottom w:val="single" w:sz="4" w:space="0" w:color="auto"/>
            </w:tcBorders>
          </w:tcPr>
          <w:p w14:paraId="39F69FB2" w14:textId="77777777" w:rsidR="00A9033B" w:rsidRPr="0080059D"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-0.44</w:t>
            </w:r>
          </w:p>
        </w:tc>
        <w:tc>
          <w:tcPr>
            <w:tcW w:w="1249" w:type="dxa"/>
            <w:tcBorders>
              <w:top w:val="nil"/>
              <w:bottom w:val="single" w:sz="4" w:space="0" w:color="auto"/>
            </w:tcBorders>
          </w:tcPr>
          <w:p w14:paraId="45594E99" w14:textId="77777777" w:rsidR="00A9033B" w:rsidRPr="0080059D"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0.27</w:t>
            </w:r>
          </w:p>
        </w:tc>
        <w:tc>
          <w:tcPr>
            <w:tcW w:w="1238" w:type="dxa"/>
            <w:tcBorders>
              <w:top w:val="nil"/>
              <w:bottom w:val="single" w:sz="4" w:space="0" w:color="auto"/>
            </w:tcBorders>
          </w:tcPr>
          <w:p w14:paraId="0E2922BF" w14:textId="77777777" w:rsidR="00A9033B" w:rsidRPr="0080059D"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-1.61</w:t>
            </w:r>
          </w:p>
        </w:tc>
        <w:tc>
          <w:tcPr>
            <w:tcW w:w="1244" w:type="dxa"/>
            <w:tcBorders>
              <w:top w:val="nil"/>
              <w:bottom w:val="single" w:sz="4" w:space="0" w:color="auto"/>
            </w:tcBorders>
          </w:tcPr>
          <w:p w14:paraId="5B26A0B9" w14:textId="77777777" w:rsidR="00A9033B" w:rsidRPr="0080059D"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0.11</w:t>
            </w:r>
          </w:p>
        </w:tc>
        <w:tc>
          <w:tcPr>
            <w:tcW w:w="2070" w:type="dxa"/>
            <w:tcBorders>
              <w:top w:val="nil"/>
              <w:bottom w:val="single" w:sz="4" w:space="0" w:color="auto"/>
            </w:tcBorders>
          </w:tcPr>
          <w:p w14:paraId="73F0C0E8" w14:textId="77777777" w:rsidR="00A9033B" w:rsidRPr="00511392"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-0.71</w:t>
            </w:r>
          </w:p>
        </w:tc>
        <w:tc>
          <w:tcPr>
            <w:tcW w:w="1123" w:type="dxa"/>
            <w:tcBorders>
              <w:top w:val="nil"/>
              <w:bottom w:val="single" w:sz="4" w:space="0" w:color="auto"/>
            </w:tcBorders>
          </w:tcPr>
          <w:p w14:paraId="76256D1A" w14:textId="77777777" w:rsidR="00A9033B" w:rsidRPr="00511392"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0.27</w:t>
            </w:r>
          </w:p>
        </w:tc>
        <w:tc>
          <w:tcPr>
            <w:tcW w:w="1046" w:type="dxa"/>
            <w:tcBorders>
              <w:top w:val="nil"/>
              <w:bottom w:val="single" w:sz="4" w:space="0" w:color="auto"/>
            </w:tcBorders>
          </w:tcPr>
          <w:p w14:paraId="14D78325" w14:textId="77777777" w:rsidR="00A9033B" w:rsidRPr="00511392"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-1.50</w:t>
            </w:r>
          </w:p>
        </w:tc>
        <w:tc>
          <w:tcPr>
            <w:tcW w:w="900" w:type="dxa"/>
            <w:tcBorders>
              <w:top w:val="nil"/>
              <w:bottom w:val="single" w:sz="4" w:space="0" w:color="auto"/>
            </w:tcBorders>
          </w:tcPr>
          <w:p w14:paraId="2ACEF04B" w14:textId="77777777" w:rsidR="00A9033B" w:rsidRPr="00511392"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0.14</w:t>
            </w:r>
          </w:p>
        </w:tc>
      </w:tr>
      <w:tr w:rsidR="00A9033B" w:rsidRPr="00F158C7" w14:paraId="234AA271" w14:textId="77777777" w:rsidTr="00CC122C">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784F9AE5" w14:textId="77777777" w:rsidR="00A9033B" w:rsidRPr="00F158C7" w:rsidRDefault="00A9033B" w:rsidP="00CC122C">
            <w:pPr>
              <w:rPr>
                <w:sz w:val="20"/>
                <w:szCs w:val="20"/>
              </w:rPr>
            </w:pPr>
          </w:p>
        </w:tc>
        <w:tc>
          <w:tcPr>
            <w:tcW w:w="10120" w:type="dxa"/>
            <w:gridSpan w:val="8"/>
            <w:tcBorders>
              <w:top w:val="single" w:sz="4" w:space="0" w:color="auto"/>
              <w:bottom w:val="single" w:sz="4" w:space="0" w:color="auto"/>
            </w:tcBorders>
          </w:tcPr>
          <w:p w14:paraId="20F64891"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Negative a</w:t>
            </w:r>
            <w:r w:rsidRPr="00F158C7">
              <w:rPr>
                <w:b/>
                <w:bCs/>
                <w:sz w:val="20"/>
                <w:szCs w:val="20"/>
              </w:rPr>
              <w:t xml:space="preserve">ffect toward </w:t>
            </w:r>
            <w:r>
              <w:rPr>
                <w:b/>
                <w:bCs/>
                <w:sz w:val="20"/>
                <w:szCs w:val="20"/>
              </w:rPr>
              <w:t>White</w:t>
            </w:r>
            <w:r w:rsidRPr="00026D59">
              <w:rPr>
                <w:sz w:val="20"/>
                <w:szCs w:val="20"/>
              </w:rPr>
              <w:t xml:space="preserve"> </w:t>
            </w:r>
            <w:r w:rsidRPr="00F158C7">
              <w:rPr>
                <w:b/>
                <w:bCs/>
                <w:sz w:val="20"/>
                <w:szCs w:val="20"/>
              </w:rPr>
              <w:t>people</w:t>
            </w:r>
          </w:p>
        </w:tc>
      </w:tr>
      <w:tr w:rsidR="00A9033B" w:rsidRPr="00F158C7" w14:paraId="015986EA" w14:textId="77777777" w:rsidTr="00CC1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014692A2" w14:textId="77777777" w:rsidR="00A9033B" w:rsidRPr="00F158C7" w:rsidRDefault="00A9033B" w:rsidP="00CC122C">
            <w:pPr>
              <w:rPr>
                <w:sz w:val="20"/>
                <w:szCs w:val="20"/>
              </w:rPr>
            </w:pPr>
            <w:r w:rsidRPr="00026D59">
              <w:rPr>
                <w:b w:val="0"/>
                <w:bCs w:val="0"/>
                <w:sz w:val="20"/>
                <w:szCs w:val="20"/>
              </w:rPr>
              <w:t>Perceived COVID-19 intensity</w:t>
            </w:r>
          </w:p>
        </w:tc>
        <w:tc>
          <w:tcPr>
            <w:tcW w:w="1250" w:type="dxa"/>
            <w:tcBorders>
              <w:top w:val="single" w:sz="4" w:space="0" w:color="auto"/>
              <w:bottom w:val="nil"/>
            </w:tcBorders>
          </w:tcPr>
          <w:p w14:paraId="0B741291"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1.90 x10-4</w:t>
            </w:r>
          </w:p>
        </w:tc>
        <w:tc>
          <w:tcPr>
            <w:tcW w:w="1249" w:type="dxa"/>
            <w:tcBorders>
              <w:top w:val="single" w:sz="4" w:space="0" w:color="auto"/>
              <w:bottom w:val="nil"/>
            </w:tcBorders>
          </w:tcPr>
          <w:p w14:paraId="7EF9039D"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5.56 x10-4</w:t>
            </w:r>
          </w:p>
        </w:tc>
        <w:tc>
          <w:tcPr>
            <w:tcW w:w="1238" w:type="dxa"/>
            <w:tcBorders>
              <w:top w:val="single" w:sz="4" w:space="0" w:color="auto"/>
              <w:bottom w:val="nil"/>
            </w:tcBorders>
          </w:tcPr>
          <w:p w14:paraId="320C998E"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-0.64</w:t>
            </w:r>
          </w:p>
        </w:tc>
        <w:tc>
          <w:tcPr>
            <w:tcW w:w="1244" w:type="dxa"/>
            <w:tcBorders>
              <w:top w:val="single" w:sz="4" w:space="0" w:color="auto"/>
              <w:bottom w:val="nil"/>
            </w:tcBorders>
          </w:tcPr>
          <w:p w14:paraId="286BB407"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0.73</w:t>
            </w:r>
          </w:p>
        </w:tc>
        <w:tc>
          <w:tcPr>
            <w:tcW w:w="2070" w:type="dxa"/>
            <w:tcBorders>
              <w:top w:val="single" w:sz="4" w:space="0" w:color="auto"/>
              <w:bottom w:val="nil"/>
            </w:tcBorders>
          </w:tcPr>
          <w:p w14:paraId="46E64968"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3.62 x10-5</w:t>
            </w:r>
          </w:p>
        </w:tc>
        <w:tc>
          <w:tcPr>
            <w:tcW w:w="1123" w:type="dxa"/>
            <w:tcBorders>
              <w:top w:val="single" w:sz="4" w:space="0" w:color="auto"/>
              <w:bottom w:val="nil"/>
            </w:tcBorders>
          </w:tcPr>
          <w:p w14:paraId="0B9B04F5"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4.75 x10-5</w:t>
            </w:r>
          </w:p>
        </w:tc>
        <w:tc>
          <w:tcPr>
            <w:tcW w:w="1046" w:type="dxa"/>
            <w:tcBorders>
              <w:top w:val="single" w:sz="4" w:space="0" w:color="auto"/>
              <w:bottom w:val="nil"/>
            </w:tcBorders>
          </w:tcPr>
          <w:p w14:paraId="5519ED3D"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0.76</w:t>
            </w:r>
          </w:p>
        </w:tc>
        <w:tc>
          <w:tcPr>
            <w:tcW w:w="900" w:type="dxa"/>
            <w:tcBorders>
              <w:top w:val="single" w:sz="4" w:space="0" w:color="auto"/>
              <w:bottom w:val="nil"/>
            </w:tcBorders>
          </w:tcPr>
          <w:p w14:paraId="5EAF2CE0"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0.45</w:t>
            </w:r>
          </w:p>
        </w:tc>
      </w:tr>
      <w:tr w:rsidR="00A9033B" w:rsidRPr="00F158C7" w14:paraId="0672906F" w14:textId="77777777" w:rsidTr="00CC122C">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629963F2" w14:textId="77777777" w:rsidR="00A9033B" w:rsidRPr="00F158C7" w:rsidRDefault="00A9033B" w:rsidP="00CC122C">
            <w:pPr>
              <w:rPr>
                <w:b w:val="0"/>
                <w:bCs w:val="0"/>
                <w:sz w:val="20"/>
                <w:szCs w:val="20"/>
              </w:rPr>
            </w:pPr>
            <w:r w:rsidRPr="00026D59">
              <w:rPr>
                <w:b w:val="0"/>
                <w:bCs w:val="0"/>
                <w:sz w:val="20"/>
                <w:szCs w:val="20"/>
              </w:rPr>
              <w:t>Actual COVID-19 intensity</w:t>
            </w:r>
          </w:p>
        </w:tc>
        <w:tc>
          <w:tcPr>
            <w:tcW w:w="1250" w:type="dxa"/>
            <w:tcBorders>
              <w:top w:val="nil"/>
              <w:bottom w:val="nil"/>
            </w:tcBorders>
          </w:tcPr>
          <w:p w14:paraId="319C29CF"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7.76 x10-4</w:t>
            </w:r>
          </w:p>
        </w:tc>
        <w:tc>
          <w:tcPr>
            <w:tcW w:w="1249" w:type="dxa"/>
            <w:tcBorders>
              <w:top w:val="nil"/>
              <w:bottom w:val="nil"/>
            </w:tcBorders>
          </w:tcPr>
          <w:p w14:paraId="4EFCC8E8"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1.61 x10-3</w:t>
            </w:r>
          </w:p>
        </w:tc>
        <w:tc>
          <w:tcPr>
            <w:tcW w:w="1238" w:type="dxa"/>
            <w:tcBorders>
              <w:top w:val="nil"/>
              <w:bottom w:val="nil"/>
            </w:tcBorders>
          </w:tcPr>
          <w:p w14:paraId="52B45CE6"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0.48</w:t>
            </w:r>
          </w:p>
        </w:tc>
        <w:tc>
          <w:tcPr>
            <w:tcW w:w="1244" w:type="dxa"/>
            <w:tcBorders>
              <w:top w:val="nil"/>
              <w:bottom w:val="nil"/>
            </w:tcBorders>
          </w:tcPr>
          <w:p w14:paraId="6C5CBD9E"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0.63</w:t>
            </w:r>
          </w:p>
        </w:tc>
        <w:tc>
          <w:tcPr>
            <w:tcW w:w="2070" w:type="dxa"/>
            <w:tcBorders>
              <w:top w:val="nil"/>
              <w:bottom w:val="nil"/>
            </w:tcBorders>
          </w:tcPr>
          <w:p w14:paraId="3CE33CFA"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1.67 x10-5</w:t>
            </w:r>
          </w:p>
        </w:tc>
        <w:tc>
          <w:tcPr>
            <w:tcW w:w="1123" w:type="dxa"/>
            <w:tcBorders>
              <w:top w:val="nil"/>
              <w:bottom w:val="nil"/>
            </w:tcBorders>
          </w:tcPr>
          <w:p w14:paraId="74A70FEB"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6.27 x10-5</w:t>
            </w:r>
          </w:p>
        </w:tc>
        <w:tc>
          <w:tcPr>
            <w:tcW w:w="1046" w:type="dxa"/>
            <w:tcBorders>
              <w:top w:val="nil"/>
              <w:bottom w:val="nil"/>
            </w:tcBorders>
          </w:tcPr>
          <w:p w14:paraId="481AA70D"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0.27</w:t>
            </w:r>
          </w:p>
        </w:tc>
        <w:tc>
          <w:tcPr>
            <w:tcW w:w="900" w:type="dxa"/>
            <w:tcBorders>
              <w:top w:val="nil"/>
              <w:bottom w:val="nil"/>
            </w:tcBorders>
          </w:tcPr>
          <w:p w14:paraId="41878127"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0.79</w:t>
            </w:r>
          </w:p>
        </w:tc>
      </w:tr>
      <w:tr w:rsidR="00A9033B" w:rsidRPr="00F158C7" w14:paraId="7F5E73C5" w14:textId="77777777" w:rsidTr="00CC1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741BAEF0" w14:textId="77777777" w:rsidR="00A9033B" w:rsidRPr="00F158C7" w:rsidRDefault="00A9033B" w:rsidP="00CC122C">
            <w:pPr>
              <w:rPr>
                <w:sz w:val="20"/>
                <w:szCs w:val="20"/>
              </w:rPr>
            </w:pPr>
            <w:r w:rsidRPr="00026D59">
              <w:rPr>
                <w:b w:val="0"/>
                <w:bCs w:val="0"/>
                <w:sz w:val="20"/>
                <w:szCs w:val="20"/>
              </w:rPr>
              <w:t xml:space="preserve">Contact with </w:t>
            </w:r>
            <w:r>
              <w:rPr>
                <w:b w:val="0"/>
                <w:bCs w:val="0"/>
                <w:sz w:val="20"/>
                <w:szCs w:val="20"/>
              </w:rPr>
              <w:t>White</w:t>
            </w:r>
            <w:r w:rsidRPr="00026D59">
              <w:rPr>
                <w:b w:val="0"/>
                <w:bCs w:val="0"/>
                <w:sz w:val="20"/>
                <w:szCs w:val="20"/>
              </w:rPr>
              <w:t xml:space="preserve"> people</w:t>
            </w:r>
          </w:p>
        </w:tc>
        <w:tc>
          <w:tcPr>
            <w:tcW w:w="1250" w:type="dxa"/>
            <w:tcBorders>
              <w:top w:val="nil"/>
              <w:bottom w:val="nil"/>
            </w:tcBorders>
          </w:tcPr>
          <w:p w14:paraId="65132B5D"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-0.81</w:t>
            </w:r>
          </w:p>
        </w:tc>
        <w:tc>
          <w:tcPr>
            <w:tcW w:w="1249" w:type="dxa"/>
            <w:tcBorders>
              <w:top w:val="nil"/>
              <w:bottom w:val="nil"/>
            </w:tcBorders>
          </w:tcPr>
          <w:p w14:paraId="2B738A7E"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0.19</w:t>
            </w:r>
          </w:p>
        </w:tc>
        <w:tc>
          <w:tcPr>
            <w:tcW w:w="1238" w:type="dxa"/>
            <w:tcBorders>
              <w:top w:val="nil"/>
              <w:bottom w:val="nil"/>
            </w:tcBorders>
          </w:tcPr>
          <w:p w14:paraId="0A94D958"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-4.34</w:t>
            </w:r>
          </w:p>
        </w:tc>
        <w:tc>
          <w:tcPr>
            <w:tcW w:w="1244" w:type="dxa"/>
            <w:tcBorders>
              <w:top w:val="nil"/>
              <w:bottom w:val="nil"/>
            </w:tcBorders>
          </w:tcPr>
          <w:p w14:paraId="0B62C915"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&lt; .001</w:t>
            </w:r>
          </w:p>
        </w:tc>
        <w:tc>
          <w:tcPr>
            <w:tcW w:w="2070" w:type="dxa"/>
            <w:tcBorders>
              <w:top w:val="nil"/>
              <w:bottom w:val="nil"/>
            </w:tcBorders>
          </w:tcPr>
          <w:p w14:paraId="67C8E260"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-0.80</w:t>
            </w:r>
          </w:p>
        </w:tc>
        <w:tc>
          <w:tcPr>
            <w:tcW w:w="1123" w:type="dxa"/>
            <w:tcBorders>
              <w:top w:val="nil"/>
              <w:bottom w:val="nil"/>
            </w:tcBorders>
          </w:tcPr>
          <w:p w14:paraId="20A15C1C"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0.19</w:t>
            </w:r>
          </w:p>
        </w:tc>
        <w:tc>
          <w:tcPr>
            <w:tcW w:w="1046" w:type="dxa"/>
            <w:tcBorders>
              <w:top w:val="nil"/>
              <w:bottom w:val="nil"/>
            </w:tcBorders>
          </w:tcPr>
          <w:p w14:paraId="695772D7"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-4.24</w:t>
            </w:r>
          </w:p>
        </w:tc>
        <w:tc>
          <w:tcPr>
            <w:tcW w:w="900" w:type="dxa"/>
            <w:tcBorders>
              <w:top w:val="nil"/>
              <w:bottom w:val="nil"/>
            </w:tcBorders>
          </w:tcPr>
          <w:p w14:paraId="5ADD85AF"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&lt; .001</w:t>
            </w:r>
          </w:p>
        </w:tc>
      </w:tr>
      <w:tr w:rsidR="00A9033B" w:rsidRPr="00F158C7" w14:paraId="5D824717" w14:textId="77777777" w:rsidTr="00CC122C">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658C4DAA" w14:textId="77777777" w:rsidR="00A9033B" w:rsidRPr="00F158C7" w:rsidRDefault="00A9033B" w:rsidP="00CC122C">
            <w:pPr>
              <w:rPr>
                <w:sz w:val="20"/>
                <w:szCs w:val="20"/>
              </w:rPr>
            </w:pPr>
            <w:r w:rsidRPr="00026D59">
              <w:rPr>
                <w:b w:val="0"/>
                <w:bCs w:val="0"/>
                <w:sz w:val="20"/>
                <w:szCs w:val="20"/>
              </w:rPr>
              <w:t>Perceived intensity x contact</w:t>
            </w:r>
          </w:p>
        </w:tc>
        <w:tc>
          <w:tcPr>
            <w:tcW w:w="1250" w:type="dxa"/>
            <w:tcBorders>
              <w:top w:val="nil"/>
              <w:bottom w:val="nil"/>
            </w:tcBorders>
          </w:tcPr>
          <w:p w14:paraId="528C71C3"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1.58 x10-4</w:t>
            </w:r>
          </w:p>
        </w:tc>
        <w:tc>
          <w:tcPr>
            <w:tcW w:w="1249" w:type="dxa"/>
            <w:tcBorders>
              <w:top w:val="nil"/>
              <w:bottom w:val="nil"/>
            </w:tcBorders>
          </w:tcPr>
          <w:p w14:paraId="70F51B1B"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2.24 x10-4</w:t>
            </w:r>
          </w:p>
        </w:tc>
        <w:tc>
          <w:tcPr>
            <w:tcW w:w="1238" w:type="dxa"/>
            <w:tcBorders>
              <w:top w:val="nil"/>
              <w:bottom w:val="nil"/>
            </w:tcBorders>
          </w:tcPr>
          <w:p w14:paraId="061DCFC7"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0.70</w:t>
            </w:r>
          </w:p>
        </w:tc>
        <w:tc>
          <w:tcPr>
            <w:tcW w:w="1244" w:type="dxa"/>
            <w:tcBorders>
              <w:top w:val="nil"/>
              <w:bottom w:val="nil"/>
            </w:tcBorders>
          </w:tcPr>
          <w:p w14:paraId="40B8A73C"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0.48</w:t>
            </w:r>
          </w:p>
        </w:tc>
        <w:tc>
          <w:tcPr>
            <w:tcW w:w="2070" w:type="dxa"/>
            <w:tcBorders>
              <w:top w:val="nil"/>
              <w:bottom w:val="nil"/>
            </w:tcBorders>
          </w:tcPr>
          <w:p w14:paraId="06F48D81"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8.52 x10-6</w:t>
            </w:r>
          </w:p>
        </w:tc>
        <w:tc>
          <w:tcPr>
            <w:tcW w:w="1123" w:type="dxa"/>
            <w:tcBorders>
              <w:top w:val="nil"/>
              <w:bottom w:val="nil"/>
            </w:tcBorders>
          </w:tcPr>
          <w:p w14:paraId="6EE54622"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1.86 x10-5</w:t>
            </w:r>
          </w:p>
        </w:tc>
        <w:tc>
          <w:tcPr>
            <w:tcW w:w="1046" w:type="dxa"/>
            <w:tcBorders>
              <w:top w:val="nil"/>
              <w:bottom w:val="nil"/>
            </w:tcBorders>
          </w:tcPr>
          <w:p w14:paraId="6CC07000"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0.46</w:t>
            </w:r>
          </w:p>
        </w:tc>
        <w:tc>
          <w:tcPr>
            <w:tcW w:w="900" w:type="dxa"/>
            <w:tcBorders>
              <w:top w:val="nil"/>
              <w:bottom w:val="nil"/>
            </w:tcBorders>
          </w:tcPr>
          <w:p w14:paraId="2D958E56" w14:textId="77777777" w:rsidR="00A9033B" w:rsidRPr="00F158C7"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0.65</w:t>
            </w:r>
          </w:p>
        </w:tc>
      </w:tr>
      <w:tr w:rsidR="00A9033B" w:rsidRPr="00F158C7" w14:paraId="4354AC78" w14:textId="77777777" w:rsidTr="00CC1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2" w:type="dxa"/>
            <w:tcBorders>
              <w:top w:val="nil"/>
              <w:bottom w:val="nil"/>
            </w:tcBorders>
          </w:tcPr>
          <w:p w14:paraId="69EE32FE" w14:textId="77777777" w:rsidR="00A9033B" w:rsidRPr="00F158C7" w:rsidRDefault="00A9033B" w:rsidP="00CC122C">
            <w:pPr>
              <w:rPr>
                <w:sz w:val="20"/>
                <w:szCs w:val="20"/>
              </w:rPr>
            </w:pPr>
            <w:r w:rsidRPr="00026D59">
              <w:rPr>
                <w:b w:val="0"/>
                <w:bCs w:val="0"/>
                <w:sz w:val="20"/>
                <w:szCs w:val="20"/>
              </w:rPr>
              <w:t>Actual intensity x contact</w:t>
            </w:r>
          </w:p>
        </w:tc>
        <w:tc>
          <w:tcPr>
            <w:tcW w:w="1250" w:type="dxa"/>
            <w:tcBorders>
              <w:top w:val="nil"/>
              <w:bottom w:val="nil"/>
            </w:tcBorders>
          </w:tcPr>
          <w:p w14:paraId="72271ADA"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2.72 x10-4</w:t>
            </w:r>
          </w:p>
        </w:tc>
        <w:tc>
          <w:tcPr>
            <w:tcW w:w="1249" w:type="dxa"/>
            <w:tcBorders>
              <w:top w:val="nil"/>
              <w:bottom w:val="nil"/>
            </w:tcBorders>
          </w:tcPr>
          <w:p w14:paraId="613E2291"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5.77 x10-4</w:t>
            </w:r>
          </w:p>
        </w:tc>
        <w:tc>
          <w:tcPr>
            <w:tcW w:w="1238" w:type="dxa"/>
            <w:tcBorders>
              <w:top w:val="nil"/>
              <w:bottom w:val="nil"/>
            </w:tcBorders>
          </w:tcPr>
          <w:p w14:paraId="27C0FACE"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-0.47</w:t>
            </w:r>
          </w:p>
        </w:tc>
        <w:tc>
          <w:tcPr>
            <w:tcW w:w="1244" w:type="dxa"/>
            <w:tcBorders>
              <w:top w:val="nil"/>
              <w:bottom w:val="nil"/>
            </w:tcBorders>
          </w:tcPr>
          <w:p w14:paraId="31627A6B"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0.64</w:t>
            </w:r>
          </w:p>
        </w:tc>
        <w:tc>
          <w:tcPr>
            <w:tcW w:w="2070" w:type="dxa"/>
            <w:tcBorders>
              <w:top w:val="nil"/>
              <w:bottom w:val="nil"/>
            </w:tcBorders>
          </w:tcPr>
          <w:p w14:paraId="29FF1C96"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-7.74 x10-6</w:t>
            </w:r>
          </w:p>
        </w:tc>
        <w:tc>
          <w:tcPr>
            <w:tcW w:w="1123" w:type="dxa"/>
            <w:tcBorders>
              <w:top w:val="nil"/>
              <w:bottom w:val="nil"/>
            </w:tcBorders>
          </w:tcPr>
          <w:p w14:paraId="3AF8656F"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1.90 x10-5</w:t>
            </w:r>
          </w:p>
        </w:tc>
        <w:tc>
          <w:tcPr>
            <w:tcW w:w="1046" w:type="dxa"/>
            <w:tcBorders>
              <w:top w:val="nil"/>
              <w:bottom w:val="nil"/>
            </w:tcBorders>
          </w:tcPr>
          <w:p w14:paraId="66581CFA"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-0.41</w:t>
            </w:r>
          </w:p>
        </w:tc>
        <w:tc>
          <w:tcPr>
            <w:tcW w:w="900" w:type="dxa"/>
            <w:tcBorders>
              <w:top w:val="nil"/>
              <w:bottom w:val="nil"/>
            </w:tcBorders>
          </w:tcPr>
          <w:p w14:paraId="5D5C91DD" w14:textId="77777777" w:rsidR="00A9033B" w:rsidRPr="00F158C7" w:rsidRDefault="00A9033B" w:rsidP="00CC122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0.68</w:t>
            </w:r>
          </w:p>
        </w:tc>
      </w:tr>
      <w:tr w:rsidR="00A9033B" w:rsidRPr="00F158C7" w14:paraId="31561187" w14:textId="77777777" w:rsidTr="00CC122C">
        <w:tc>
          <w:tcPr>
            <w:cnfStyle w:val="001000000000" w:firstRow="0" w:lastRow="0" w:firstColumn="1" w:lastColumn="0" w:oddVBand="0" w:evenVBand="0" w:oddHBand="0" w:evenHBand="0" w:firstRowFirstColumn="0" w:firstRowLastColumn="0" w:lastRowFirstColumn="0" w:lastRowLastColumn="0"/>
            <w:tcW w:w="3342" w:type="dxa"/>
            <w:tcBorders>
              <w:top w:val="nil"/>
              <w:bottom w:val="single" w:sz="4" w:space="0" w:color="auto"/>
            </w:tcBorders>
          </w:tcPr>
          <w:p w14:paraId="226941A0" w14:textId="77777777" w:rsidR="00A9033B" w:rsidRPr="00F158C7" w:rsidRDefault="00A9033B" w:rsidP="00CC122C">
            <w:pPr>
              <w:rPr>
                <w:sz w:val="20"/>
                <w:szCs w:val="20"/>
              </w:rPr>
            </w:pPr>
            <w:r>
              <w:rPr>
                <w:b w:val="0"/>
                <w:bCs w:val="0"/>
                <w:sz w:val="20"/>
                <w:szCs w:val="20"/>
              </w:rPr>
              <w:t>White</w:t>
            </w:r>
            <w:r w:rsidRPr="00026D59">
              <w:rPr>
                <w:b w:val="0"/>
                <w:bCs w:val="0"/>
                <w:sz w:val="20"/>
                <w:szCs w:val="20"/>
              </w:rPr>
              <w:t xml:space="preserve"> </w:t>
            </w:r>
            <w:r>
              <w:rPr>
                <w:b w:val="0"/>
                <w:bCs w:val="0"/>
                <w:sz w:val="20"/>
                <w:szCs w:val="20"/>
              </w:rPr>
              <w:t>neighborhood proportion</w:t>
            </w:r>
          </w:p>
        </w:tc>
        <w:tc>
          <w:tcPr>
            <w:tcW w:w="1250" w:type="dxa"/>
            <w:tcBorders>
              <w:top w:val="nil"/>
              <w:bottom w:val="single" w:sz="4" w:space="0" w:color="auto"/>
            </w:tcBorders>
          </w:tcPr>
          <w:p w14:paraId="3B075C49" w14:textId="77777777" w:rsidR="00A9033B" w:rsidRPr="00C56CB3"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0.18</w:t>
            </w:r>
          </w:p>
        </w:tc>
        <w:tc>
          <w:tcPr>
            <w:tcW w:w="1249" w:type="dxa"/>
            <w:tcBorders>
              <w:top w:val="nil"/>
              <w:bottom w:val="single" w:sz="4" w:space="0" w:color="auto"/>
            </w:tcBorders>
          </w:tcPr>
          <w:p w14:paraId="246C2919" w14:textId="77777777" w:rsidR="00A9033B" w:rsidRPr="00C56CB3"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3.82</w:t>
            </w:r>
          </w:p>
        </w:tc>
        <w:tc>
          <w:tcPr>
            <w:tcW w:w="1238" w:type="dxa"/>
            <w:tcBorders>
              <w:top w:val="nil"/>
              <w:bottom w:val="single" w:sz="4" w:space="0" w:color="auto"/>
            </w:tcBorders>
          </w:tcPr>
          <w:p w14:paraId="64716FFC" w14:textId="77777777" w:rsidR="00A9033B" w:rsidRPr="00C56CB3"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0.05</w:t>
            </w:r>
          </w:p>
        </w:tc>
        <w:tc>
          <w:tcPr>
            <w:tcW w:w="1244" w:type="dxa"/>
            <w:tcBorders>
              <w:top w:val="nil"/>
              <w:bottom w:val="single" w:sz="4" w:space="0" w:color="auto"/>
            </w:tcBorders>
          </w:tcPr>
          <w:p w14:paraId="6EE1F075" w14:textId="77777777" w:rsidR="00A9033B" w:rsidRPr="00C56CB3"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0.96</w:t>
            </w:r>
          </w:p>
        </w:tc>
        <w:tc>
          <w:tcPr>
            <w:tcW w:w="2070" w:type="dxa"/>
            <w:tcBorders>
              <w:top w:val="nil"/>
              <w:bottom w:val="single" w:sz="4" w:space="0" w:color="auto"/>
            </w:tcBorders>
          </w:tcPr>
          <w:p w14:paraId="6CD2B781" w14:textId="77777777" w:rsidR="00A9033B" w:rsidRPr="006178EA"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0.56</w:t>
            </w:r>
          </w:p>
        </w:tc>
        <w:tc>
          <w:tcPr>
            <w:tcW w:w="1123" w:type="dxa"/>
            <w:tcBorders>
              <w:top w:val="nil"/>
              <w:bottom w:val="single" w:sz="4" w:space="0" w:color="auto"/>
            </w:tcBorders>
          </w:tcPr>
          <w:p w14:paraId="6AD6CB91" w14:textId="77777777" w:rsidR="00A9033B" w:rsidRPr="006178EA"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3.83</w:t>
            </w:r>
          </w:p>
        </w:tc>
        <w:tc>
          <w:tcPr>
            <w:tcW w:w="1046" w:type="dxa"/>
            <w:tcBorders>
              <w:top w:val="nil"/>
              <w:bottom w:val="single" w:sz="4" w:space="0" w:color="auto"/>
            </w:tcBorders>
          </w:tcPr>
          <w:p w14:paraId="4D4C75AE" w14:textId="77777777" w:rsidR="00A9033B" w:rsidRPr="006178EA"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0.15</w:t>
            </w:r>
          </w:p>
        </w:tc>
        <w:tc>
          <w:tcPr>
            <w:tcW w:w="900" w:type="dxa"/>
            <w:tcBorders>
              <w:top w:val="nil"/>
              <w:bottom w:val="single" w:sz="4" w:space="0" w:color="auto"/>
            </w:tcBorders>
          </w:tcPr>
          <w:p w14:paraId="094B85BB" w14:textId="77777777" w:rsidR="00A9033B" w:rsidRPr="006178EA" w:rsidRDefault="00A9033B" w:rsidP="00CC122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0.88</w:t>
            </w:r>
          </w:p>
        </w:tc>
      </w:tr>
    </w:tbl>
    <w:p w14:paraId="4DEB4388" w14:textId="77777777" w:rsidR="00A9033B" w:rsidRDefault="00A9033B" w:rsidP="00A9033B"/>
    <w:p w14:paraId="558A89ED" w14:textId="77777777" w:rsidR="00A9033B" w:rsidRDefault="00A9033B" w:rsidP="00A9033B"/>
    <w:p w14:paraId="6E74508B" w14:textId="7F42D46F" w:rsidR="00A9033B" w:rsidRDefault="00A9033B">
      <w:pPr>
        <w:rPr>
          <w:b/>
          <w:bCs/>
        </w:rPr>
      </w:pPr>
    </w:p>
    <w:sectPr w:rsidR="00A9033B" w:rsidSect="00A9033B">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23518" w14:textId="77777777" w:rsidR="006005C6" w:rsidRDefault="006005C6" w:rsidP="000C4AD6">
      <w:r>
        <w:separator/>
      </w:r>
    </w:p>
  </w:endnote>
  <w:endnote w:type="continuationSeparator" w:id="0">
    <w:p w14:paraId="484A7C97" w14:textId="77777777" w:rsidR="006005C6" w:rsidRDefault="006005C6" w:rsidP="000C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05C35" w14:textId="77777777" w:rsidR="006005C6" w:rsidRDefault="006005C6" w:rsidP="000C4AD6">
      <w:r>
        <w:separator/>
      </w:r>
    </w:p>
  </w:footnote>
  <w:footnote w:type="continuationSeparator" w:id="0">
    <w:p w14:paraId="68C16029" w14:textId="77777777" w:rsidR="006005C6" w:rsidRDefault="006005C6" w:rsidP="000C4AD6">
      <w:r>
        <w:continuationSeparator/>
      </w:r>
    </w:p>
  </w:footnote>
  <w:footnote w:id="1">
    <w:p w14:paraId="1166DA66" w14:textId="77777777" w:rsidR="004532C6" w:rsidRPr="00917B17" w:rsidRDefault="004532C6" w:rsidP="004532C6">
      <w:pPr>
        <w:pStyle w:val="FootnoteText"/>
        <w:rPr>
          <w:rFonts w:ascii="Times New Roman" w:hAnsi="Times New Roman" w:cs="Times New Roman"/>
        </w:rPr>
      </w:pPr>
      <w:r w:rsidRPr="00801970">
        <w:rPr>
          <w:rStyle w:val="FootnoteReference"/>
        </w:rPr>
        <w:footnoteRef/>
      </w:r>
      <w:r w:rsidRPr="00801970">
        <w:t xml:space="preserve"> </w:t>
      </w:r>
      <w:r w:rsidRPr="00801970">
        <w:rPr>
          <w:rFonts w:ascii="Times New Roman" w:hAnsi="Times New Roman" w:cs="Times New Roman"/>
        </w:rPr>
        <w:t xml:space="preserve">As of the submission of this </w:t>
      </w:r>
      <w:r w:rsidRPr="00270C54">
        <w:rPr>
          <w:rFonts w:ascii="Times New Roman" w:hAnsi="Times New Roman" w:cs="Times New Roman"/>
        </w:rPr>
        <w:t>manuscript (</w:t>
      </w:r>
      <w:r>
        <w:rPr>
          <w:rFonts w:ascii="Times New Roman" w:hAnsi="Times New Roman" w:cs="Times New Roman"/>
        </w:rPr>
        <w:t>August 10</w:t>
      </w:r>
      <w:r w:rsidRPr="00270C54">
        <w:rPr>
          <w:rFonts w:ascii="Times New Roman" w:hAnsi="Times New Roman" w:cs="Times New Roman"/>
        </w:rPr>
        <w:t>, 2021), an</w:t>
      </w:r>
      <w:r w:rsidRPr="00801970">
        <w:rPr>
          <w:rFonts w:ascii="Times New Roman" w:hAnsi="Times New Roman" w:cs="Times New Roman"/>
        </w:rPr>
        <w:t xml:space="preserve"> estimated </w:t>
      </w:r>
      <w:r>
        <w:rPr>
          <w:rFonts w:ascii="Times New Roman" w:hAnsi="Times New Roman" w:cs="Times New Roman"/>
        </w:rPr>
        <w:t xml:space="preserve">617,314 </w:t>
      </w:r>
      <w:r w:rsidRPr="00801970">
        <w:rPr>
          <w:rFonts w:ascii="Times New Roman" w:hAnsi="Times New Roman" w:cs="Times New Roman"/>
        </w:rPr>
        <w:t xml:space="preserve">Americans have died due to the </w:t>
      </w:r>
      <w:r>
        <w:rPr>
          <w:rFonts w:ascii="Times New Roman" w:hAnsi="Times New Roman" w:cs="Times New Roman"/>
        </w:rPr>
        <w:t>COVID</w:t>
      </w:r>
      <w:r w:rsidRPr="00801970">
        <w:rPr>
          <w:rFonts w:ascii="Times New Roman" w:hAnsi="Times New Roman" w:cs="Times New Roman"/>
        </w:rPr>
        <w:t>-19 pandemic (https://www.nytimes.com/interactive/2020/us/coronavirus-us-cases.html).</w:t>
      </w:r>
    </w:p>
  </w:footnote>
  <w:footnote w:id="2">
    <w:p w14:paraId="31D5393F" w14:textId="77777777" w:rsidR="004532C6" w:rsidRPr="007F4684" w:rsidRDefault="004532C6" w:rsidP="004532C6">
      <w:pPr>
        <w:pStyle w:val="FootnoteText"/>
        <w:rPr>
          <w:rFonts w:ascii="Times New Roman" w:hAnsi="Times New Roman" w:cs="Times New Roman"/>
        </w:rPr>
      </w:pPr>
      <w:r>
        <w:rPr>
          <w:rStyle w:val="FootnoteReference"/>
        </w:rPr>
        <w:footnoteRef/>
      </w:r>
      <w:r>
        <w:t xml:space="preserve"> </w:t>
      </w:r>
      <w:r w:rsidRPr="002A3A75">
        <w:rPr>
          <w:rFonts w:ascii="Times New Roman" w:hAnsi="Times New Roman" w:cs="Times New Roman"/>
        </w:rPr>
        <w:t xml:space="preserve">Given the rapidly changing situation around COVID-19 during this </w:t>
      </w:r>
      <w:proofErr w:type="gramStart"/>
      <w:r w:rsidRPr="002A3A75">
        <w:rPr>
          <w:rFonts w:ascii="Times New Roman" w:hAnsi="Times New Roman" w:cs="Times New Roman"/>
        </w:rPr>
        <w:t>period of time</w:t>
      </w:r>
      <w:proofErr w:type="gramEnd"/>
      <w:r w:rsidRPr="002A3A75">
        <w:rPr>
          <w:rFonts w:ascii="Times New Roman" w:hAnsi="Times New Roman" w:cs="Times New Roman"/>
        </w:rPr>
        <w:t xml:space="preserve">, we initially conducted an analysis to examine whether date of testing (rather than </w:t>
      </w:r>
      <w:r>
        <w:rPr>
          <w:rFonts w:ascii="Times New Roman" w:hAnsi="Times New Roman" w:cs="Times New Roman"/>
        </w:rPr>
        <w:t>official reports of</w:t>
      </w:r>
      <w:r w:rsidRPr="002A3A75">
        <w:rPr>
          <w:rFonts w:ascii="Times New Roman" w:hAnsi="Times New Roman" w:cs="Times New Roman"/>
        </w:rPr>
        <w:t xml:space="preserve"> or </w:t>
      </w:r>
      <w:r>
        <w:rPr>
          <w:rFonts w:ascii="Times New Roman" w:hAnsi="Times New Roman" w:cs="Times New Roman"/>
        </w:rPr>
        <w:t>estimated</w:t>
      </w:r>
      <w:r w:rsidRPr="002A3A75">
        <w:rPr>
          <w:rFonts w:ascii="Times New Roman" w:hAnsi="Times New Roman" w:cs="Times New Roman"/>
        </w:rPr>
        <w:t xml:space="preserve"> COVID-19 numbers) might predict anti-Asian</w:t>
      </w:r>
      <w:r>
        <w:rPr>
          <w:rFonts w:ascii="Times New Roman" w:hAnsi="Times New Roman" w:cs="Times New Roman"/>
        </w:rPr>
        <w:t xml:space="preserve"> or anti-Black </w:t>
      </w:r>
      <w:r w:rsidRPr="002A3A75">
        <w:rPr>
          <w:rFonts w:ascii="Times New Roman" w:hAnsi="Times New Roman" w:cs="Times New Roman"/>
        </w:rPr>
        <w:t>sentiment. We found no evidence on any measure of prejudice that this was the case, allowing us to rule out the potential explanation that anti-Asian</w:t>
      </w:r>
      <w:r>
        <w:rPr>
          <w:rFonts w:ascii="Times New Roman" w:hAnsi="Times New Roman" w:cs="Times New Roman"/>
        </w:rPr>
        <w:t xml:space="preserve"> or anti-Black</w:t>
      </w:r>
      <w:r w:rsidRPr="002A3A75">
        <w:rPr>
          <w:rFonts w:ascii="Times New Roman" w:hAnsi="Times New Roman" w:cs="Times New Roman"/>
        </w:rPr>
        <w:t xml:space="preserve"> sentiment increased over this </w:t>
      </w:r>
      <w:proofErr w:type="gramStart"/>
      <w:r w:rsidRPr="002A3A75">
        <w:rPr>
          <w:rFonts w:ascii="Times New Roman" w:hAnsi="Times New Roman" w:cs="Times New Roman"/>
        </w:rPr>
        <w:t>time period</w:t>
      </w:r>
      <w:proofErr w:type="gramEnd"/>
      <w:r w:rsidRPr="002A3A75">
        <w:rPr>
          <w:rFonts w:ascii="Times New Roman" w:hAnsi="Times New Roman" w:cs="Times New Roman"/>
        </w:rPr>
        <w:t xml:space="preserve"> in a way that was divorced from COVID-19</w:t>
      </w:r>
      <w:r w:rsidRPr="008D4478">
        <w:rPr>
          <w:rFonts w:ascii="Times New Roman" w:hAnsi="Times New Roman" w:cs="Times New Roman"/>
        </w:rPr>
        <w:t>. Model details and results can be found in full in the Supplemental Online Materials.</w:t>
      </w:r>
      <w:r w:rsidRPr="007F4684">
        <w:rPr>
          <w:rFonts w:ascii="Times New Roman" w:hAnsi="Times New Roman" w:cs="Times New Roman"/>
        </w:rPr>
        <w:t xml:space="preserve"> </w:t>
      </w:r>
    </w:p>
  </w:footnote>
  <w:footnote w:id="3">
    <w:p w14:paraId="5C01F695" w14:textId="77777777" w:rsidR="004532C6" w:rsidRPr="0063695F" w:rsidRDefault="004532C6" w:rsidP="004532C6">
      <w:pPr>
        <w:pStyle w:val="FootnoteText"/>
        <w:rPr>
          <w:rFonts w:ascii="Times New Roman" w:hAnsi="Times New Roman" w:cs="Times New Roman"/>
        </w:rPr>
      </w:pPr>
      <w:r w:rsidRPr="007F4684">
        <w:rPr>
          <w:rStyle w:val="FootnoteReference"/>
        </w:rPr>
        <w:footnoteRef/>
      </w:r>
      <w:r w:rsidRPr="007F4684">
        <w:t xml:space="preserve"> </w:t>
      </w:r>
      <w:r w:rsidRPr="007F4684">
        <w:rPr>
          <w:rFonts w:ascii="Times New Roman" w:hAnsi="Times New Roman" w:cs="Times New Roman"/>
        </w:rPr>
        <w:t>The exclusions left our final dataset slightly underpowered to detect moderation; we discuss this limitation further in the Discussion.</w:t>
      </w:r>
    </w:p>
  </w:footnote>
  <w:footnote w:id="4">
    <w:p w14:paraId="525DA405" w14:textId="77777777" w:rsidR="004532C6" w:rsidRPr="00A51E7A" w:rsidRDefault="004532C6" w:rsidP="004532C6">
      <w:pPr>
        <w:pStyle w:val="FootnoteText"/>
        <w:rPr>
          <w:rFonts w:ascii="Times New Roman" w:hAnsi="Times New Roman" w:cs="Times New Roman"/>
        </w:rPr>
      </w:pPr>
      <w:r w:rsidRPr="00A51E7A">
        <w:rPr>
          <w:rStyle w:val="FootnoteReference"/>
          <w:rFonts w:ascii="Times New Roman" w:hAnsi="Times New Roman" w:cs="Times New Roman"/>
        </w:rPr>
        <w:footnoteRef/>
      </w:r>
      <w:r w:rsidRPr="00A51E7A">
        <w:rPr>
          <w:rFonts w:ascii="Times New Roman" w:hAnsi="Times New Roman" w:cs="Times New Roman"/>
        </w:rPr>
        <w:t xml:space="preserve"> Parallel measures were also used to assess prejudice toward White people, to provide estimates of attitudes toward ingroup targets</w:t>
      </w:r>
      <w:r>
        <w:rPr>
          <w:rFonts w:ascii="Times New Roman" w:hAnsi="Times New Roman" w:cs="Times New Roman"/>
        </w:rPr>
        <w:t xml:space="preserve"> and allow for tests of </w:t>
      </w:r>
      <w:r w:rsidRPr="00A51E7A">
        <w:rPr>
          <w:rFonts w:ascii="Times New Roman" w:hAnsi="Times New Roman" w:cs="Times New Roman"/>
        </w:rPr>
        <w:t>whether COVID-19 intensity is</w:t>
      </w:r>
      <w:r>
        <w:rPr>
          <w:rFonts w:ascii="Times New Roman" w:hAnsi="Times New Roman" w:cs="Times New Roman"/>
        </w:rPr>
        <w:t xml:space="preserve"> (a)</w:t>
      </w:r>
      <w:r w:rsidRPr="00A51E7A">
        <w:rPr>
          <w:rFonts w:ascii="Times New Roman" w:hAnsi="Times New Roman" w:cs="Times New Roman"/>
        </w:rPr>
        <w:t xml:space="preserve"> uniquely related to anti-Asian prejudice, </w:t>
      </w:r>
      <w:r>
        <w:rPr>
          <w:rFonts w:ascii="Times New Roman" w:hAnsi="Times New Roman" w:cs="Times New Roman"/>
        </w:rPr>
        <w:t>(b) related</w:t>
      </w:r>
      <w:r w:rsidRPr="00A51E7A">
        <w:rPr>
          <w:rFonts w:ascii="Times New Roman" w:hAnsi="Times New Roman" w:cs="Times New Roman"/>
        </w:rPr>
        <w:t xml:space="preserve"> to prejudice toward any racial</w:t>
      </w:r>
      <w:r>
        <w:rPr>
          <w:rFonts w:ascii="Times New Roman" w:hAnsi="Times New Roman" w:cs="Times New Roman"/>
        </w:rPr>
        <w:t xml:space="preserve"> </w:t>
      </w:r>
      <w:r w:rsidRPr="00A51E7A">
        <w:rPr>
          <w:rFonts w:ascii="Times New Roman" w:hAnsi="Times New Roman" w:cs="Times New Roman"/>
        </w:rPr>
        <w:t>outgroup (Asian and Black people)</w:t>
      </w:r>
      <w:r>
        <w:rPr>
          <w:rFonts w:ascii="Times New Roman" w:hAnsi="Times New Roman" w:cs="Times New Roman"/>
        </w:rPr>
        <w:t xml:space="preserve">, or (c) </w:t>
      </w:r>
      <w:r w:rsidRPr="00A51E7A">
        <w:rPr>
          <w:rFonts w:ascii="Times New Roman" w:hAnsi="Times New Roman" w:cs="Times New Roman"/>
        </w:rPr>
        <w:t xml:space="preserve">whether it might relate to generalized prejudice toward </w:t>
      </w:r>
      <w:r>
        <w:rPr>
          <w:rFonts w:ascii="Times New Roman" w:hAnsi="Times New Roman" w:cs="Times New Roman"/>
        </w:rPr>
        <w:t>racial ingroups and outgroups</w:t>
      </w:r>
      <w:r w:rsidRPr="00A51E7A">
        <w:rPr>
          <w:rFonts w:ascii="Times New Roman" w:hAnsi="Times New Roman" w:cs="Times New Roman"/>
        </w:rPr>
        <w:t xml:space="preserve"> (Asian, Black, and White people). Because </w:t>
      </w:r>
      <w:r>
        <w:rPr>
          <w:rFonts w:ascii="Times New Roman" w:hAnsi="Times New Roman" w:cs="Times New Roman"/>
        </w:rPr>
        <w:t xml:space="preserve">the primary </w:t>
      </w:r>
      <w:r w:rsidRPr="00A51E7A">
        <w:rPr>
          <w:rFonts w:ascii="Times New Roman" w:hAnsi="Times New Roman" w:cs="Times New Roman"/>
        </w:rPr>
        <w:t xml:space="preserve">focus </w:t>
      </w:r>
      <w:r>
        <w:rPr>
          <w:rFonts w:ascii="Times New Roman" w:hAnsi="Times New Roman" w:cs="Times New Roman"/>
        </w:rPr>
        <w:t xml:space="preserve">of our manuscript </w:t>
      </w:r>
      <w:r w:rsidRPr="00A51E7A">
        <w:rPr>
          <w:rFonts w:ascii="Times New Roman" w:hAnsi="Times New Roman" w:cs="Times New Roman"/>
        </w:rPr>
        <w:t>is on relation</w:t>
      </w:r>
      <w:r>
        <w:rPr>
          <w:rFonts w:ascii="Times New Roman" w:hAnsi="Times New Roman" w:cs="Times New Roman"/>
        </w:rPr>
        <w:t>s</w:t>
      </w:r>
      <w:r w:rsidRPr="00A51E7A">
        <w:rPr>
          <w:rFonts w:ascii="Times New Roman" w:hAnsi="Times New Roman" w:cs="Times New Roman"/>
        </w:rPr>
        <w:t xml:space="preserve"> between COVID-19 </w:t>
      </w:r>
      <w:r>
        <w:rPr>
          <w:rFonts w:ascii="Times New Roman" w:hAnsi="Times New Roman" w:cs="Times New Roman"/>
        </w:rPr>
        <w:t xml:space="preserve">intensity </w:t>
      </w:r>
      <w:r w:rsidRPr="00A51E7A">
        <w:rPr>
          <w:rFonts w:ascii="Times New Roman" w:hAnsi="Times New Roman" w:cs="Times New Roman"/>
        </w:rPr>
        <w:t xml:space="preserve">and prejudice toward </w:t>
      </w:r>
      <w:r>
        <w:rPr>
          <w:rFonts w:ascii="Times New Roman" w:hAnsi="Times New Roman" w:cs="Times New Roman"/>
        </w:rPr>
        <w:t xml:space="preserve">racial </w:t>
      </w:r>
      <w:r w:rsidRPr="00A51E7A">
        <w:rPr>
          <w:rFonts w:ascii="Times New Roman" w:hAnsi="Times New Roman" w:cs="Times New Roman"/>
        </w:rPr>
        <w:t xml:space="preserve">outgroups, we </w:t>
      </w:r>
      <w:r>
        <w:rPr>
          <w:rFonts w:ascii="Times New Roman" w:hAnsi="Times New Roman" w:cs="Times New Roman"/>
        </w:rPr>
        <w:t>only describe</w:t>
      </w:r>
      <w:r w:rsidRPr="00A51E7A">
        <w:rPr>
          <w:rFonts w:ascii="Times New Roman" w:hAnsi="Times New Roman" w:cs="Times New Roman"/>
        </w:rPr>
        <w:t xml:space="preserve"> indicators of prejudice toward Asian and Black people in the main text. All measures and analyses </w:t>
      </w:r>
      <w:r>
        <w:rPr>
          <w:rFonts w:ascii="Times New Roman" w:hAnsi="Times New Roman" w:cs="Times New Roman"/>
        </w:rPr>
        <w:t>concerning potential links between COVID-19 intensity and attitudes</w:t>
      </w:r>
      <w:r w:rsidRPr="00A51E7A">
        <w:rPr>
          <w:rFonts w:ascii="Times New Roman" w:hAnsi="Times New Roman" w:cs="Times New Roman"/>
        </w:rPr>
        <w:t xml:space="preserve"> toward White people can be found in the Supplemental Online Materials.</w:t>
      </w:r>
    </w:p>
  </w:footnote>
  <w:footnote w:id="5">
    <w:p w14:paraId="6D6A3140" w14:textId="77777777" w:rsidR="004532C6" w:rsidRPr="008C1CAE" w:rsidRDefault="004532C6" w:rsidP="004532C6">
      <w:pPr>
        <w:pStyle w:val="FootnoteText"/>
        <w:rPr>
          <w:rFonts w:ascii="Times New Roman" w:hAnsi="Times New Roman" w:cs="Times New Roman"/>
        </w:rPr>
      </w:pPr>
      <w:r w:rsidRPr="008C1CAE">
        <w:rPr>
          <w:rStyle w:val="FootnoteReference"/>
          <w:rFonts w:ascii="Times New Roman" w:hAnsi="Times New Roman" w:cs="Times New Roman"/>
        </w:rPr>
        <w:footnoteRef/>
      </w:r>
      <w:r w:rsidRPr="008C1CAE">
        <w:rPr>
          <w:rFonts w:ascii="Times New Roman" w:hAnsi="Times New Roman" w:cs="Times New Roman"/>
        </w:rPr>
        <w:t xml:space="preserve"> Our original plan was to examine support for exclusionary policies using a composite variable comprising several questions, including </w:t>
      </w:r>
      <w:r w:rsidRPr="000011BB">
        <w:rPr>
          <w:rFonts w:ascii="Times New Roman" w:hAnsi="Times New Roman" w:cs="Times New Roman"/>
          <w:color w:val="000000" w:themeColor="text1"/>
        </w:rPr>
        <w:t xml:space="preserve">“Do you think the amount of legal immigration from </w:t>
      </w:r>
      <w:r>
        <w:rPr>
          <w:rFonts w:ascii="Times New Roman" w:hAnsi="Times New Roman" w:cs="Times New Roman"/>
          <w:color w:val="000000" w:themeColor="text1"/>
        </w:rPr>
        <w:t>[</w:t>
      </w:r>
      <w:r w:rsidRPr="000011BB">
        <w:rPr>
          <w:rFonts w:ascii="Times New Roman" w:hAnsi="Times New Roman" w:cs="Times New Roman"/>
          <w:color w:val="000000" w:themeColor="text1"/>
        </w:rPr>
        <w:t>Asian</w:t>
      </w:r>
      <w:r>
        <w:rPr>
          <w:rFonts w:ascii="Times New Roman" w:hAnsi="Times New Roman" w:cs="Times New Roman"/>
          <w:color w:val="000000" w:themeColor="text1"/>
        </w:rPr>
        <w:t>/African]</w:t>
      </w:r>
      <w:r w:rsidRPr="000011BB">
        <w:rPr>
          <w:rFonts w:ascii="Times New Roman" w:hAnsi="Times New Roman" w:cs="Times New Roman"/>
          <w:color w:val="000000" w:themeColor="text1"/>
        </w:rPr>
        <w:t xml:space="preserve"> countries to the United States should increase or decrease?”, “People from </w:t>
      </w:r>
      <w:r>
        <w:rPr>
          <w:rFonts w:ascii="Times New Roman" w:hAnsi="Times New Roman" w:cs="Times New Roman"/>
          <w:color w:val="000000" w:themeColor="text1"/>
        </w:rPr>
        <w:t>[</w:t>
      </w:r>
      <w:r w:rsidRPr="000011BB">
        <w:rPr>
          <w:rFonts w:ascii="Times New Roman" w:hAnsi="Times New Roman" w:cs="Times New Roman"/>
          <w:color w:val="000000" w:themeColor="text1"/>
        </w:rPr>
        <w:t>Asia</w:t>
      </w:r>
      <w:r>
        <w:rPr>
          <w:rFonts w:ascii="Times New Roman" w:hAnsi="Times New Roman" w:cs="Times New Roman"/>
          <w:color w:val="000000" w:themeColor="text1"/>
        </w:rPr>
        <w:t>/Africa]</w:t>
      </w:r>
      <w:r w:rsidRPr="000011BB">
        <w:rPr>
          <w:rFonts w:ascii="Times New Roman" w:hAnsi="Times New Roman" w:cs="Times New Roman"/>
          <w:color w:val="000000" w:themeColor="text1"/>
        </w:rPr>
        <w:t xml:space="preserve"> should be quarantined before entering the U.S.”, “People from </w:t>
      </w:r>
      <w:r>
        <w:rPr>
          <w:rFonts w:ascii="Times New Roman" w:hAnsi="Times New Roman" w:cs="Times New Roman"/>
          <w:color w:val="000000" w:themeColor="text1"/>
        </w:rPr>
        <w:t>[</w:t>
      </w:r>
      <w:r w:rsidRPr="000011BB">
        <w:rPr>
          <w:rFonts w:ascii="Times New Roman" w:hAnsi="Times New Roman" w:cs="Times New Roman"/>
          <w:color w:val="000000" w:themeColor="text1"/>
        </w:rPr>
        <w:t>Asia</w:t>
      </w:r>
      <w:r>
        <w:rPr>
          <w:rFonts w:ascii="Times New Roman" w:hAnsi="Times New Roman" w:cs="Times New Roman"/>
          <w:color w:val="000000" w:themeColor="text1"/>
        </w:rPr>
        <w:t>/Africa]</w:t>
      </w:r>
      <w:r w:rsidRPr="000011BB">
        <w:rPr>
          <w:rFonts w:ascii="Times New Roman" w:hAnsi="Times New Roman" w:cs="Times New Roman"/>
          <w:color w:val="000000" w:themeColor="text1"/>
        </w:rPr>
        <w:t xml:space="preserve"> should engage in social isolation and social distancing when in the U.S.”, as well as questions assessing participant’s endorsement of actual U.S. travel policies barring travel from China</w:t>
      </w:r>
      <w:r>
        <w:rPr>
          <w:rFonts w:ascii="Times New Roman" w:hAnsi="Times New Roman" w:cs="Times New Roman"/>
          <w:color w:val="000000" w:themeColor="text1"/>
        </w:rPr>
        <w:t>.</w:t>
      </w:r>
      <w:r w:rsidRPr="000011BB">
        <w:rPr>
          <w:rFonts w:ascii="Times New Roman" w:hAnsi="Times New Roman" w:cs="Times New Roman"/>
          <w:color w:val="000000" w:themeColor="text1"/>
        </w:rPr>
        <w:t xml:space="preserve"> However, </w:t>
      </w:r>
      <w:r>
        <w:rPr>
          <w:rFonts w:ascii="Times New Roman" w:hAnsi="Times New Roman" w:cs="Times New Roman"/>
          <w:color w:val="000000" w:themeColor="text1"/>
        </w:rPr>
        <w:t xml:space="preserve">initial analyses revealed that </w:t>
      </w:r>
      <w:r w:rsidRPr="000011BB">
        <w:rPr>
          <w:rFonts w:ascii="Times New Roman" w:hAnsi="Times New Roman" w:cs="Times New Roman"/>
          <w:color w:val="000000" w:themeColor="text1"/>
        </w:rPr>
        <w:t>these questions did not cohere</w:t>
      </w:r>
      <w:r>
        <w:rPr>
          <w:rFonts w:ascii="Times New Roman" w:hAnsi="Times New Roman" w:cs="Times New Roman"/>
          <w:color w:val="000000" w:themeColor="text1"/>
        </w:rPr>
        <w:t xml:space="preserve"> statistically to create reliable composite measures. </w:t>
      </w:r>
      <w:r w:rsidRPr="000011BB">
        <w:rPr>
          <w:rFonts w:ascii="Times New Roman" w:hAnsi="Times New Roman" w:cs="Times New Roman"/>
          <w:color w:val="000000" w:themeColor="text1"/>
        </w:rPr>
        <w:t xml:space="preserve">However, </w:t>
      </w:r>
      <w:r>
        <w:rPr>
          <w:rFonts w:ascii="Times New Roman" w:hAnsi="Times New Roman" w:cs="Times New Roman"/>
          <w:color w:val="000000" w:themeColor="text1"/>
        </w:rPr>
        <w:t>the</w:t>
      </w:r>
      <w:r w:rsidRPr="000011BB">
        <w:rPr>
          <w:rFonts w:ascii="Times New Roman" w:hAnsi="Times New Roman" w:cs="Times New Roman"/>
          <w:color w:val="000000" w:themeColor="text1"/>
        </w:rPr>
        <w:t xml:space="preserve"> question assessing participant’s endorsement of actual U.S. travel policies barring travel from China </w:t>
      </w:r>
      <w:r>
        <w:rPr>
          <w:rFonts w:ascii="Times New Roman" w:hAnsi="Times New Roman" w:cs="Times New Roman"/>
          <w:color w:val="000000" w:themeColor="text1"/>
        </w:rPr>
        <w:t>was</w:t>
      </w:r>
      <w:r w:rsidRPr="000011BB">
        <w:rPr>
          <w:rFonts w:ascii="Times New Roman" w:hAnsi="Times New Roman" w:cs="Times New Roman"/>
          <w:color w:val="000000" w:themeColor="text1"/>
        </w:rPr>
        <w:t xml:space="preserve"> comparable to questions about exclusionary policies used in previous work. </w:t>
      </w:r>
      <w:r>
        <w:rPr>
          <w:rFonts w:ascii="Times New Roman" w:hAnsi="Times New Roman" w:cs="Times New Roman"/>
          <w:color w:val="000000" w:themeColor="text1"/>
        </w:rPr>
        <w:t xml:space="preserve">Given the clear interpretability of this question, and </w:t>
      </w:r>
      <w:r w:rsidRPr="000011BB">
        <w:rPr>
          <w:rFonts w:ascii="Times New Roman" w:hAnsi="Times New Roman" w:cs="Times New Roman"/>
          <w:color w:val="000000" w:themeColor="text1"/>
        </w:rPr>
        <w:t xml:space="preserve">because </w:t>
      </w:r>
      <w:r>
        <w:rPr>
          <w:rFonts w:ascii="Times New Roman" w:hAnsi="Times New Roman" w:cs="Times New Roman"/>
          <w:color w:val="000000" w:themeColor="text1"/>
        </w:rPr>
        <w:t>our</w:t>
      </w:r>
      <w:r w:rsidRPr="000011BB">
        <w:rPr>
          <w:rFonts w:ascii="Times New Roman" w:hAnsi="Times New Roman" w:cs="Times New Roman"/>
          <w:color w:val="000000" w:themeColor="text1"/>
        </w:rPr>
        <w:t xml:space="preserve"> theoretical </w:t>
      </w:r>
      <w:r>
        <w:rPr>
          <w:rFonts w:ascii="Times New Roman" w:hAnsi="Times New Roman" w:cs="Times New Roman"/>
          <w:color w:val="000000" w:themeColor="text1"/>
        </w:rPr>
        <w:t>framework</w:t>
      </w:r>
      <w:r w:rsidRPr="000011BB">
        <w:rPr>
          <w:rFonts w:ascii="Times New Roman" w:hAnsi="Times New Roman" w:cs="Times New Roman"/>
          <w:color w:val="000000" w:themeColor="text1"/>
        </w:rPr>
        <w:t xml:space="preserve"> makes clear predictions about how disease outbreak might affect support for exclusionary policies</w:t>
      </w:r>
      <w:r>
        <w:rPr>
          <w:rFonts w:ascii="Times New Roman" w:hAnsi="Times New Roman" w:cs="Times New Roman"/>
          <w:color w:val="000000" w:themeColor="text1"/>
        </w:rPr>
        <w:t xml:space="preserve">, </w:t>
      </w:r>
      <w:r w:rsidRPr="000011BB">
        <w:rPr>
          <w:rFonts w:ascii="Times New Roman" w:hAnsi="Times New Roman" w:cs="Times New Roman"/>
          <w:color w:val="000000" w:themeColor="text1"/>
        </w:rPr>
        <w:t xml:space="preserve">we opted to </w:t>
      </w:r>
      <w:r>
        <w:rPr>
          <w:rFonts w:ascii="Times New Roman" w:hAnsi="Times New Roman" w:cs="Times New Roman"/>
          <w:color w:val="000000" w:themeColor="text1"/>
        </w:rPr>
        <w:t>explore</w:t>
      </w:r>
      <w:r w:rsidRPr="000011BB">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that </w:t>
      </w:r>
      <w:proofErr w:type="gramStart"/>
      <w:r>
        <w:rPr>
          <w:rFonts w:ascii="Times New Roman" w:hAnsi="Times New Roman" w:cs="Times New Roman"/>
          <w:color w:val="000000" w:themeColor="text1"/>
        </w:rPr>
        <w:t>particular question</w:t>
      </w:r>
      <w:proofErr w:type="gramEnd"/>
      <w:r>
        <w:rPr>
          <w:rFonts w:ascii="Times New Roman" w:hAnsi="Times New Roman" w:cs="Times New Roman"/>
          <w:color w:val="000000" w:themeColor="text1"/>
        </w:rPr>
        <w:t xml:space="preserve"> in our analyses</w:t>
      </w:r>
      <w:r w:rsidRPr="000011BB">
        <w:rPr>
          <w:rFonts w:ascii="Times New Roman" w:hAnsi="Times New Roman" w:cs="Times New Roman"/>
          <w:color w:val="000000" w:themeColor="text1"/>
        </w:rPr>
        <w:t>.</w:t>
      </w:r>
    </w:p>
  </w:footnote>
  <w:footnote w:id="6">
    <w:p w14:paraId="1DF0517F" w14:textId="77777777" w:rsidR="004532C6" w:rsidRPr="009C4451" w:rsidRDefault="004532C6" w:rsidP="004532C6">
      <w:pPr>
        <w:pStyle w:val="FootnoteText"/>
        <w:rPr>
          <w:b/>
          <w:bCs/>
        </w:rPr>
      </w:pPr>
      <w:r>
        <w:rPr>
          <w:rStyle w:val="FootnoteReference"/>
        </w:rPr>
        <w:footnoteRef/>
      </w:r>
      <w:r>
        <w:t xml:space="preserve"> </w:t>
      </w:r>
      <w:r w:rsidRPr="009C4451">
        <w:t>Although the study design and hypotheses have not changed since pre-registration, in response to thoughtful suggestions offered during the peer review process, we adopted an analytical approach that deviated substantially from our pre-registered analysis plan. In brief, our pre-registered analytic plan proposed using two models to test our hypotheses: (1) repeated measures regression models where prejudice toward Asian, Black, and White targets were assessed as a function of COVID-19 intensity (for actual and perceived intensity, separately) to test Hypotheses 1, 2, and 3, and (2) multiple regression analyses where prejudice toward Asian targets was assessed as a function of COVID-19 intensity (actual and perceived, separately) and contact or exposure (Hypotheses 4 and 5). Given the extent to which our actual analyses differed from our planned analyses, we do not provide a more detailed report of the differences here, but our pre-registrations (Hypotheses 1, 2, and 3: https://osf.io/m46cv; Hypotheses 4 and 5: https://osf.io/jk7e5), data, and analytic code are all publicly available on OSF (</w:t>
      </w:r>
      <w:hyperlink r:id="rId1" w:history="1">
        <w:r w:rsidRPr="009C4451">
          <w:rPr>
            <w:rStyle w:val="Hyperlink"/>
          </w:rPr>
          <w:t>https://osf.io/erk36/?view_only=d2524995e72544f8b880f2b2dbf31935</w:t>
        </w:r>
      </w:hyperlink>
      <w:r w:rsidRPr="009C4451">
        <w:t xml:space="preserve">).  In addition to the variables described in detail in this text, we have included an explanation of variables measured but not included in the main text, as well as the raw data on OSF for anyone interested in exploring them. </w:t>
      </w:r>
    </w:p>
    <w:p w14:paraId="277348AF" w14:textId="77777777" w:rsidR="004532C6" w:rsidRDefault="004532C6" w:rsidP="004532C6">
      <w:pPr>
        <w:pStyle w:val="FootnoteText"/>
      </w:pPr>
    </w:p>
  </w:footnote>
  <w:footnote w:id="7">
    <w:p w14:paraId="4627ADAD" w14:textId="77777777" w:rsidR="004532C6" w:rsidRPr="00F002EE" w:rsidRDefault="004532C6" w:rsidP="004532C6">
      <w:pPr>
        <w:pStyle w:val="FootnoteText"/>
        <w:rPr>
          <w:rFonts w:ascii="Times New Roman" w:hAnsi="Times New Roman" w:cs="Times New Roman"/>
        </w:rPr>
      </w:pPr>
      <w:r w:rsidRPr="00F002EE">
        <w:rPr>
          <w:rStyle w:val="FootnoteReference"/>
          <w:rFonts w:ascii="Times New Roman" w:hAnsi="Times New Roman" w:cs="Times New Roman"/>
        </w:rPr>
        <w:footnoteRef/>
      </w:r>
      <w:r w:rsidRPr="00F002EE">
        <w:rPr>
          <w:rFonts w:ascii="Times New Roman" w:hAnsi="Times New Roman" w:cs="Times New Roman"/>
        </w:rPr>
        <w:t xml:space="preserve"> As described in detail in the Supplemental Online Materials, we </w:t>
      </w:r>
      <w:r>
        <w:rPr>
          <w:rFonts w:ascii="Times New Roman" w:hAnsi="Times New Roman" w:cs="Times New Roman"/>
        </w:rPr>
        <w:t xml:space="preserve">also examined whether </w:t>
      </w:r>
      <w:r w:rsidRPr="00F002EE">
        <w:rPr>
          <w:rFonts w:ascii="Times New Roman" w:hAnsi="Times New Roman" w:cs="Times New Roman"/>
        </w:rPr>
        <w:t xml:space="preserve">intensity of COVID-19 </w:t>
      </w:r>
      <w:r>
        <w:rPr>
          <w:rFonts w:ascii="Times New Roman" w:hAnsi="Times New Roman" w:cs="Times New Roman"/>
        </w:rPr>
        <w:t>was related to</w:t>
      </w:r>
      <w:r w:rsidRPr="00F002EE">
        <w:rPr>
          <w:rFonts w:ascii="Times New Roman" w:hAnsi="Times New Roman" w:cs="Times New Roman"/>
        </w:rPr>
        <w:t xml:space="preserve"> prejudice toward White people</w:t>
      </w:r>
      <w:r>
        <w:rPr>
          <w:rFonts w:ascii="Times New Roman" w:hAnsi="Times New Roman" w:cs="Times New Roman"/>
        </w:rPr>
        <w:t>, but we did not find any evidence for that relationship</w:t>
      </w:r>
      <w:r w:rsidRPr="00F002EE">
        <w:rPr>
          <w:rFonts w:ascii="Times New Roman" w:hAnsi="Times New Roman" w:cs="Times New Roman"/>
        </w:rPr>
        <w:t xml:space="preserve">. That COVID-19 was related to some measures of outgroup prejudice, but not to any measures of ingroup prejudice, suggests that </w:t>
      </w:r>
      <w:r>
        <w:rPr>
          <w:rFonts w:ascii="Times New Roman" w:hAnsi="Times New Roman" w:cs="Times New Roman"/>
        </w:rPr>
        <w:t>links between</w:t>
      </w:r>
      <w:r w:rsidRPr="00F002EE">
        <w:rPr>
          <w:rFonts w:ascii="Times New Roman" w:hAnsi="Times New Roman" w:cs="Times New Roman"/>
        </w:rPr>
        <w:t xml:space="preserve"> COVID-19 intensity </w:t>
      </w:r>
      <w:r>
        <w:rPr>
          <w:rFonts w:ascii="Times New Roman" w:hAnsi="Times New Roman" w:cs="Times New Roman"/>
        </w:rPr>
        <w:t>and</w:t>
      </w:r>
      <w:r w:rsidRPr="00F002EE">
        <w:rPr>
          <w:rFonts w:ascii="Times New Roman" w:hAnsi="Times New Roman" w:cs="Times New Roman"/>
        </w:rPr>
        <w:t xml:space="preserve"> prejudice are specific to </w:t>
      </w:r>
      <w:r>
        <w:rPr>
          <w:rFonts w:ascii="Times New Roman" w:hAnsi="Times New Roman" w:cs="Times New Roman"/>
        </w:rPr>
        <w:t xml:space="preserve">racial </w:t>
      </w:r>
      <w:r w:rsidRPr="00F002EE">
        <w:rPr>
          <w:rFonts w:ascii="Times New Roman" w:hAnsi="Times New Roman" w:cs="Times New Roman"/>
        </w:rPr>
        <w:t>outgroups rather than generalized across all people.</w:t>
      </w:r>
    </w:p>
  </w:footnote>
  <w:footnote w:id="8">
    <w:p w14:paraId="38ED6204" w14:textId="77777777" w:rsidR="005958BC" w:rsidRDefault="005958BC" w:rsidP="005958BC">
      <w:pPr>
        <w:pStyle w:val="FootnoteText"/>
      </w:pPr>
      <w:r>
        <w:rPr>
          <w:rStyle w:val="FootnoteReference"/>
        </w:rPr>
        <w:footnoteRef/>
      </w:r>
      <w:r>
        <w:t xml:space="preserve"> In Tables 2 and 3, we used scientific notation (e.g., x10-4) where the range of the predictor and outcome variables are substantially different. </w:t>
      </w:r>
      <w:r w:rsidRPr="009011CC">
        <w:rPr>
          <w:bCs/>
          <w:lang w:val="en"/>
        </w:rPr>
        <w:t>Take</w:t>
      </w:r>
      <w:r>
        <w:rPr>
          <w:bCs/>
          <w:lang w:val="en"/>
        </w:rPr>
        <w:t>,</w:t>
      </w:r>
      <w:r w:rsidRPr="009011CC">
        <w:rPr>
          <w:bCs/>
          <w:lang w:val="en"/>
        </w:rPr>
        <w:t xml:space="preserve"> for example</w:t>
      </w:r>
      <w:r>
        <w:rPr>
          <w:bCs/>
          <w:lang w:val="en"/>
        </w:rPr>
        <w:t>,</w:t>
      </w:r>
      <w:r w:rsidRPr="009011CC">
        <w:rPr>
          <w:bCs/>
          <w:lang w:val="en"/>
        </w:rPr>
        <w:t xml:space="preserve"> the relation between perceived COVID-19 intensity (based on estimated number of deaths) and desire for social distance from Asian people. The range of the perceived COVID-19 intensity variable is 0 – 30,000, while the range of the social distance variable is 1 – 7. Thus, for every </w:t>
      </w:r>
      <w:r>
        <w:rPr>
          <w:bCs/>
          <w:lang w:val="en"/>
        </w:rPr>
        <w:t>one-u</w:t>
      </w:r>
      <w:r w:rsidRPr="009011CC">
        <w:rPr>
          <w:bCs/>
          <w:lang w:val="en"/>
        </w:rPr>
        <w:t>nit change in perceived intensity, we could only expect a tiny change in desire for social distance. However, despite the small absolute value of change, that change, as indicated by statistical tests, is still significantly related to COVID-19 intensity.</w:t>
      </w:r>
      <w:r>
        <w:rPr>
          <w:bCs/>
          <w:lang w:val="en"/>
        </w:rPr>
        <w:t xml:space="preserve"> When variables are more comparable in range (i.e., desire for social distance, 1 – 7, and contact, 0 – 20) we use standard notation instead.</w:t>
      </w:r>
    </w:p>
  </w:footnote>
  <w:footnote w:id="9">
    <w:p w14:paraId="32D34F0B" w14:textId="77777777" w:rsidR="004532C6" w:rsidRPr="007108EB" w:rsidRDefault="004532C6" w:rsidP="004532C6">
      <w:pPr>
        <w:pStyle w:val="FootnoteText"/>
      </w:pPr>
      <w:r>
        <w:rPr>
          <w:rStyle w:val="FootnoteReference"/>
        </w:rPr>
        <w:footnoteRef/>
      </w:r>
      <w:r>
        <w:t xml:space="preserve"> We observed a non-significant trend where greater contact with Asian people was associated with a weaker desire for social distance from Asian people (</w:t>
      </w:r>
      <w:r>
        <w:rPr>
          <w:i/>
          <w:iCs/>
        </w:rPr>
        <w:t>p</w:t>
      </w:r>
      <w:r w:rsidRPr="007108EB">
        <w:t>s</w:t>
      </w:r>
      <w:r>
        <w:rPr>
          <w:i/>
          <w:iCs/>
        </w:rPr>
        <w:t xml:space="preserve"> </w:t>
      </w:r>
      <w:r w:rsidRPr="007108EB">
        <w:t>&lt; .10</w:t>
      </w:r>
      <w:r>
        <w:t>, see Table 2). This trend is consistent with literature on the beneficial effects of intergroup contact.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1EF2"/>
    <w:multiLevelType w:val="multilevel"/>
    <w:tmpl w:val="C524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AF3"/>
    <w:multiLevelType w:val="hybridMultilevel"/>
    <w:tmpl w:val="8C0E6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A0550"/>
    <w:multiLevelType w:val="multilevel"/>
    <w:tmpl w:val="D8D6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B25B29"/>
    <w:multiLevelType w:val="hybridMultilevel"/>
    <w:tmpl w:val="A62C73E2"/>
    <w:lvl w:ilvl="0" w:tplc="60AAACF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A643E"/>
    <w:multiLevelType w:val="multilevel"/>
    <w:tmpl w:val="CAB2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A2846"/>
    <w:multiLevelType w:val="multilevel"/>
    <w:tmpl w:val="80E2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1F6DF8"/>
    <w:multiLevelType w:val="multilevel"/>
    <w:tmpl w:val="0FC8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406231"/>
    <w:multiLevelType w:val="hybridMultilevel"/>
    <w:tmpl w:val="599637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7C395C"/>
    <w:multiLevelType w:val="hybridMultilevel"/>
    <w:tmpl w:val="08201FE2"/>
    <w:lvl w:ilvl="0" w:tplc="F7A89F1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715395"/>
    <w:multiLevelType w:val="multilevel"/>
    <w:tmpl w:val="A434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1E1787"/>
    <w:multiLevelType w:val="multilevel"/>
    <w:tmpl w:val="B316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2C0AA7"/>
    <w:multiLevelType w:val="hybridMultilevel"/>
    <w:tmpl w:val="9EBE844C"/>
    <w:lvl w:ilvl="0" w:tplc="C464E7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7"/>
  </w:num>
  <w:num w:numId="5">
    <w:abstractNumId w:val="8"/>
  </w:num>
  <w:num w:numId="6">
    <w:abstractNumId w:val="2"/>
  </w:num>
  <w:num w:numId="7">
    <w:abstractNumId w:val="0"/>
  </w:num>
  <w:num w:numId="8">
    <w:abstractNumId w:val="11"/>
  </w:num>
  <w:num w:numId="9">
    <w:abstractNumId w:val="3"/>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859"/>
    <w:rsid w:val="000008A8"/>
    <w:rsid w:val="0000184C"/>
    <w:rsid w:val="00002BF8"/>
    <w:rsid w:val="00005724"/>
    <w:rsid w:val="00005D50"/>
    <w:rsid w:val="00006266"/>
    <w:rsid w:val="000062BA"/>
    <w:rsid w:val="000068D0"/>
    <w:rsid w:val="00007179"/>
    <w:rsid w:val="00007B20"/>
    <w:rsid w:val="0001187B"/>
    <w:rsid w:val="00012666"/>
    <w:rsid w:val="000128FB"/>
    <w:rsid w:val="000147DB"/>
    <w:rsid w:val="00014F16"/>
    <w:rsid w:val="00016FC8"/>
    <w:rsid w:val="000170E9"/>
    <w:rsid w:val="00017C2E"/>
    <w:rsid w:val="00017F93"/>
    <w:rsid w:val="000211DC"/>
    <w:rsid w:val="0002138C"/>
    <w:rsid w:val="0002220B"/>
    <w:rsid w:val="00024955"/>
    <w:rsid w:val="00025D52"/>
    <w:rsid w:val="00026E72"/>
    <w:rsid w:val="0002717C"/>
    <w:rsid w:val="00027F44"/>
    <w:rsid w:val="00030015"/>
    <w:rsid w:val="00030147"/>
    <w:rsid w:val="000305F4"/>
    <w:rsid w:val="00032B75"/>
    <w:rsid w:val="00032B79"/>
    <w:rsid w:val="000337BE"/>
    <w:rsid w:val="0003585A"/>
    <w:rsid w:val="000409BA"/>
    <w:rsid w:val="00040AA5"/>
    <w:rsid w:val="00040D2F"/>
    <w:rsid w:val="0004131C"/>
    <w:rsid w:val="00041C67"/>
    <w:rsid w:val="00045927"/>
    <w:rsid w:val="00045ACC"/>
    <w:rsid w:val="000462AE"/>
    <w:rsid w:val="00046801"/>
    <w:rsid w:val="00046A62"/>
    <w:rsid w:val="00047CCC"/>
    <w:rsid w:val="0005035F"/>
    <w:rsid w:val="00060426"/>
    <w:rsid w:val="000617F2"/>
    <w:rsid w:val="00062508"/>
    <w:rsid w:val="00063625"/>
    <w:rsid w:val="00063E95"/>
    <w:rsid w:val="0006437C"/>
    <w:rsid w:val="00064DF5"/>
    <w:rsid w:val="00065520"/>
    <w:rsid w:val="00066763"/>
    <w:rsid w:val="00066CAA"/>
    <w:rsid w:val="00070664"/>
    <w:rsid w:val="00071C67"/>
    <w:rsid w:val="00071E0E"/>
    <w:rsid w:val="00071E9B"/>
    <w:rsid w:val="00072AA7"/>
    <w:rsid w:val="000735BE"/>
    <w:rsid w:val="000735C2"/>
    <w:rsid w:val="00073D12"/>
    <w:rsid w:val="0007428F"/>
    <w:rsid w:val="00075258"/>
    <w:rsid w:val="00075D3A"/>
    <w:rsid w:val="00075D5D"/>
    <w:rsid w:val="0007604E"/>
    <w:rsid w:val="00076666"/>
    <w:rsid w:val="000800D5"/>
    <w:rsid w:val="000800FF"/>
    <w:rsid w:val="00080D29"/>
    <w:rsid w:val="000812B3"/>
    <w:rsid w:val="0008196A"/>
    <w:rsid w:val="00081BC2"/>
    <w:rsid w:val="000828A3"/>
    <w:rsid w:val="00083AAB"/>
    <w:rsid w:val="00083DB9"/>
    <w:rsid w:val="00084FB3"/>
    <w:rsid w:val="00086A19"/>
    <w:rsid w:val="00086F97"/>
    <w:rsid w:val="000870AE"/>
    <w:rsid w:val="000873B3"/>
    <w:rsid w:val="000876B5"/>
    <w:rsid w:val="00087CAC"/>
    <w:rsid w:val="000918B8"/>
    <w:rsid w:val="00096231"/>
    <w:rsid w:val="0009717A"/>
    <w:rsid w:val="00097327"/>
    <w:rsid w:val="000A0A06"/>
    <w:rsid w:val="000A103D"/>
    <w:rsid w:val="000A17FB"/>
    <w:rsid w:val="000A193B"/>
    <w:rsid w:val="000A2390"/>
    <w:rsid w:val="000A254A"/>
    <w:rsid w:val="000A2EB0"/>
    <w:rsid w:val="000A478F"/>
    <w:rsid w:val="000A5981"/>
    <w:rsid w:val="000A6123"/>
    <w:rsid w:val="000A72EC"/>
    <w:rsid w:val="000A7693"/>
    <w:rsid w:val="000A7F7C"/>
    <w:rsid w:val="000B1740"/>
    <w:rsid w:val="000B19C8"/>
    <w:rsid w:val="000B1D90"/>
    <w:rsid w:val="000B294C"/>
    <w:rsid w:val="000B4475"/>
    <w:rsid w:val="000B4952"/>
    <w:rsid w:val="000B5C8A"/>
    <w:rsid w:val="000B5E06"/>
    <w:rsid w:val="000B7608"/>
    <w:rsid w:val="000C08C2"/>
    <w:rsid w:val="000C0C78"/>
    <w:rsid w:val="000C0D59"/>
    <w:rsid w:val="000C1F0F"/>
    <w:rsid w:val="000C2EA6"/>
    <w:rsid w:val="000C4056"/>
    <w:rsid w:val="000C4AD6"/>
    <w:rsid w:val="000C666C"/>
    <w:rsid w:val="000C6820"/>
    <w:rsid w:val="000C6941"/>
    <w:rsid w:val="000C6C99"/>
    <w:rsid w:val="000D0C3A"/>
    <w:rsid w:val="000D15B0"/>
    <w:rsid w:val="000D1F8A"/>
    <w:rsid w:val="000D22B1"/>
    <w:rsid w:val="000D4C75"/>
    <w:rsid w:val="000D50A6"/>
    <w:rsid w:val="000D55C0"/>
    <w:rsid w:val="000D5781"/>
    <w:rsid w:val="000D58C0"/>
    <w:rsid w:val="000D5911"/>
    <w:rsid w:val="000D598E"/>
    <w:rsid w:val="000D6E52"/>
    <w:rsid w:val="000E0221"/>
    <w:rsid w:val="000E02B8"/>
    <w:rsid w:val="000E15BB"/>
    <w:rsid w:val="000E2C1A"/>
    <w:rsid w:val="000E3876"/>
    <w:rsid w:val="000E6D3C"/>
    <w:rsid w:val="000F1C28"/>
    <w:rsid w:val="000F2107"/>
    <w:rsid w:val="000F2A95"/>
    <w:rsid w:val="000F474E"/>
    <w:rsid w:val="000F52AF"/>
    <w:rsid w:val="000F58E8"/>
    <w:rsid w:val="000F5FEA"/>
    <w:rsid w:val="000F60CA"/>
    <w:rsid w:val="000F61D9"/>
    <w:rsid w:val="00100B3B"/>
    <w:rsid w:val="00100D13"/>
    <w:rsid w:val="00100E58"/>
    <w:rsid w:val="00101C51"/>
    <w:rsid w:val="00102EB5"/>
    <w:rsid w:val="00103F5B"/>
    <w:rsid w:val="0010437C"/>
    <w:rsid w:val="00104C26"/>
    <w:rsid w:val="001071F3"/>
    <w:rsid w:val="00107A47"/>
    <w:rsid w:val="00107A8A"/>
    <w:rsid w:val="00107C29"/>
    <w:rsid w:val="0011130C"/>
    <w:rsid w:val="00111FD5"/>
    <w:rsid w:val="0011206E"/>
    <w:rsid w:val="001121FC"/>
    <w:rsid w:val="001122A2"/>
    <w:rsid w:val="0011385D"/>
    <w:rsid w:val="00115320"/>
    <w:rsid w:val="00116219"/>
    <w:rsid w:val="00121610"/>
    <w:rsid w:val="00122242"/>
    <w:rsid w:val="00122443"/>
    <w:rsid w:val="00124431"/>
    <w:rsid w:val="00124C2A"/>
    <w:rsid w:val="00125AEC"/>
    <w:rsid w:val="00125EBE"/>
    <w:rsid w:val="00126AB2"/>
    <w:rsid w:val="00130DDC"/>
    <w:rsid w:val="0013300B"/>
    <w:rsid w:val="0013343F"/>
    <w:rsid w:val="00135521"/>
    <w:rsid w:val="00136066"/>
    <w:rsid w:val="0014030A"/>
    <w:rsid w:val="001409CB"/>
    <w:rsid w:val="00140FD2"/>
    <w:rsid w:val="00141341"/>
    <w:rsid w:val="00141DC6"/>
    <w:rsid w:val="0014398E"/>
    <w:rsid w:val="00144263"/>
    <w:rsid w:val="00144F9B"/>
    <w:rsid w:val="001474EA"/>
    <w:rsid w:val="001478E2"/>
    <w:rsid w:val="00147E68"/>
    <w:rsid w:val="00150539"/>
    <w:rsid w:val="001511D3"/>
    <w:rsid w:val="00151796"/>
    <w:rsid w:val="0015237B"/>
    <w:rsid w:val="00152F00"/>
    <w:rsid w:val="00154B75"/>
    <w:rsid w:val="001553DE"/>
    <w:rsid w:val="00155F8E"/>
    <w:rsid w:val="001563DB"/>
    <w:rsid w:val="001568FC"/>
    <w:rsid w:val="00156F24"/>
    <w:rsid w:val="00156F64"/>
    <w:rsid w:val="00157310"/>
    <w:rsid w:val="0015747C"/>
    <w:rsid w:val="00157624"/>
    <w:rsid w:val="00157E25"/>
    <w:rsid w:val="001603A5"/>
    <w:rsid w:val="00160BD1"/>
    <w:rsid w:val="0016186F"/>
    <w:rsid w:val="00162656"/>
    <w:rsid w:val="001649BB"/>
    <w:rsid w:val="00164BCA"/>
    <w:rsid w:val="001662E7"/>
    <w:rsid w:val="00167D19"/>
    <w:rsid w:val="00170C2B"/>
    <w:rsid w:val="00170F96"/>
    <w:rsid w:val="001713B5"/>
    <w:rsid w:val="00171443"/>
    <w:rsid w:val="00172379"/>
    <w:rsid w:val="0017261F"/>
    <w:rsid w:val="0017338D"/>
    <w:rsid w:val="00173875"/>
    <w:rsid w:val="00173A14"/>
    <w:rsid w:val="00174881"/>
    <w:rsid w:val="001754B8"/>
    <w:rsid w:val="0017557C"/>
    <w:rsid w:val="0017736B"/>
    <w:rsid w:val="0017766D"/>
    <w:rsid w:val="0017767B"/>
    <w:rsid w:val="00177DFC"/>
    <w:rsid w:val="001810EC"/>
    <w:rsid w:val="00181969"/>
    <w:rsid w:val="00181B91"/>
    <w:rsid w:val="00181C9A"/>
    <w:rsid w:val="00182B02"/>
    <w:rsid w:val="001838CA"/>
    <w:rsid w:val="00184829"/>
    <w:rsid w:val="00184C77"/>
    <w:rsid w:val="00185B2E"/>
    <w:rsid w:val="00190354"/>
    <w:rsid w:val="001905FB"/>
    <w:rsid w:val="00190DBE"/>
    <w:rsid w:val="00190F00"/>
    <w:rsid w:val="00191D6B"/>
    <w:rsid w:val="001926A8"/>
    <w:rsid w:val="001937D7"/>
    <w:rsid w:val="00193A33"/>
    <w:rsid w:val="00193C22"/>
    <w:rsid w:val="00194BD7"/>
    <w:rsid w:val="00194C45"/>
    <w:rsid w:val="0019560F"/>
    <w:rsid w:val="00195C5D"/>
    <w:rsid w:val="001968F8"/>
    <w:rsid w:val="00196C3F"/>
    <w:rsid w:val="00197C6B"/>
    <w:rsid w:val="00197F79"/>
    <w:rsid w:val="001A0061"/>
    <w:rsid w:val="001A02A1"/>
    <w:rsid w:val="001A08D7"/>
    <w:rsid w:val="001A1DDF"/>
    <w:rsid w:val="001A2122"/>
    <w:rsid w:val="001A3348"/>
    <w:rsid w:val="001A4A7A"/>
    <w:rsid w:val="001A4E61"/>
    <w:rsid w:val="001A4F19"/>
    <w:rsid w:val="001A516A"/>
    <w:rsid w:val="001A56C0"/>
    <w:rsid w:val="001A72AA"/>
    <w:rsid w:val="001B0A29"/>
    <w:rsid w:val="001B19F5"/>
    <w:rsid w:val="001B1AB6"/>
    <w:rsid w:val="001B24C4"/>
    <w:rsid w:val="001B2A92"/>
    <w:rsid w:val="001B2D37"/>
    <w:rsid w:val="001B33A2"/>
    <w:rsid w:val="001B3F67"/>
    <w:rsid w:val="001B57F2"/>
    <w:rsid w:val="001B5ED0"/>
    <w:rsid w:val="001B68D3"/>
    <w:rsid w:val="001B6C09"/>
    <w:rsid w:val="001C1B76"/>
    <w:rsid w:val="001C380E"/>
    <w:rsid w:val="001C7C9E"/>
    <w:rsid w:val="001C7CF0"/>
    <w:rsid w:val="001D18D5"/>
    <w:rsid w:val="001D2CDB"/>
    <w:rsid w:val="001D3BA5"/>
    <w:rsid w:val="001D59FC"/>
    <w:rsid w:val="001D6067"/>
    <w:rsid w:val="001D6199"/>
    <w:rsid w:val="001E04AD"/>
    <w:rsid w:val="001E2E6E"/>
    <w:rsid w:val="001E2EED"/>
    <w:rsid w:val="001E301C"/>
    <w:rsid w:val="001E4F60"/>
    <w:rsid w:val="001E4FCB"/>
    <w:rsid w:val="001E5D22"/>
    <w:rsid w:val="001E6FBE"/>
    <w:rsid w:val="001E7286"/>
    <w:rsid w:val="001F1085"/>
    <w:rsid w:val="001F10CD"/>
    <w:rsid w:val="001F1A57"/>
    <w:rsid w:val="001F417A"/>
    <w:rsid w:val="001F525F"/>
    <w:rsid w:val="001F54F9"/>
    <w:rsid w:val="00202D21"/>
    <w:rsid w:val="00203300"/>
    <w:rsid w:val="00203A47"/>
    <w:rsid w:val="002042C8"/>
    <w:rsid w:val="002048B0"/>
    <w:rsid w:val="00205720"/>
    <w:rsid w:val="00206387"/>
    <w:rsid w:val="00207532"/>
    <w:rsid w:val="00211353"/>
    <w:rsid w:val="0021275F"/>
    <w:rsid w:val="00213B60"/>
    <w:rsid w:val="00214E49"/>
    <w:rsid w:val="00214F13"/>
    <w:rsid w:val="002160C5"/>
    <w:rsid w:val="00216A17"/>
    <w:rsid w:val="00216DC5"/>
    <w:rsid w:val="00217937"/>
    <w:rsid w:val="00220272"/>
    <w:rsid w:val="00220E07"/>
    <w:rsid w:val="0022149E"/>
    <w:rsid w:val="0022369E"/>
    <w:rsid w:val="0022623D"/>
    <w:rsid w:val="00230E35"/>
    <w:rsid w:val="00231EB9"/>
    <w:rsid w:val="0023232E"/>
    <w:rsid w:val="0023313A"/>
    <w:rsid w:val="00233AA9"/>
    <w:rsid w:val="00233BE2"/>
    <w:rsid w:val="00235561"/>
    <w:rsid w:val="00235AAF"/>
    <w:rsid w:val="002365D7"/>
    <w:rsid w:val="002409EC"/>
    <w:rsid w:val="0024180C"/>
    <w:rsid w:val="00241ACC"/>
    <w:rsid w:val="00242AE7"/>
    <w:rsid w:val="002432C1"/>
    <w:rsid w:val="00246A25"/>
    <w:rsid w:val="00247B7C"/>
    <w:rsid w:val="00247EE6"/>
    <w:rsid w:val="002528D5"/>
    <w:rsid w:val="00252940"/>
    <w:rsid w:val="00253E53"/>
    <w:rsid w:val="00254D20"/>
    <w:rsid w:val="00254E00"/>
    <w:rsid w:val="00255C1C"/>
    <w:rsid w:val="00260527"/>
    <w:rsid w:val="00260C3C"/>
    <w:rsid w:val="00260C6D"/>
    <w:rsid w:val="00260DC5"/>
    <w:rsid w:val="0026284B"/>
    <w:rsid w:val="00263DFB"/>
    <w:rsid w:val="0026467D"/>
    <w:rsid w:val="0026587A"/>
    <w:rsid w:val="00265EAC"/>
    <w:rsid w:val="002668ED"/>
    <w:rsid w:val="00266CA2"/>
    <w:rsid w:val="00266EE4"/>
    <w:rsid w:val="00267F54"/>
    <w:rsid w:val="00270E37"/>
    <w:rsid w:val="002714F1"/>
    <w:rsid w:val="0027173E"/>
    <w:rsid w:val="00271BFF"/>
    <w:rsid w:val="0027249C"/>
    <w:rsid w:val="00273214"/>
    <w:rsid w:val="0027511D"/>
    <w:rsid w:val="0027624F"/>
    <w:rsid w:val="002772F8"/>
    <w:rsid w:val="00277F15"/>
    <w:rsid w:val="0028094A"/>
    <w:rsid w:val="00282988"/>
    <w:rsid w:val="00285565"/>
    <w:rsid w:val="00286050"/>
    <w:rsid w:val="00286FA3"/>
    <w:rsid w:val="00287047"/>
    <w:rsid w:val="002871DB"/>
    <w:rsid w:val="002900DB"/>
    <w:rsid w:val="002910F9"/>
    <w:rsid w:val="002920F6"/>
    <w:rsid w:val="00292487"/>
    <w:rsid w:val="0029251E"/>
    <w:rsid w:val="00292BA2"/>
    <w:rsid w:val="0029306E"/>
    <w:rsid w:val="002934ED"/>
    <w:rsid w:val="00293623"/>
    <w:rsid w:val="002943D0"/>
    <w:rsid w:val="00294A72"/>
    <w:rsid w:val="002A089C"/>
    <w:rsid w:val="002A0AD1"/>
    <w:rsid w:val="002A1EE9"/>
    <w:rsid w:val="002A2D8E"/>
    <w:rsid w:val="002A3A75"/>
    <w:rsid w:val="002A4B39"/>
    <w:rsid w:val="002A5274"/>
    <w:rsid w:val="002B01D2"/>
    <w:rsid w:val="002B1057"/>
    <w:rsid w:val="002B20F3"/>
    <w:rsid w:val="002B2508"/>
    <w:rsid w:val="002B36D3"/>
    <w:rsid w:val="002B77F0"/>
    <w:rsid w:val="002B7FA0"/>
    <w:rsid w:val="002C1003"/>
    <w:rsid w:val="002C1E96"/>
    <w:rsid w:val="002C244F"/>
    <w:rsid w:val="002C2921"/>
    <w:rsid w:val="002C2E45"/>
    <w:rsid w:val="002C4CCC"/>
    <w:rsid w:val="002C4CF3"/>
    <w:rsid w:val="002C50E7"/>
    <w:rsid w:val="002C613D"/>
    <w:rsid w:val="002C6D92"/>
    <w:rsid w:val="002C72DB"/>
    <w:rsid w:val="002C76E2"/>
    <w:rsid w:val="002D1466"/>
    <w:rsid w:val="002D378B"/>
    <w:rsid w:val="002D4275"/>
    <w:rsid w:val="002D4C98"/>
    <w:rsid w:val="002D5EE2"/>
    <w:rsid w:val="002D6907"/>
    <w:rsid w:val="002D7F9A"/>
    <w:rsid w:val="002E0080"/>
    <w:rsid w:val="002E020B"/>
    <w:rsid w:val="002E3C03"/>
    <w:rsid w:val="002E62BA"/>
    <w:rsid w:val="002E774C"/>
    <w:rsid w:val="002E7FE9"/>
    <w:rsid w:val="002F0C3A"/>
    <w:rsid w:val="002F1540"/>
    <w:rsid w:val="002F282A"/>
    <w:rsid w:val="002F2BC1"/>
    <w:rsid w:val="002F2D5D"/>
    <w:rsid w:val="002F38DA"/>
    <w:rsid w:val="002F3BF8"/>
    <w:rsid w:val="002F42AB"/>
    <w:rsid w:val="00302021"/>
    <w:rsid w:val="00302180"/>
    <w:rsid w:val="003025D8"/>
    <w:rsid w:val="00302EC4"/>
    <w:rsid w:val="003046A6"/>
    <w:rsid w:val="00305AC6"/>
    <w:rsid w:val="00307D99"/>
    <w:rsid w:val="00310E23"/>
    <w:rsid w:val="00312E38"/>
    <w:rsid w:val="00313731"/>
    <w:rsid w:val="0031660A"/>
    <w:rsid w:val="00316EAB"/>
    <w:rsid w:val="0031706A"/>
    <w:rsid w:val="003179C0"/>
    <w:rsid w:val="00317FB8"/>
    <w:rsid w:val="003209A6"/>
    <w:rsid w:val="00321714"/>
    <w:rsid w:val="003226C8"/>
    <w:rsid w:val="003226CF"/>
    <w:rsid w:val="0032327D"/>
    <w:rsid w:val="003235CA"/>
    <w:rsid w:val="00324E34"/>
    <w:rsid w:val="003259B0"/>
    <w:rsid w:val="00326690"/>
    <w:rsid w:val="00330023"/>
    <w:rsid w:val="00330150"/>
    <w:rsid w:val="003324F9"/>
    <w:rsid w:val="00332E27"/>
    <w:rsid w:val="00336EF3"/>
    <w:rsid w:val="00337453"/>
    <w:rsid w:val="00337501"/>
    <w:rsid w:val="00340941"/>
    <w:rsid w:val="00340CC1"/>
    <w:rsid w:val="003425CD"/>
    <w:rsid w:val="00343930"/>
    <w:rsid w:val="00344291"/>
    <w:rsid w:val="00344F21"/>
    <w:rsid w:val="003459F0"/>
    <w:rsid w:val="00346295"/>
    <w:rsid w:val="00346825"/>
    <w:rsid w:val="00347E05"/>
    <w:rsid w:val="00347E2C"/>
    <w:rsid w:val="00350FE2"/>
    <w:rsid w:val="003517EE"/>
    <w:rsid w:val="003519FE"/>
    <w:rsid w:val="00351A21"/>
    <w:rsid w:val="00352798"/>
    <w:rsid w:val="00353221"/>
    <w:rsid w:val="003535AE"/>
    <w:rsid w:val="00353850"/>
    <w:rsid w:val="00353C6C"/>
    <w:rsid w:val="00354CBE"/>
    <w:rsid w:val="00355A9D"/>
    <w:rsid w:val="00355E04"/>
    <w:rsid w:val="003571D8"/>
    <w:rsid w:val="003604F8"/>
    <w:rsid w:val="00360C11"/>
    <w:rsid w:val="003613C4"/>
    <w:rsid w:val="0036186E"/>
    <w:rsid w:val="00361D07"/>
    <w:rsid w:val="003625BC"/>
    <w:rsid w:val="003635EE"/>
    <w:rsid w:val="00363961"/>
    <w:rsid w:val="00363C2D"/>
    <w:rsid w:val="00366612"/>
    <w:rsid w:val="00367244"/>
    <w:rsid w:val="00370867"/>
    <w:rsid w:val="003722F5"/>
    <w:rsid w:val="00372454"/>
    <w:rsid w:val="00373090"/>
    <w:rsid w:val="00373446"/>
    <w:rsid w:val="00373B0A"/>
    <w:rsid w:val="00375D5E"/>
    <w:rsid w:val="0037611A"/>
    <w:rsid w:val="00376B32"/>
    <w:rsid w:val="003806AB"/>
    <w:rsid w:val="00381129"/>
    <w:rsid w:val="00382556"/>
    <w:rsid w:val="00383E05"/>
    <w:rsid w:val="00384A9A"/>
    <w:rsid w:val="00385819"/>
    <w:rsid w:val="00386748"/>
    <w:rsid w:val="0038674B"/>
    <w:rsid w:val="00387674"/>
    <w:rsid w:val="00387CFC"/>
    <w:rsid w:val="00390544"/>
    <w:rsid w:val="003905B4"/>
    <w:rsid w:val="00391D5F"/>
    <w:rsid w:val="00393721"/>
    <w:rsid w:val="00393CF2"/>
    <w:rsid w:val="00394116"/>
    <w:rsid w:val="003946DB"/>
    <w:rsid w:val="0039508D"/>
    <w:rsid w:val="00396438"/>
    <w:rsid w:val="00396D64"/>
    <w:rsid w:val="0039769C"/>
    <w:rsid w:val="003A2958"/>
    <w:rsid w:val="003A3005"/>
    <w:rsid w:val="003A305A"/>
    <w:rsid w:val="003A45E8"/>
    <w:rsid w:val="003A6AB1"/>
    <w:rsid w:val="003A6E96"/>
    <w:rsid w:val="003A6EBB"/>
    <w:rsid w:val="003A78B0"/>
    <w:rsid w:val="003B218F"/>
    <w:rsid w:val="003B22B4"/>
    <w:rsid w:val="003B2D6A"/>
    <w:rsid w:val="003B49B9"/>
    <w:rsid w:val="003B4FE4"/>
    <w:rsid w:val="003B65F5"/>
    <w:rsid w:val="003B795A"/>
    <w:rsid w:val="003C0C9F"/>
    <w:rsid w:val="003C1D51"/>
    <w:rsid w:val="003C1E3C"/>
    <w:rsid w:val="003C240D"/>
    <w:rsid w:val="003C4743"/>
    <w:rsid w:val="003C556E"/>
    <w:rsid w:val="003C6423"/>
    <w:rsid w:val="003D0D2C"/>
    <w:rsid w:val="003D1190"/>
    <w:rsid w:val="003D1F0D"/>
    <w:rsid w:val="003D3226"/>
    <w:rsid w:val="003D383F"/>
    <w:rsid w:val="003D3B3C"/>
    <w:rsid w:val="003D53D4"/>
    <w:rsid w:val="003E0E02"/>
    <w:rsid w:val="003E1068"/>
    <w:rsid w:val="003E2E76"/>
    <w:rsid w:val="003E2F4A"/>
    <w:rsid w:val="003E5506"/>
    <w:rsid w:val="003E6724"/>
    <w:rsid w:val="003E6917"/>
    <w:rsid w:val="003E6B04"/>
    <w:rsid w:val="003E78DD"/>
    <w:rsid w:val="003E7FFA"/>
    <w:rsid w:val="003F05A3"/>
    <w:rsid w:val="003F0AD5"/>
    <w:rsid w:val="003F0C60"/>
    <w:rsid w:val="003F17F8"/>
    <w:rsid w:val="003F2210"/>
    <w:rsid w:val="003F23F4"/>
    <w:rsid w:val="003F39E2"/>
    <w:rsid w:val="003F3EF1"/>
    <w:rsid w:val="003F41B1"/>
    <w:rsid w:val="003F6C81"/>
    <w:rsid w:val="003F773A"/>
    <w:rsid w:val="003F7C2C"/>
    <w:rsid w:val="0040051F"/>
    <w:rsid w:val="00400AC5"/>
    <w:rsid w:val="004014DF"/>
    <w:rsid w:val="00403F5F"/>
    <w:rsid w:val="004049E8"/>
    <w:rsid w:val="00404C82"/>
    <w:rsid w:val="004053AE"/>
    <w:rsid w:val="00405B47"/>
    <w:rsid w:val="00406D12"/>
    <w:rsid w:val="004079A5"/>
    <w:rsid w:val="004079B7"/>
    <w:rsid w:val="00411324"/>
    <w:rsid w:val="00411645"/>
    <w:rsid w:val="0041335D"/>
    <w:rsid w:val="00414D1D"/>
    <w:rsid w:val="00414E80"/>
    <w:rsid w:val="0041573C"/>
    <w:rsid w:val="004169A8"/>
    <w:rsid w:val="00416CC8"/>
    <w:rsid w:val="00416EFB"/>
    <w:rsid w:val="00421EF2"/>
    <w:rsid w:val="00423719"/>
    <w:rsid w:val="00424F9B"/>
    <w:rsid w:val="00425231"/>
    <w:rsid w:val="00426DE1"/>
    <w:rsid w:val="0043087F"/>
    <w:rsid w:val="0043165C"/>
    <w:rsid w:val="0043333C"/>
    <w:rsid w:val="0043379F"/>
    <w:rsid w:val="00433B56"/>
    <w:rsid w:val="00434293"/>
    <w:rsid w:val="00434B57"/>
    <w:rsid w:val="004354B1"/>
    <w:rsid w:val="00435FD9"/>
    <w:rsid w:val="00437F8B"/>
    <w:rsid w:val="0044005B"/>
    <w:rsid w:val="004404EE"/>
    <w:rsid w:val="00440733"/>
    <w:rsid w:val="00440F93"/>
    <w:rsid w:val="00442EB2"/>
    <w:rsid w:val="0044492A"/>
    <w:rsid w:val="004464CC"/>
    <w:rsid w:val="0045039F"/>
    <w:rsid w:val="004503D0"/>
    <w:rsid w:val="00452652"/>
    <w:rsid w:val="004532C6"/>
    <w:rsid w:val="00453811"/>
    <w:rsid w:val="004538EC"/>
    <w:rsid w:val="00453F49"/>
    <w:rsid w:val="004547F6"/>
    <w:rsid w:val="00455634"/>
    <w:rsid w:val="00457141"/>
    <w:rsid w:val="00457556"/>
    <w:rsid w:val="00462ECC"/>
    <w:rsid w:val="00464225"/>
    <w:rsid w:val="00464A96"/>
    <w:rsid w:val="00465C51"/>
    <w:rsid w:val="004665BD"/>
    <w:rsid w:val="004679A6"/>
    <w:rsid w:val="00467D9B"/>
    <w:rsid w:val="0047091A"/>
    <w:rsid w:val="0047278E"/>
    <w:rsid w:val="004728F1"/>
    <w:rsid w:val="00472F91"/>
    <w:rsid w:val="00473826"/>
    <w:rsid w:val="00473D95"/>
    <w:rsid w:val="00474777"/>
    <w:rsid w:val="00475D23"/>
    <w:rsid w:val="00476E27"/>
    <w:rsid w:val="00484F3C"/>
    <w:rsid w:val="004857E7"/>
    <w:rsid w:val="00486B68"/>
    <w:rsid w:val="0048744A"/>
    <w:rsid w:val="00487D29"/>
    <w:rsid w:val="004900D2"/>
    <w:rsid w:val="00490F96"/>
    <w:rsid w:val="00491087"/>
    <w:rsid w:val="004917F5"/>
    <w:rsid w:val="00493D91"/>
    <w:rsid w:val="00495A5A"/>
    <w:rsid w:val="00496236"/>
    <w:rsid w:val="004973C8"/>
    <w:rsid w:val="004977EF"/>
    <w:rsid w:val="004A0898"/>
    <w:rsid w:val="004A2816"/>
    <w:rsid w:val="004A2E1E"/>
    <w:rsid w:val="004A2EEF"/>
    <w:rsid w:val="004A465F"/>
    <w:rsid w:val="004A5A89"/>
    <w:rsid w:val="004A6BA7"/>
    <w:rsid w:val="004A7638"/>
    <w:rsid w:val="004B015C"/>
    <w:rsid w:val="004B14F9"/>
    <w:rsid w:val="004B1B27"/>
    <w:rsid w:val="004B1C5F"/>
    <w:rsid w:val="004B1F68"/>
    <w:rsid w:val="004B1FAF"/>
    <w:rsid w:val="004B2D5B"/>
    <w:rsid w:val="004B3CEA"/>
    <w:rsid w:val="004B5342"/>
    <w:rsid w:val="004B585C"/>
    <w:rsid w:val="004B71D6"/>
    <w:rsid w:val="004B74C5"/>
    <w:rsid w:val="004B7EB0"/>
    <w:rsid w:val="004C09DA"/>
    <w:rsid w:val="004C2763"/>
    <w:rsid w:val="004C2795"/>
    <w:rsid w:val="004C3852"/>
    <w:rsid w:val="004C5C7E"/>
    <w:rsid w:val="004C6253"/>
    <w:rsid w:val="004C6D58"/>
    <w:rsid w:val="004C70CC"/>
    <w:rsid w:val="004C7725"/>
    <w:rsid w:val="004D1693"/>
    <w:rsid w:val="004D20EF"/>
    <w:rsid w:val="004D3335"/>
    <w:rsid w:val="004D3A89"/>
    <w:rsid w:val="004D4C70"/>
    <w:rsid w:val="004D4FDA"/>
    <w:rsid w:val="004D53C4"/>
    <w:rsid w:val="004D6030"/>
    <w:rsid w:val="004D7437"/>
    <w:rsid w:val="004D762A"/>
    <w:rsid w:val="004D77C9"/>
    <w:rsid w:val="004E0239"/>
    <w:rsid w:val="004E0EB2"/>
    <w:rsid w:val="004E1C6D"/>
    <w:rsid w:val="004E2420"/>
    <w:rsid w:val="004E3186"/>
    <w:rsid w:val="004E3664"/>
    <w:rsid w:val="004E4CEA"/>
    <w:rsid w:val="004E5CC9"/>
    <w:rsid w:val="004E6002"/>
    <w:rsid w:val="004E6107"/>
    <w:rsid w:val="004E643E"/>
    <w:rsid w:val="004E6E47"/>
    <w:rsid w:val="004E77A7"/>
    <w:rsid w:val="004F0B79"/>
    <w:rsid w:val="004F15CF"/>
    <w:rsid w:val="004F1783"/>
    <w:rsid w:val="004F1A0B"/>
    <w:rsid w:val="004F1EF6"/>
    <w:rsid w:val="004F382F"/>
    <w:rsid w:val="004F443A"/>
    <w:rsid w:val="004F4641"/>
    <w:rsid w:val="004F5591"/>
    <w:rsid w:val="004F6585"/>
    <w:rsid w:val="004F6A78"/>
    <w:rsid w:val="004F6C84"/>
    <w:rsid w:val="004F7534"/>
    <w:rsid w:val="004F7A23"/>
    <w:rsid w:val="005007A2"/>
    <w:rsid w:val="00501729"/>
    <w:rsid w:val="00501C12"/>
    <w:rsid w:val="0050406F"/>
    <w:rsid w:val="00505180"/>
    <w:rsid w:val="00506818"/>
    <w:rsid w:val="005102C3"/>
    <w:rsid w:val="00511B10"/>
    <w:rsid w:val="00512DC7"/>
    <w:rsid w:val="005131F0"/>
    <w:rsid w:val="005136A2"/>
    <w:rsid w:val="00513C21"/>
    <w:rsid w:val="005144C2"/>
    <w:rsid w:val="00514B2A"/>
    <w:rsid w:val="00515C2B"/>
    <w:rsid w:val="00520D6A"/>
    <w:rsid w:val="005241F9"/>
    <w:rsid w:val="00524C67"/>
    <w:rsid w:val="0052595E"/>
    <w:rsid w:val="00526151"/>
    <w:rsid w:val="00526B10"/>
    <w:rsid w:val="00526C2D"/>
    <w:rsid w:val="00526CBC"/>
    <w:rsid w:val="00527081"/>
    <w:rsid w:val="0053073F"/>
    <w:rsid w:val="0053083F"/>
    <w:rsid w:val="00530A46"/>
    <w:rsid w:val="00531EDB"/>
    <w:rsid w:val="00532765"/>
    <w:rsid w:val="00533706"/>
    <w:rsid w:val="00533C6E"/>
    <w:rsid w:val="0053418B"/>
    <w:rsid w:val="00535EB4"/>
    <w:rsid w:val="00536B72"/>
    <w:rsid w:val="00537289"/>
    <w:rsid w:val="00537732"/>
    <w:rsid w:val="0054373D"/>
    <w:rsid w:val="0054416C"/>
    <w:rsid w:val="00544202"/>
    <w:rsid w:val="0054427F"/>
    <w:rsid w:val="00544A3B"/>
    <w:rsid w:val="00544C70"/>
    <w:rsid w:val="00544DD6"/>
    <w:rsid w:val="00545C67"/>
    <w:rsid w:val="00545F0C"/>
    <w:rsid w:val="00545F52"/>
    <w:rsid w:val="00546871"/>
    <w:rsid w:val="00546EB3"/>
    <w:rsid w:val="00546F2D"/>
    <w:rsid w:val="00550800"/>
    <w:rsid w:val="00551600"/>
    <w:rsid w:val="00551E9C"/>
    <w:rsid w:val="00552269"/>
    <w:rsid w:val="00554A69"/>
    <w:rsid w:val="005551D9"/>
    <w:rsid w:val="00555BDE"/>
    <w:rsid w:val="005562DA"/>
    <w:rsid w:val="0055643B"/>
    <w:rsid w:val="00556AF6"/>
    <w:rsid w:val="00560DD9"/>
    <w:rsid w:val="00562555"/>
    <w:rsid w:val="0056375B"/>
    <w:rsid w:val="00563DF7"/>
    <w:rsid w:val="00567B61"/>
    <w:rsid w:val="0057021D"/>
    <w:rsid w:val="005708A8"/>
    <w:rsid w:val="005710EE"/>
    <w:rsid w:val="005712DA"/>
    <w:rsid w:val="0057137E"/>
    <w:rsid w:val="00572448"/>
    <w:rsid w:val="005727C3"/>
    <w:rsid w:val="00575E07"/>
    <w:rsid w:val="005764F4"/>
    <w:rsid w:val="0057689F"/>
    <w:rsid w:val="0057728B"/>
    <w:rsid w:val="005778A7"/>
    <w:rsid w:val="00577F16"/>
    <w:rsid w:val="005809EC"/>
    <w:rsid w:val="00580F15"/>
    <w:rsid w:val="005811F1"/>
    <w:rsid w:val="005827E8"/>
    <w:rsid w:val="00582949"/>
    <w:rsid w:val="0058402B"/>
    <w:rsid w:val="005847D9"/>
    <w:rsid w:val="0058694C"/>
    <w:rsid w:val="00586954"/>
    <w:rsid w:val="00586D9E"/>
    <w:rsid w:val="00587311"/>
    <w:rsid w:val="00590542"/>
    <w:rsid w:val="00590905"/>
    <w:rsid w:val="005913CF"/>
    <w:rsid w:val="005916AE"/>
    <w:rsid w:val="00593649"/>
    <w:rsid w:val="00593804"/>
    <w:rsid w:val="00594247"/>
    <w:rsid w:val="0059456E"/>
    <w:rsid w:val="005958BC"/>
    <w:rsid w:val="00595FEB"/>
    <w:rsid w:val="0059637A"/>
    <w:rsid w:val="0059652A"/>
    <w:rsid w:val="0059691E"/>
    <w:rsid w:val="005A1656"/>
    <w:rsid w:val="005A224D"/>
    <w:rsid w:val="005A4136"/>
    <w:rsid w:val="005A4890"/>
    <w:rsid w:val="005A4FC7"/>
    <w:rsid w:val="005A6579"/>
    <w:rsid w:val="005A67B2"/>
    <w:rsid w:val="005B00A2"/>
    <w:rsid w:val="005B0170"/>
    <w:rsid w:val="005B0DE7"/>
    <w:rsid w:val="005B1F64"/>
    <w:rsid w:val="005B3179"/>
    <w:rsid w:val="005B317F"/>
    <w:rsid w:val="005B3E21"/>
    <w:rsid w:val="005B42E4"/>
    <w:rsid w:val="005B5C4B"/>
    <w:rsid w:val="005B6B2B"/>
    <w:rsid w:val="005B76A0"/>
    <w:rsid w:val="005C0015"/>
    <w:rsid w:val="005C0734"/>
    <w:rsid w:val="005C09AB"/>
    <w:rsid w:val="005C1281"/>
    <w:rsid w:val="005C321C"/>
    <w:rsid w:val="005C457C"/>
    <w:rsid w:val="005C49C0"/>
    <w:rsid w:val="005C4F3E"/>
    <w:rsid w:val="005C5620"/>
    <w:rsid w:val="005C5E17"/>
    <w:rsid w:val="005C5FE6"/>
    <w:rsid w:val="005C658D"/>
    <w:rsid w:val="005C6EA3"/>
    <w:rsid w:val="005C7644"/>
    <w:rsid w:val="005D0D2A"/>
    <w:rsid w:val="005D2453"/>
    <w:rsid w:val="005D49AE"/>
    <w:rsid w:val="005D4C58"/>
    <w:rsid w:val="005D610D"/>
    <w:rsid w:val="005D6A44"/>
    <w:rsid w:val="005D6C95"/>
    <w:rsid w:val="005D7FF2"/>
    <w:rsid w:val="005E0188"/>
    <w:rsid w:val="005E112D"/>
    <w:rsid w:val="005E15FD"/>
    <w:rsid w:val="005E21F9"/>
    <w:rsid w:val="005E248D"/>
    <w:rsid w:val="005E2777"/>
    <w:rsid w:val="005E4F98"/>
    <w:rsid w:val="005E53DF"/>
    <w:rsid w:val="005E6B7A"/>
    <w:rsid w:val="005E7989"/>
    <w:rsid w:val="005E7C3B"/>
    <w:rsid w:val="005E7DD0"/>
    <w:rsid w:val="005E7F97"/>
    <w:rsid w:val="005F0B6B"/>
    <w:rsid w:val="005F0C85"/>
    <w:rsid w:val="005F2A60"/>
    <w:rsid w:val="005F416B"/>
    <w:rsid w:val="005F481C"/>
    <w:rsid w:val="005F4B6B"/>
    <w:rsid w:val="005F4C96"/>
    <w:rsid w:val="005F5952"/>
    <w:rsid w:val="005F6D54"/>
    <w:rsid w:val="005F75C7"/>
    <w:rsid w:val="006005C6"/>
    <w:rsid w:val="00600732"/>
    <w:rsid w:val="00600AB9"/>
    <w:rsid w:val="00600D7A"/>
    <w:rsid w:val="00601FEB"/>
    <w:rsid w:val="0060208C"/>
    <w:rsid w:val="00602432"/>
    <w:rsid w:val="00603ADC"/>
    <w:rsid w:val="0060478B"/>
    <w:rsid w:val="0060539C"/>
    <w:rsid w:val="00606EB6"/>
    <w:rsid w:val="006071C3"/>
    <w:rsid w:val="00607CF6"/>
    <w:rsid w:val="006103BD"/>
    <w:rsid w:val="00610589"/>
    <w:rsid w:val="006135B8"/>
    <w:rsid w:val="00615441"/>
    <w:rsid w:val="006155C2"/>
    <w:rsid w:val="0061561E"/>
    <w:rsid w:val="0061731C"/>
    <w:rsid w:val="00620B16"/>
    <w:rsid w:val="00621215"/>
    <w:rsid w:val="00621BC3"/>
    <w:rsid w:val="0062225B"/>
    <w:rsid w:val="0062240B"/>
    <w:rsid w:val="00623743"/>
    <w:rsid w:val="00624791"/>
    <w:rsid w:val="0062579E"/>
    <w:rsid w:val="0062664B"/>
    <w:rsid w:val="00630F82"/>
    <w:rsid w:val="00632195"/>
    <w:rsid w:val="00632C51"/>
    <w:rsid w:val="00634698"/>
    <w:rsid w:val="00634F56"/>
    <w:rsid w:val="00635733"/>
    <w:rsid w:val="00636213"/>
    <w:rsid w:val="0063695F"/>
    <w:rsid w:val="006374B5"/>
    <w:rsid w:val="006379FE"/>
    <w:rsid w:val="00640554"/>
    <w:rsid w:val="00640C86"/>
    <w:rsid w:val="00641014"/>
    <w:rsid w:val="00641DE1"/>
    <w:rsid w:val="00641EB3"/>
    <w:rsid w:val="0064222A"/>
    <w:rsid w:val="006424D9"/>
    <w:rsid w:val="00642A81"/>
    <w:rsid w:val="00643B76"/>
    <w:rsid w:val="00645B58"/>
    <w:rsid w:val="00647BB5"/>
    <w:rsid w:val="00647E7E"/>
    <w:rsid w:val="006500D0"/>
    <w:rsid w:val="006503E8"/>
    <w:rsid w:val="0065210D"/>
    <w:rsid w:val="006527D6"/>
    <w:rsid w:val="0065408E"/>
    <w:rsid w:val="006540D7"/>
    <w:rsid w:val="00657D4B"/>
    <w:rsid w:val="00657F22"/>
    <w:rsid w:val="0066053A"/>
    <w:rsid w:val="00660803"/>
    <w:rsid w:val="006616EA"/>
    <w:rsid w:val="00662350"/>
    <w:rsid w:val="0066376C"/>
    <w:rsid w:val="0066432A"/>
    <w:rsid w:val="0066503B"/>
    <w:rsid w:val="006654CC"/>
    <w:rsid w:val="00665AF6"/>
    <w:rsid w:val="00666B96"/>
    <w:rsid w:val="006670EC"/>
    <w:rsid w:val="00670C59"/>
    <w:rsid w:val="006719C8"/>
    <w:rsid w:val="00671A1A"/>
    <w:rsid w:val="00672BFE"/>
    <w:rsid w:val="00674A98"/>
    <w:rsid w:val="00675106"/>
    <w:rsid w:val="00675C11"/>
    <w:rsid w:val="00675D20"/>
    <w:rsid w:val="00676725"/>
    <w:rsid w:val="00676835"/>
    <w:rsid w:val="006779C4"/>
    <w:rsid w:val="00677AC5"/>
    <w:rsid w:val="00681B39"/>
    <w:rsid w:val="00682154"/>
    <w:rsid w:val="00682EE5"/>
    <w:rsid w:val="0068300C"/>
    <w:rsid w:val="006839B4"/>
    <w:rsid w:val="0068431C"/>
    <w:rsid w:val="00684707"/>
    <w:rsid w:val="00685629"/>
    <w:rsid w:val="006867D6"/>
    <w:rsid w:val="00687E5E"/>
    <w:rsid w:val="006918F7"/>
    <w:rsid w:val="00691A7B"/>
    <w:rsid w:val="00691C4A"/>
    <w:rsid w:val="006921CD"/>
    <w:rsid w:val="00693EF8"/>
    <w:rsid w:val="00695F76"/>
    <w:rsid w:val="00697FC9"/>
    <w:rsid w:val="006A050B"/>
    <w:rsid w:val="006A0CE3"/>
    <w:rsid w:val="006A2178"/>
    <w:rsid w:val="006A666E"/>
    <w:rsid w:val="006A6919"/>
    <w:rsid w:val="006A69CF"/>
    <w:rsid w:val="006A7A7E"/>
    <w:rsid w:val="006B0195"/>
    <w:rsid w:val="006B0728"/>
    <w:rsid w:val="006B2998"/>
    <w:rsid w:val="006B2A82"/>
    <w:rsid w:val="006B2B89"/>
    <w:rsid w:val="006B3BDF"/>
    <w:rsid w:val="006B3C9A"/>
    <w:rsid w:val="006B45CE"/>
    <w:rsid w:val="006B4794"/>
    <w:rsid w:val="006B4807"/>
    <w:rsid w:val="006B5336"/>
    <w:rsid w:val="006B54EF"/>
    <w:rsid w:val="006B5D25"/>
    <w:rsid w:val="006B753F"/>
    <w:rsid w:val="006C1837"/>
    <w:rsid w:val="006C1BDA"/>
    <w:rsid w:val="006C2D7B"/>
    <w:rsid w:val="006C467A"/>
    <w:rsid w:val="006C5352"/>
    <w:rsid w:val="006C5830"/>
    <w:rsid w:val="006C5A19"/>
    <w:rsid w:val="006C61E2"/>
    <w:rsid w:val="006C62EC"/>
    <w:rsid w:val="006D0590"/>
    <w:rsid w:val="006D1468"/>
    <w:rsid w:val="006D2006"/>
    <w:rsid w:val="006D2C5A"/>
    <w:rsid w:val="006D35CE"/>
    <w:rsid w:val="006D4B15"/>
    <w:rsid w:val="006D5C9A"/>
    <w:rsid w:val="006D5EBC"/>
    <w:rsid w:val="006D60EA"/>
    <w:rsid w:val="006D6263"/>
    <w:rsid w:val="006D7CFD"/>
    <w:rsid w:val="006E068B"/>
    <w:rsid w:val="006E0F2F"/>
    <w:rsid w:val="006E10D0"/>
    <w:rsid w:val="006E3318"/>
    <w:rsid w:val="006E4C93"/>
    <w:rsid w:val="006E61D1"/>
    <w:rsid w:val="006F205F"/>
    <w:rsid w:val="006F25A0"/>
    <w:rsid w:val="006F52FB"/>
    <w:rsid w:val="006F5FF8"/>
    <w:rsid w:val="006F6138"/>
    <w:rsid w:val="006F6FDA"/>
    <w:rsid w:val="0070027F"/>
    <w:rsid w:val="00700E1D"/>
    <w:rsid w:val="00701B6B"/>
    <w:rsid w:val="007021B9"/>
    <w:rsid w:val="00703A7B"/>
    <w:rsid w:val="00704477"/>
    <w:rsid w:val="007051FF"/>
    <w:rsid w:val="007059FE"/>
    <w:rsid w:val="00705A98"/>
    <w:rsid w:val="00706170"/>
    <w:rsid w:val="0070631B"/>
    <w:rsid w:val="0070635C"/>
    <w:rsid w:val="00706786"/>
    <w:rsid w:val="007067C1"/>
    <w:rsid w:val="00706F99"/>
    <w:rsid w:val="00710397"/>
    <w:rsid w:val="007119C5"/>
    <w:rsid w:val="007140BF"/>
    <w:rsid w:val="00714721"/>
    <w:rsid w:val="007166AF"/>
    <w:rsid w:val="007169B2"/>
    <w:rsid w:val="00717097"/>
    <w:rsid w:val="00717F5D"/>
    <w:rsid w:val="007202EF"/>
    <w:rsid w:val="00721D68"/>
    <w:rsid w:val="00723107"/>
    <w:rsid w:val="0072358E"/>
    <w:rsid w:val="007236CD"/>
    <w:rsid w:val="00723712"/>
    <w:rsid w:val="00723961"/>
    <w:rsid w:val="007252C9"/>
    <w:rsid w:val="0072623C"/>
    <w:rsid w:val="0072734B"/>
    <w:rsid w:val="00727B9D"/>
    <w:rsid w:val="00730D14"/>
    <w:rsid w:val="0073152B"/>
    <w:rsid w:val="00731939"/>
    <w:rsid w:val="00734091"/>
    <w:rsid w:val="00736528"/>
    <w:rsid w:val="00736C47"/>
    <w:rsid w:val="00740102"/>
    <w:rsid w:val="00740938"/>
    <w:rsid w:val="00741178"/>
    <w:rsid w:val="00741C20"/>
    <w:rsid w:val="00741C62"/>
    <w:rsid w:val="00741F4A"/>
    <w:rsid w:val="00741FA5"/>
    <w:rsid w:val="0074246F"/>
    <w:rsid w:val="00742AF0"/>
    <w:rsid w:val="007435DB"/>
    <w:rsid w:val="007440F6"/>
    <w:rsid w:val="007444E9"/>
    <w:rsid w:val="00745AB6"/>
    <w:rsid w:val="00745B1B"/>
    <w:rsid w:val="00746141"/>
    <w:rsid w:val="00747A16"/>
    <w:rsid w:val="00747F22"/>
    <w:rsid w:val="007506AE"/>
    <w:rsid w:val="0075155A"/>
    <w:rsid w:val="00752894"/>
    <w:rsid w:val="007534CA"/>
    <w:rsid w:val="00753F5B"/>
    <w:rsid w:val="0075473B"/>
    <w:rsid w:val="00754F3F"/>
    <w:rsid w:val="007555B8"/>
    <w:rsid w:val="007558E7"/>
    <w:rsid w:val="00761071"/>
    <w:rsid w:val="00761589"/>
    <w:rsid w:val="007617F5"/>
    <w:rsid w:val="00761FC7"/>
    <w:rsid w:val="007629B3"/>
    <w:rsid w:val="00762A2E"/>
    <w:rsid w:val="00763283"/>
    <w:rsid w:val="00764CD6"/>
    <w:rsid w:val="00764E61"/>
    <w:rsid w:val="00764F1E"/>
    <w:rsid w:val="00766C7D"/>
    <w:rsid w:val="00770DA3"/>
    <w:rsid w:val="00772CC2"/>
    <w:rsid w:val="00773EC7"/>
    <w:rsid w:val="007749E2"/>
    <w:rsid w:val="00776C2D"/>
    <w:rsid w:val="00777EBB"/>
    <w:rsid w:val="007810A4"/>
    <w:rsid w:val="00782E13"/>
    <w:rsid w:val="0078479F"/>
    <w:rsid w:val="00786A1A"/>
    <w:rsid w:val="00786BA3"/>
    <w:rsid w:val="00786BF0"/>
    <w:rsid w:val="0079072C"/>
    <w:rsid w:val="00791F86"/>
    <w:rsid w:val="0079200C"/>
    <w:rsid w:val="007924C9"/>
    <w:rsid w:val="0079290A"/>
    <w:rsid w:val="00793D5F"/>
    <w:rsid w:val="007945D7"/>
    <w:rsid w:val="00794E38"/>
    <w:rsid w:val="0079689C"/>
    <w:rsid w:val="007A1252"/>
    <w:rsid w:val="007A17AE"/>
    <w:rsid w:val="007A2D3F"/>
    <w:rsid w:val="007A4BB9"/>
    <w:rsid w:val="007A5135"/>
    <w:rsid w:val="007A5245"/>
    <w:rsid w:val="007A5EE2"/>
    <w:rsid w:val="007A655A"/>
    <w:rsid w:val="007A69C0"/>
    <w:rsid w:val="007B134A"/>
    <w:rsid w:val="007B1D15"/>
    <w:rsid w:val="007B3023"/>
    <w:rsid w:val="007B44A8"/>
    <w:rsid w:val="007B5C43"/>
    <w:rsid w:val="007B79EA"/>
    <w:rsid w:val="007B7E93"/>
    <w:rsid w:val="007C082F"/>
    <w:rsid w:val="007C1000"/>
    <w:rsid w:val="007C1A38"/>
    <w:rsid w:val="007C1A51"/>
    <w:rsid w:val="007C33B6"/>
    <w:rsid w:val="007C6D59"/>
    <w:rsid w:val="007D02E6"/>
    <w:rsid w:val="007D0A93"/>
    <w:rsid w:val="007D0F7C"/>
    <w:rsid w:val="007D23FE"/>
    <w:rsid w:val="007D2DF5"/>
    <w:rsid w:val="007D459B"/>
    <w:rsid w:val="007D5129"/>
    <w:rsid w:val="007D60E7"/>
    <w:rsid w:val="007D634C"/>
    <w:rsid w:val="007D6839"/>
    <w:rsid w:val="007E04DE"/>
    <w:rsid w:val="007E2A8C"/>
    <w:rsid w:val="007E48C1"/>
    <w:rsid w:val="007E67EE"/>
    <w:rsid w:val="007E6C08"/>
    <w:rsid w:val="007E7FEC"/>
    <w:rsid w:val="007F008E"/>
    <w:rsid w:val="007F03CD"/>
    <w:rsid w:val="007F0839"/>
    <w:rsid w:val="007F0EDF"/>
    <w:rsid w:val="007F10E7"/>
    <w:rsid w:val="007F11C5"/>
    <w:rsid w:val="007F15D6"/>
    <w:rsid w:val="007F1F47"/>
    <w:rsid w:val="007F3061"/>
    <w:rsid w:val="007F3D55"/>
    <w:rsid w:val="007F427F"/>
    <w:rsid w:val="007F4343"/>
    <w:rsid w:val="007F4684"/>
    <w:rsid w:val="007F4ADC"/>
    <w:rsid w:val="007F639E"/>
    <w:rsid w:val="00801157"/>
    <w:rsid w:val="00801970"/>
    <w:rsid w:val="00801AE2"/>
    <w:rsid w:val="008023E6"/>
    <w:rsid w:val="00802B67"/>
    <w:rsid w:val="00805F1C"/>
    <w:rsid w:val="00806B68"/>
    <w:rsid w:val="00806BB9"/>
    <w:rsid w:val="008078B4"/>
    <w:rsid w:val="00810158"/>
    <w:rsid w:val="00813749"/>
    <w:rsid w:val="00813BDF"/>
    <w:rsid w:val="00813CFF"/>
    <w:rsid w:val="00814831"/>
    <w:rsid w:val="00815165"/>
    <w:rsid w:val="00817A64"/>
    <w:rsid w:val="0082011F"/>
    <w:rsid w:val="00821599"/>
    <w:rsid w:val="00821FFB"/>
    <w:rsid w:val="0082224E"/>
    <w:rsid w:val="008227ED"/>
    <w:rsid w:val="00826A9D"/>
    <w:rsid w:val="00830658"/>
    <w:rsid w:val="00831E44"/>
    <w:rsid w:val="00833522"/>
    <w:rsid w:val="00833985"/>
    <w:rsid w:val="0083399D"/>
    <w:rsid w:val="00834CD8"/>
    <w:rsid w:val="00835875"/>
    <w:rsid w:val="00837CF6"/>
    <w:rsid w:val="00837D24"/>
    <w:rsid w:val="0084110D"/>
    <w:rsid w:val="008430F8"/>
    <w:rsid w:val="008431FD"/>
    <w:rsid w:val="00844938"/>
    <w:rsid w:val="00845893"/>
    <w:rsid w:val="008500A1"/>
    <w:rsid w:val="008501ED"/>
    <w:rsid w:val="00850716"/>
    <w:rsid w:val="00850B1B"/>
    <w:rsid w:val="00851B1B"/>
    <w:rsid w:val="00852DD6"/>
    <w:rsid w:val="0085361E"/>
    <w:rsid w:val="00853A6B"/>
    <w:rsid w:val="00853BF4"/>
    <w:rsid w:val="00853C1A"/>
    <w:rsid w:val="008542A8"/>
    <w:rsid w:val="00854CBF"/>
    <w:rsid w:val="008553ED"/>
    <w:rsid w:val="00855D76"/>
    <w:rsid w:val="00855D86"/>
    <w:rsid w:val="0085696B"/>
    <w:rsid w:val="00857CD9"/>
    <w:rsid w:val="00860E9A"/>
    <w:rsid w:val="008620DD"/>
    <w:rsid w:val="00863ADA"/>
    <w:rsid w:val="00863BE8"/>
    <w:rsid w:val="00863EBB"/>
    <w:rsid w:val="0086562D"/>
    <w:rsid w:val="00865698"/>
    <w:rsid w:val="008657C0"/>
    <w:rsid w:val="0086583F"/>
    <w:rsid w:val="00865B8E"/>
    <w:rsid w:val="00865DA4"/>
    <w:rsid w:val="00866FCD"/>
    <w:rsid w:val="00867B6F"/>
    <w:rsid w:val="00870777"/>
    <w:rsid w:val="00871C4E"/>
    <w:rsid w:val="00871C73"/>
    <w:rsid w:val="0087330E"/>
    <w:rsid w:val="00873C53"/>
    <w:rsid w:val="00875862"/>
    <w:rsid w:val="00876349"/>
    <w:rsid w:val="00876CB5"/>
    <w:rsid w:val="00877A84"/>
    <w:rsid w:val="00880595"/>
    <w:rsid w:val="0088112D"/>
    <w:rsid w:val="00882BFC"/>
    <w:rsid w:val="00883226"/>
    <w:rsid w:val="0088468C"/>
    <w:rsid w:val="0088508C"/>
    <w:rsid w:val="0088576F"/>
    <w:rsid w:val="008866B6"/>
    <w:rsid w:val="00887316"/>
    <w:rsid w:val="00887342"/>
    <w:rsid w:val="008905D9"/>
    <w:rsid w:val="008925EB"/>
    <w:rsid w:val="00894347"/>
    <w:rsid w:val="00896151"/>
    <w:rsid w:val="00896347"/>
    <w:rsid w:val="008967A9"/>
    <w:rsid w:val="008A02F1"/>
    <w:rsid w:val="008A069A"/>
    <w:rsid w:val="008A195A"/>
    <w:rsid w:val="008A20C2"/>
    <w:rsid w:val="008A3531"/>
    <w:rsid w:val="008A35C2"/>
    <w:rsid w:val="008A360B"/>
    <w:rsid w:val="008A37D4"/>
    <w:rsid w:val="008A443B"/>
    <w:rsid w:val="008A4AE7"/>
    <w:rsid w:val="008A585B"/>
    <w:rsid w:val="008A5FB3"/>
    <w:rsid w:val="008A62A0"/>
    <w:rsid w:val="008A6485"/>
    <w:rsid w:val="008A69CB"/>
    <w:rsid w:val="008A752A"/>
    <w:rsid w:val="008B4852"/>
    <w:rsid w:val="008B532A"/>
    <w:rsid w:val="008B569A"/>
    <w:rsid w:val="008B5DD9"/>
    <w:rsid w:val="008B6380"/>
    <w:rsid w:val="008B7212"/>
    <w:rsid w:val="008C0D1D"/>
    <w:rsid w:val="008C1E5F"/>
    <w:rsid w:val="008C44CA"/>
    <w:rsid w:val="008C4800"/>
    <w:rsid w:val="008C52F4"/>
    <w:rsid w:val="008C53A7"/>
    <w:rsid w:val="008C7182"/>
    <w:rsid w:val="008D0DD4"/>
    <w:rsid w:val="008D23EA"/>
    <w:rsid w:val="008D2AC7"/>
    <w:rsid w:val="008D349A"/>
    <w:rsid w:val="008D4E1E"/>
    <w:rsid w:val="008D5516"/>
    <w:rsid w:val="008D58BA"/>
    <w:rsid w:val="008D6FC4"/>
    <w:rsid w:val="008E0A21"/>
    <w:rsid w:val="008E2A13"/>
    <w:rsid w:val="008E36F7"/>
    <w:rsid w:val="008E3C0A"/>
    <w:rsid w:val="008E3F15"/>
    <w:rsid w:val="008E6BF5"/>
    <w:rsid w:val="008E6E06"/>
    <w:rsid w:val="008E6F8B"/>
    <w:rsid w:val="008E7331"/>
    <w:rsid w:val="008E7764"/>
    <w:rsid w:val="008E7FD9"/>
    <w:rsid w:val="008F0FCC"/>
    <w:rsid w:val="008F26C2"/>
    <w:rsid w:val="008F38E3"/>
    <w:rsid w:val="008F446C"/>
    <w:rsid w:val="008F68E4"/>
    <w:rsid w:val="008F7891"/>
    <w:rsid w:val="00900020"/>
    <w:rsid w:val="00900D46"/>
    <w:rsid w:val="0090181B"/>
    <w:rsid w:val="00901FC6"/>
    <w:rsid w:val="00902041"/>
    <w:rsid w:val="0090269D"/>
    <w:rsid w:val="0090296B"/>
    <w:rsid w:val="0090366B"/>
    <w:rsid w:val="00904617"/>
    <w:rsid w:val="00904A48"/>
    <w:rsid w:val="00905F61"/>
    <w:rsid w:val="009061F8"/>
    <w:rsid w:val="00907C43"/>
    <w:rsid w:val="00910F46"/>
    <w:rsid w:val="00911730"/>
    <w:rsid w:val="00912023"/>
    <w:rsid w:val="00916005"/>
    <w:rsid w:val="00916024"/>
    <w:rsid w:val="009167D7"/>
    <w:rsid w:val="00917B17"/>
    <w:rsid w:val="009201AD"/>
    <w:rsid w:val="00921EF5"/>
    <w:rsid w:val="00922954"/>
    <w:rsid w:val="00922C6B"/>
    <w:rsid w:val="00923747"/>
    <w:rsid w:val="00924369"/>
    <w:rsid w:val="00924A2A"/>
    <w:rsid w:val="00926BD7"/>
    <w:rsid w:val="00927687"/>
    <w:rsid w:val="009278F7"/>
    <w:rsid w:val="0093203F"/>
    <w:rsid w:val="009329C1"/>
    <w:rsid w:val="00932C1D"/>
    <w:rsid w:val="00934022"/>
    <w:rsid w:val="0093454D"/>
    <w:rsid w:val="00934BF5"/>
    <w:rsid w:val="009360BA"/>
    <w:rsid w:val="00936216"/>
    <w:rsid w:val="00936A73"/>
    <w:rsid w:val="00936C00"/>
    <w:rsid w:val="00937946"/>
    <w:rsid w:val="00940C85"/>
    <w:rsid w:val="0094162D"/>
    <w:rsid w:val="009416AC"/>
    <w:rsid w:val="0094176C"/>
    <w:rsid w:val="00941891"/>
    <w:rsid w:val="0094261E"/>
    <w:rsid w:val="009445E7"/>
    <w:rsid w:val="009449CB"/>
    <w:rsid w:val="00945211"/>
    <w:rsid w:val="00945D81"/>
    <w:rsid w:val="00946E9D"/>
    <w:rsid w:val="009477C8"/>
    <w:rsid w:val="00952264"/>
    <w:rsid w:val="00953B7F"/>
    <w:rsid w:val="00953F93"/>
    <w:rsid w:val="00955198"/>
    <w:rsid w:val="009606FE"/>
    <w:rsid w:val="00961D47"/>
    <w:rsid w:val="00963D15"/>
    <w:rsid w:val="00964F45"/>
    <w:rsid w:val="009672A8"/>
    <w:rsid w:val="00970082"/>
    <w:rsid w:val="009728CD"/>
    <w:rsid w:val="0097495F"/>
    <w:rsid w:val="009754FC"/>
    <w:rsid w:val="00976862"/>
    <w:rsid w:val="00977170"/>
    <w:rsid w:val="0097758A"/>
    <w:rsid w:val="00977F91"/>
    <w:rsid w:val="009800B1"/>
    <w:rsid w:val="009819E9"/>
    <w:rsid w:val="00981CB3"/>
    <w:rsid w:val="00981E52"/>
    <w:rsid w:val="009824A6"/>
    <w:rsid w:val="0098323D"/>
    <w:rsid w:val="00983B2E"/>
    <w:rsid w:val="00983D6C"/>
    <w:rsid w:val="00984615"/>
    <w:rsid w:val="00984A1B"/>
    <w:rsid w:val="0098533A"/>
    <w:rsid w:val="009864CA"/>
    <w:rsid w:val="009902A3"/>
    <w:rsid w:val="009902AA"/>
    <w:rsid w:val="0099126A"/>
    <w:rsid w:val="00991CA8"/>
    <w:rsid w:val="00991EBE"/>
    <w:rsid w:val="009924B2"/>
    <w:rsid w:val="00992C55"/>
    <w:rsid w:val="00993F1B"/>
    <w:rsid w:val="0099453F"/>
    <w:rsid w:val="00994714"/>
    <w:rsid w:val="009952F2"/>
    <w:rsid w:val="0099581B"/>
    <w:rsid w:val="009970A1"/>
    <w:rsid w:val="009A0969"/>
    <w:rsid w:val="009A09B0"/>
    <w:rsid w:val="009A0D3B"/>
    <w:rsid w:val="009A211F"/>
    <w:rsid w:val="009A213A"/>
    <w:rsid w:val="009A2ABD"/>
    <w:rsid w:val="009A3301"/>
    <w:rsid w:val="009A593E"/>
    <w:rsid w:val="009A6E91"/>
    <w:rsid w:val="009B06AE"/>
    <w:rsid w:val="009B15EB"/>
    <w:rsid w:val="009B18B2"/>
    <w:rsid w:val="009B4996"/>
    <w:rsid w:val="009B5489"/>
    <w:rsid w:val="009B62AB"/>
    <w:rsid w:val="009B6BCD"/>
    <w:rsid w:val="009B7A07"/>
    <w:rsid w:val="009B7C70"/>
    <w:rsid w:val="009C0749"/>
    <w:rsid w:val="009C0E8A"/>
    <w:rsid w:val="009C1E99"/>
    <w:rsid w:val="009C2AA1"/>
    <w:rsid w:val="009C419A"/>
    <w:rsid w:val="009C4EBD"/>
    <w:rsid w:val="009C6580"/>
    <w:rsid w:val="009D0A36"/>
    <w:rsid w:val="009D11D4"/>
    <w:rsid w:val="009D1443"/>
    <w:rsid w:val="009D17CF"/>
    <w:rsid w:val="009D1B38"/>
    <w:rsid w:val="009D210F"/>
    <w:rsid w:val="009D254A"/>
    <w:rsid w:val="009D2DB4"/>
    <w:rsid w:val="009D2DF3"/>
    <w:rsid w:val="009D52CD"/>
    <w:rsid w:val="009D5B43"/>
    <w:rsid w:val="009D5CB3"/>
    <w:rsid w:val="009D5E1E"/>
    <w:rsid w:val="009D63C1"/>
    <w:rsid w:val="009D7DFB"/>
    <w:rsid w:val="009E035C"/>
    <w:rsid w:val="009E075E"/>
    <w:rsid w:val="009E0CC3"/>
    <w:rsid w:val="009E211A"/>
    <w:rsid w:val="009E339A"/>
    <w:rsid w:val="009E376C"/>
    <w:rsid w:val="009E3AA1"/>
    <w:rsid w:val="009E49D7"/>
    <w:rsid w:val="009E4A40"/>
    <w:rsid w:val="009F054B"/>
    <w:rsid w:val="009F066E"/>
    <w:rsid w:val="009F1F29"/>
    <w:rsid w:val="009F26AC"/>
    <w:rsid w:val="009F2F31"/>
    <w:rsid w:val="009F2F76"/>
    <w:rsid w:val="009F338E"/>
    <w:rsid w:val="009F35B9"/>
    <w:rsid w:val="009F39E6"/>
    <w:rsid w:val="009F4078"/>
    <w:rsid w:val="009F5F48"/>
    <w:rsid w:val="009F6D08"/>
    <w:rsid w:val="009F6D22"/>
    <w:rsid w:val="00A004A0"/>
    <w:rsid w:val="00A01386"/>
    <w:rsid w:val="00A019D6"/>
    <w:rsid w:val="00A0222D"/>
    <w:rsid w:val="00A0259F"/>
    <w:rsid w:val="00A072DD"/>
    <w:rsid w:val="00A102BE"/>
    <w:rsid w:val="00A10DEF"/>
    <w:rsid w:val="00A11152"/>
    <w:rsid w:val="00A12123"/>
    <w:rsid w:val="00A1284D"/>
    <w:rsid w:val="00A13456"/>
    <w:rsid w:val="00A1547D"/>
    <w:rsid w:val="00A15838"/>
    <w:rsid w:val="00A1653F"/>
    <w:rsid w:val="00A16A5E"/>
    <w:rsid w:val="00A21522"/>
    <w:rsid w:val="00A21B8C"/>
    <w:rsid w:val="00A21D74"/>
    <w:rsid w:val="00A2288A"/>
    <w:rsid w:val="00A228A9"/>
    <w:rsid w:val="00A243AF"/>
    <w:rsid w:val="00A271CB"/>
    <w:rsid w:val="00A27704"/>
    <w:rsid w:val="00A3038D"/>
    <w:rsid w:val="00A30776"/>
    <w:rsid w:val="00A31306"/>
    <w:rsid w:val="00A31A8E"/>
    <w:rsid w:val="00A31FCF"/>
    <w:rsid w:val="00A32066"/>
    <w:rsid w:val="00A321B0"/>
    <w:rsid w:val="00A322D8"/>
    <w:rsid w:val="00A33856"/>
    <w:rsid w:val="00A33932"/>
    <w:rsid w:val="00A34CC4"/>
    <w:rsid w:val="00A3622C"/>
    <w:rsid w:val="00A36513"/>
    <w:rsid w:val="00A36683"/>
    <w:rsid w:val="00A36B59"/>
    <w:rsid w:val="00A40555"/>
    <w:rsid w:val="00A41A8B"/>
    <w:rsid w:val="00A42150"/>
    <w:rsid w:val="00A478D8"/>
    <w:rsid w:val="00A47A42"/>
    <w:rsid w:val="00A5103A"/>
    <w:rsid w:val="00A51565"/>
    <w:rsid w:val="00A51660"/>
    <w:rsid w:val="00A526D4"/>
    <w:rsid w:val="00A53F69"/>
    <w:rsid w:val="00A5507D"/>
    <w:rsid w:val="00A5627E"/>
    <w:rsid w:val="00A56503"/>
    <w:rsid w:val="00A56518"/>
    <w:rsid w:val="00A570B0"/>
    <w:rsid w:val="00A571E4"/>
    <w:rsid w:val="00A57EB7"/>
    <w:rsid w:val="00A601EE"/>
    <w:rsid w:val="00A60608"/>
    <w:rsid w:val="00A60AAD"/>
    <w:rsid w:val="00A61BBE"/>
    <w:rsid w:val="00A6244D"/>
    <w:rsid w:val="00A62EAA"/>
    <w:rsid w:val="00A62FE1"/>
    <w:rsid w:val="00A63610"/>
    <w:rsid w:val="00A65235"/>
    <w:rsid w:val="00A66A60"/>
    <w:rsid w:val="00A6792F"/>
    <w:rsid w:val="00A710E5"/>
    <w:rsid w:val="00A71212"/>
    <w:rsid w:val="00A71330"/>
    <w:rsid w:val="00A71FB7"/>
    <w:rsid w:val="00A7208F"/>
    <w:rsid w:val="00A72CC5"/>
    <w:rsid w:val="00A72D2E"/>
    <w:rsid w:val="00A737CB"/>
    <w:rsid w:val="00A75132"/>
    <w:rsid w:val="00A76BCC"/>
    <w:rsid w:val="00A80248"/>
    <w:rsid w:val="00A81988"/>
    <w:rsid w:val="00A83A57"/>
    <w:rsid w:val="00A84F6C"/>
    <w:rsid w:val="00A863F7"/>
    <w:rsid w:val="00A86E46"/>
    <w:rsid w:val="00A87C03"/>
    <w:rsid w:val="00A90207"/>
    <w:rsid w:val="00A9033B"/>
    <w:rsid w:val="00A90AFF"/>
    <w:rsid w:val="00A90C69"/>
    <w:rsid w:val="00A90C96"/>
    <w:rsid w:val="00A911AD"/>
    <w:rsid w:val="00A91B77"/>
    <w:rsid w:val="00A92FCA"/>
    <w:rsid w:val="00A936DC"/>
    <w:rsid w:val="00A9520A"/>
    <w:rsid w:val="00A95883"/>
    <w:rsid w:val="00A95A57"/>
    <w:rsid w:val="00AA00EC"/>
    <w:rsid w:val="00AA0EB9"/>
    <w:rsid w:val="00AA3DE7"/>
    <w:rsid w:val="00AA41E0"/>
    <w:rsid w:val="00AA4B38"/>
    <w:rsid w:val="00AA52DC"/>
    <w:rsid w:val="00AA7155"/>
    <w:rsid w:val="00AA72CA"/>
    <w:rsid w:val="00AA75EC"/>
    <w:rsid w:val="00AA78F0"/>
    <w:rsid w:val="00AB0515"/>
    <w:rsid w:val="00AB12A6"/>
    <w:rsid w:val="00AB3619"/>
    <w:rsid w:val="00AB3C45"/>
    <w:rsid w:val="00AB3D11"/>
    <w:rsid w:val="00AB4AE7"/>
    <w:rsid w:val="00AB4C3F"/>
    <w:rsid w:val="00AB4D81"/>
    <w:rsid w:val="00AB533F"/>
    <w:rsid w:val="00AB6E33"/>
    <w:rsid w:val="00AB6F8F"/>
    <w:rsid w:val="00AB70A4"/>
    <w:rsid w:val="00AC053C"/>
    <w:rsid w:val="00AC087C"/>
    <w:rsid w:val="00AC0D32"/>
    <w:rsid w:val="00AC1140"/>
    <w:rsid w:val="00AC34CB"/>
    <w:rsid w:val="00AC4BA5"/>
    <w:rsid w:val="00AC6AED"/>
    <w:rsid w:val="00AD0045"/>
    <w:rsid w:val="00AD131B"/>
    <w:rsid w:val="00AD1BBB"/>
    <w:rsid w:val="00AD2546"/>
    <w:rsid w:val="00AD2B68"/>
    <w:rsid w:val="00AD31D9"/>
    <w:rsid w:val="00AD3477"/>
    <w:rsid w:val="00AD44CD"/>
    <w:rsid w:val="00AD50B5"/>
    <w:rsid w:val="00AD57F9"/>
    <w:rsid w:val="00AD7C25"/>
    <w:rsid w:val="00AE121C"/>
    <w:rsid w:val="00AE6CB3"/>
    <w:rsid w:val="00AE6FE7"/>
    <w:rsid w:val="00AE7E4E"/>
    <w:rsid w:val="00AF0A10"/>
    <w:rsid w:val="00AF1449"/>
    <w:rsid w:val="00AF2C2A"/>
    <w:rsid w:val="00AF3065"/>
    <w:rsid w:val="00AF6942"/>
    <w:rsid w:val="00B013B4"/>
    <w:rsid w:val="00B0284D"/>
    <w:rsid w:val="00B04A72"/>
    <w:rsid w:val="00B06B04"/>
    <w:rsid w:val="00B0710D"/>
    <w:rsid w:val="00B101F0"/>
    <w:rsid w:val="00B118D5"/>
    <w:rsid w:val="00B11E5F"/>
    <w:rsid w:val="00B126A5"/>
    <w:rsid w:val="00B13B6D"/>
    <w:rsid w:val="00B14071"/>
    <w:rsid w:val="00B1463C"/>
    <w:rsid w:val="00B1535F"/>
    <w:rsid w:val="00B160AB"/>
    <w:rsid w:val="00B16488"/>
    <w:rsid w:val="00B16B47"/>
    <w:rsid w:val="00B20F6A"/>
    <w:rsid w:val="00B21595"/>
    <w:rsid w:val="00B2174C"/>
    <w:rsid w:val="00B24187"/>
    <w:rsid w:val="00B25723"/>
    <w:rsid w:val="00B26088"/>
    <w:rsid w:val="00B263A1"/>
    <w:rsid w:val="00B266D8"/>
    <w:rsid w:val="00B26A3B"/>
    <w:rsid w:val="00B302D6"/>
    <w:rsid w:val="00B31080"/>
    <w:rsid w:val="00B314A5"/>
    <w:rsid w:val="00B320ED"/>
    <w:rsid w:val="00B3394D"/>
    <w:rsid w:val="00B33B5E"/>
    <w:rsid w:val="00B34313"/>
    <w:rsid w:val="00B3460C"/>
    <w:rsid w:val="00B354B5"/>
    <w:rsid w:val="00B37C70"/>
    <w:rsid w:val="00B410B1"/>
    <w:rsid w:val="00B414F8"/>
    <w:rsid w:val="00B41654"/>
    <w:rsid w:val="00B41AF8"/>
    <w:rsid w:val="00B41BA3"/>
    <w:rsid w:val="00B41E35"/>
    <w:rsid w:val="00B42B08"/>
    <w:rsid w:val="00B433F4"/>
    <w:rsid w:val="00B44B28"/>
    <w:rsid w:val="00B45949"/>
    <w:rsid w:val="00B45ECE"/>
    <w:rsid w:val="00B467F8"/>
    <w:rsid w:val="00B47ADE"/>
    <w:rsid w:val="00B50FB8"/>
    <w:rsid w:val="00B51055"/>
    <w:rsid w:val="00B51176"/>
    <w:rsid w:val="00B51B1E"/>
    <w:rsid w:val="00B5215A"/>
    <w:rsid w:val="00B52D93"/>
    <w:rsid w:val="00B53FBE"/>
    <w:rsid w:val="00B55BCE"/>
    <w:rsid w:val="00B55E58"/>
    <w:rsid w:val="00B56476"/>
    <w:rsid w:val="00B569FF"/>
    <w:rsid w:val="00B57B33"/>
    <w:rsid w:val="00B607D7"/>
    <w:rsid w:val="00B60A1B"/>
    <w:rsid w:val="00B60FAC"/>
    <w:rsid w:val="00B6150C"/>
    <w:rsid w:val="00B62A6E"/>
    <w:rsid w:val="00B62AE7"/>
    <w:rsid w:val="00B62B38"/>
    <w:rsid w:val="00B641A9"/>
    <w:rsid w:val="00B64871"/>
    <w:rsid w:val="00B64A0D"/>
    <w:rsid w:val="00B6556F"/>
    <w:rsid w:val="00B6573F"/>
    <w:rsid w:val="00B662B9"/>
    <w:rsid w:val="00B673F8"/>
    <w:rsid w:val="00B70221"/>
    <w:rsid w:val="00B71BBA"/>
    <w:rsid w:val="00B724C7"/>
    <w:rsid w:val="00B724D3"/>
    <w:rsid w:val="00B729EC"/>
    <w:rsid w:val="00B73FDD"/>
    <w:rsid w:val="00B74961"/>
    <w:rsid w:val="00B75A6E"/>
    <w:rsid w:val="00B75DB4"/>
    <w:rsid w:val="00B762C2"/>
    <w:rsid w:val="00B76710"/>
    <w:rsid w:val="00B76CC1"/>
    <w:rsid w:val="00B77CB9"/>
    <w:rsid w:val="00B80FDA"/>
    <w:rsid w:val="00B81A03"/>
    <w:rsid w:val="00B8254E"/>
    <w:rsid w:val="00B82956"/>
    <w:rsid w:val="00B82B9F"/>
    <w:rsid w:val="00B836E2"/>
    <w:rsid w:val="00B84946"/>
    <w:rsid w:val="00B86306"/>
    <w:rsid w:val="00B86E18"/>
    <w:rsid w:val="00B87F12"/>
    <w:rsid w:val="00B9004B"/>
    <w:rsid w:val="00B91507"/>
    <w:rsid w:val="00B91D4B"/>
    <w:rsid w:val="00B92DB5"/>
    <w:rsid w:val="00B935B9"/>
    <w:rsid w:val="00B94ABA"/>
    <w:rsid w:val="00B95F85"/>
    <w:rsid w:val="00B96108"/>
    <w:rsid w:val="00B96D11"/>
    <w:rsid w:val="00B97399"/>
    <w:rsid w:val="00BA035F"/>
    <w:rsid w:val="00BA07C6"/>
    <w:rsid w:val="00BA29B4"/>
    <w:rsid w:val="00BA29E0"/>
    <w:rsid w:val="00BA3091"/>
    <w:rsid w:val="00BA33EE"/>
    <w:rsid w:val="00BA36E4"/>
    <w:rsid w:val="00BA45FF"/>
    <w:rsid w:val="00BA63D6"/>
    <w:rsid w:val="00BA6A1C"/>
    <w:rsid w:val="00BB1DE4"/>
    <w:rsid w:val="00BB26D1"/>
    <w:rsid w:val="00BB285B"/>
    <w:rsid w:val="00BB38C4"/>
    <w:rsid w:val="00BB5248"/>
    <w:rsid w:val="00BB5954"/>
    <w:rsid w:val="00BB5D1B"/>
    <w:rsid w:val="00BB68BE"/>
    <w:rsid w:val="00BB6E93"/>
    <w:rsid w:val="00BB7C89"/>
    <w:rsid w:val="00BC0ABD"/>
    <w:rsid w:val="00BC0E45"/>
    <w:rsid w:val="00BC18FD"/>
    <w:rsid w:val="00BC22F5"/>
    <w:rsid w:val="00BC2A6A"/>
    <w:rsid w:val="00BC30ED"/>
    <w:rsid w:val="00BC5AE9"/>
    <w:rsid w:val="00BC5F98"/>
    <w:rsid w:val="00BC74BF"/>
    <w:rsid w:val="00BC7B4B"/>
    <w:rsid w:val="00BD1737"/>
    <w:rsid w:val="00BD234F"/>
    <w:rsid w:val="00BD3C98"/>
    <w:rsid w:val="00BD404C"/>
    <w:rsid w:val="00BE044A"/>
    <w:rsid w:val="00BE129B"/>
    <w:rsid w:val="00BE153E"/>
    <w:rsid w:val="00BE1E2C"/>
    <w:rsid w:val="00BE377F"/>
    <w:rsid w:val="00BE4367"/>
    <w:rsid w:val="00BE5034"/>
    <w:rsid w:val="00BE78B1"/>
    <w:rsid w:val="00BF040B"/>
    <w:rsid w:val="00BF16C5"/>
    <w:rsid w:val="00BF172A"/>
    <w:rsid w:val="00BF1DAB"/>
    <w:rsid w:val="00BF1EF8"/>
    <w:rsid w:val="00BF4F9B"/>
    <w:rsid w:val="00BF544C"/>
    <w:rsid w:val="00BF6409"/>
    <w:rsid w:val="00BF6583"/>
    <w:rsid w:val="00BF7459"/>
    <w:rsid w:val="00BF74C0"/>
    <w:rsid w:val="00BF7EC1"/>
    <w:rsid w:val="00C0113A"/>
    <w:rsid w:val="00C01C23"/>
    <w:rsid w:val="00C021E6"/>
    <w:rsid w:val="00C0297C"/>
    <w:rsid w:val="00C0297E"/>
    <w:rsid w:val="00C034FA"/>
    <w:rsid w:val="00C0446F"/>
    <w:rsid w:val="00C0476F"/>
    <w:rsid w:val="00C05784"/>
    <w:rsid w:val="00C05AD1"/>
    <w:rsid w:val="00C063F5"/>
    <w:rsid w:val="00C116B5"/>
    <w:rsid w:val="00C11C8B"/>
    <w:rsid w:val="00C11F39"/>
    <w:rsid w:val="00C12021"/>
    <w:rsid w:val="00C12702"/>
    <w:rsid w:val="00C129BD"/>
    <w:rsid w:val="00C13336"/>
    <w:rsid w:val="00C13CF4"/>
    <w:rsid w:val="00C13D87"/>
    <w:rsid w:val="00C13DD5"/>
    <w:rsid w:val="00C152CB"/>
    <w:rsid w:val="00C16731"/>
    <w:rsid w:val="00C16A9F"/>
    <w:rsid w:val="00C202A0"/>
    <w:rsid w:val="00C206F1"/>
    <w:rsid w:val="00C20A64"/>
    <w:rsid w:val="00C20DD5"/>
    <w:rsid w:val="00C21B81"/>
    <w:rsid w:val="00C21BC9"/>
    <w:rsid w:val="00C22236"/>
    <w:rsid w:val="00C23706"/>
    <w:rsid w:val="00C2390B"/>
    <w:rsid w:val="00C24E53"/>
    <w:rsid w:val="00C25024"/>
    <w:rsid w:val="00C25D48"/>
    <w:rsid w:val="00C26346"/>
    <w:rsid w:val="00C2743B"/>
    <w:rsid w:val="00C3081D"/>
    <w:rsid w:val="00C31F5E"/>
    <w:rsid w:val="00C3288F"/>
    <w:rsid w:val="00C33AB8"/>
    <w:rsid w:val="00C34007"/>
    <w:rsid w:val="00C346C0"/>
    <w:rsid w:val="00C35209"/>
    <w:rsid w:val="00C36E66"/>
    <w:rsid w:val="00C36EB2"/>
    <w:rsid w:val="00C37C8D"/>
    <w:rsid w:val="00C40AD9"/>
    <w:rsid w:val="00C4157B"/>
    <w:rsid w:val="00C4243C"/>
    <w:rsid w:val="00C427CC"/>
    <w:rsid w:val="00C435CB"/>
    <w:rsid w:val="00C43736"/>
    <w:rsid w:val="00C44C80"/>
    <w:rsid w:val="00C44CD0"/>
    <w:rsid w:val="00C45319"/>
    <w:rsid w:val="00C46908"/>
    <w:rsid w:val="00C47785"/>
    <w:rsid w:val="00C51F23"/>
    <w:rsid w:val="00C53373"/>
    <w:rsid w:val="00C56627"/>
    <w:rsid w:val="00C575EE"/>
    <w:rsid w:val="00C60694"/>
    <w:rsid w:val="00C614A8"/>
    <w:rsid w:val="00C62015"/>
    <w:rsid w:val="00C620FD"/>
    <w:rsid w:val="00C62187"/>
    <w:rsid w:val="00C627ED"/>
    <w:rsid w:val="00C6336D"/>
    <w:rsid w:val="00C6346E"/>
    <w:rsid w:val="00C63992"/>
    <w:rsid w:val="00C63BB7"/>
    <w:rsid w:val="00C642AA"/>
    <w:rsid w:val="00C64409"/>
    <w:rsid w:val="00C6478F"/>
    <w:rsid w:val="00C653C4"/>
    <w:rsid w:val="00C65D2E"/>
    <w:rsid w:val="00C7042C"/>
    <w:rsid w:val="00C71063"/>
    <w:rsid w:val="00C71587"/>
    <w:rsid w:val="00C718B4"/>
    <w:rsid w:val="00C71A7F"/>
    <w:rsid w:val="00C72032"/>
    <w:rsid w:val="00C728BA"/>
    <w:rsid w:val="00C74CA2"/>
    <w:rsid w:val="00C75852"/>
    <w:rsid w:val="00C76DF6"/>
    <w:rsid w:val="00C80083"/>
    <w:rsid w:val="00C802D7"/>
    <w:rsid w:val="00C812E8"/>
    <w:rsid w:val="00C81362"/>
    <w:rsid w:val="00C81CFA"/>
    <w:rsid w:val="00C84DCD"/>
    <w:rsid w:val="00C86696"/>
    <w:rsid w:val="00C86CAF"/>
    <w:rsid w:val="00C873A6"/>
    <w:rsid w:val="00C874CE"/>
    <w:rsid w:val="00C87F71"/>
    <w:rsid w:val="00C91364"/>
    <w:rsid w:val="00C9323B"/>
    <w:rsid w:val="00C9495D"/>
    <w:rsid w:val="00C94AEB"/>
    <w:rsid w:val="00C959F6"/>
    <w:rsid w:val="00C95B63"/>
    <w:rsid w:val="00C97A3F"/>
    <w:rsid w:val="00CA0272"/>
    <w:rsid w:val="00CA0E7C"/>
    <w:rsid w:val="00CA283B"/>
    <w:rsid w:val="00CA294C"/>
    <w:rsid w:val="00CA417B"/>
    <w:rsid w:val="00CA4B22"/>
    <w:rsid w:val="00CA4C44"/>
    <w:rsid w:val="00CA5C45"/>
    <w:rsid w:val="00CA60F7"/>
    <w:rsid w:val="00CA7EAF"/>
    <w:rsid w:val="00CB0389"/>
    <w:rsid w:val="00CB2981"/>
    <w:rsid w:val="00CB518B"/>
    <w:rsid w:val="00CB5985"/>
    <w:rsid w:val="00CB5F4C"/>
    <w:rsid w:val="00CB67BE"/>
    <w:rsid w:val="00CB6A4F"/>
    <w:rsid w:val="00CB6B47"/>
    <w:rsid w:val="00CB6FE1"/>
    <w:rsid w:val="00CB7A18"/>
    <w:rsid w:val="00CC0CFC"/>
    <w:rsid w:val="00CC1491"/>
    <w:rsid w:val="00CC1703"/>
    <w:rsid w:val="00CC18FF"/>
    <w:rsid w:val="00CC1E78"/>
    <w:rsid w:val="00CC2217"/>
    <w:rsid w:val="00CC306D"/>
    <w:rsid w:val="00CC4E6A"/>
    <w:rsid w:val="00CC4E82"/>
    <w:rsid w:val="00CC53F0"/>
    <w:rsid w:val="00CC5516"/>
    <w:rsid w:val="00CD1746"/>
    <w:rsid w:val="00CD1B7F"/>
    <w:rsid w:val="00CD1D02"/>
    <w:rsid w:val="00CD3341"/>
    <w:rsid w:val="00CD3F28"/>
    <w:rsid w:val="00CD4044"/>
    <w:rsid w:val="00CD421C"/>
    <w:rsid w:val="00CD44AF"/>
    <w:rsid w:val="00CD5FC1"/>
    <w:rsid w:val="00CD63CD"/>
    <w:rsid w:val="00CD6516"/>
    <w:rsid w:val="00CE0EA7"/>
    <w:rsid w:val="00CE1B0F"/>
    <w:rsid w:val="00CE2D1B"/>
    <w:rsid w:val="00CE361E"/>
    <w:rsid w:val="00CE55ED"/>
    <w:rsid w:val="00CE5D17"/>
    <w:rsid w:val="00CE622E"/>
    <w:rsid w:val="00CE73E2"/>
    <w:rsid w:val="00CF1363"/>
    <w:rsid w:val="00CF2F92"/>
    <w:rsid w:val="00CF4593"/>
    <w:rsid w:val="00CF5AB0"/>
    <w:rsid w:val="00CF6479"/>
    <w:rsid w:val="00CF6509"/>
    <w:rsid w:val="00CF6515"/>
    <w:rsid w:val="00CF65B0"/>
    <w:rsid w:val="00CF769A"/>
    <w:rsid w:val="00CF7E75"/>
    <w:rsid w:val="00D011E8"/>
    <w:rsid w:val="00D01B5B"/>
    <w:rsid w:val="00D02947"/>
    <w:rsid w:val="00D02B85"/>
    <w:rsid w:val="00D03119"/>
    <w:rsid w:val="00D0402F"/>
    <w:rsid w:val="00D04147"/>
    <w:rsid w:val="00D0481B"/>
    <w:rsid w:val="00D049C1"/>
    <w:rsid w:val="00D11D7B"/>
    <w:rsid w:val="00D12099"/>
    <w:rsid w:val="00D127D0"/>
    <w:rsid w:val="00D12C03"/>
    <w:rsid w:val="00D12C6C"/>
    <w:rsid w:val="00D146F0"/>
    <w:rsid w:val="00D15728"/>
    <w:rsid w:val="00D157FF"/>
    <w:rsid w:val="00D15E2D"/>
    <w:rsid w:val="00D160E5"/>
    <w:rsid w:val="00D17946"/>
    <w:rsid w:val="00D20248"/>
    <w:rsid w:val="00D2157E"/>
    <w:rsid w:val="00D21AD3"/>
    <w:rsid w:val="00D21F5E"/>
    <w:rsid w:val="00D233CE"/>
    <w:rsid w:val="00D23AD0"/>
    <w:rsid w:val="00D24676"/>
    <w:rsid w:val="00D24EE4"/>
    <w:rsid w:val="00D26D0F"/>
    <w:rsid w:val="00D275CF"/>
    <w:rsid w:val="00D325D7"/>
    <w:rsid w:val="00D33210"/>
    <w:rsid w:val="00D339DA"/>
    <w:rsid w:val="00D33A05"/>
    <w:rsid w:val="00D34D49"/>
    <w:rsid w:val="00D3544C"/>
    <w:rsid w:val="00D3627F"/>
    <w:rsid w:val="00D37F98"/>
    <w:rsid w:val="00D4006C"/>
    <w:rsid w:val="00D41043"/>
    <w:rsid w:val="00D413AE"/>
    <w:rsid w:val="00D41793"/>
    <w:rsid w:val="00D42E10"/>
    <w:rsid w:val="00D434D2"/>
    <w:rsid w:val="00D443DD"/>
    <w:rsid w:val="00D44F87"/>
    <w:rsid w:val="00D452A4"/>
    <w:rsid w:val="00D46C3E"/>
    <w:rsid w:val="00D46F4C"/>
    <w:rsid w:val="00D47319"/>
    <w:rsid w:val="00D47645"/>
    <w:rsid w:val="00D502A2"/>
    <w:rsid w:val="00D50373"/>
    <w:rsid w:val="00D5147E"/>
    <w:rsid w:val="00D51662"/>
    <w:rsid w:val="00D524AE"/>
    <w:rsid w:val="00D52504"/>
    <w:rsid w:val="00D52D73"/>
    <w:rsid w:val="00D5517B"/>
    <w:rsid w:val="00D55EB3"/>
    <w:rsid w:val="00D561C3"/>
    <w:rsid w:val="00D5638C"/>
    <w:rsid w:val="00D5746D"/>
    <w:rsid w:val="00D61497"/>
    <w:rsid w:val="00D63553"/>
    <w:rsid w:val="00D66857"/>
    <w:rsid w:val="00D673BC"/>
    <w:rsid w:val="00D71478"/>
    <w:rsid w:val="00D72034"/>
    <w:rsid w:val="00D726BC"/>
    <w:rsid w:val="00D73484"/>
    <w:rsid w:val="00D73DA6"/>
    <w:rsid w:val="00D748EC"/>
    <w:rsid w:val="00D74939"/>
    <w:rsid w:val="00D74D02"/>
    <w:rsid w:val="00D75AF1"/>
    <w:rsid w:val="00D75E28"/>
    <w:rsid w:val="00D76C1E"/>
    <w:rsid w:val="00D76F18"/>
    <w:rsid w:val="00D81B79"/>
    <w:rsid w:val="00D83403"/>
    <w:rsid w:val="00D84D5F"/>
    <w:rsid w:val="00D86177"/>
    <w:rsid w:val="00D863FE"/>
    <w:rsid w:val="00D871B6"/>
    <w:rsid w:val="00D8771E"/>
    <w:rsid w:val="00D90131"/>
    <w:rsid w:val="00D90AC9"/>
    <w:rsid w:val="00D90B93"/>
    <w:rsid w:val="00D915E5"/>
    <w:rsid w:val="00D91C4B"/>
    <w:rsid w:val="00D91C6E"/>
    <w:rsid w:val="00D93B20"/>
    <w:rsid w:val="00D961D8"/>
    <w:rsid w:val="00D96552"/>
    <w:rsid w:val="00D96E52"/>
    <w:rsid w:val="00D96E96"/>
    <w:rsid w:val="00D97353"/>
    <w:rsid w:val="00D97860"/>
    <w:rsid w:val="00DA0C91"/>
    <w:rsid w:val="00DA0F62"/>
    <w:rsid w:val="00DA103B"/>
    <w:rsid w:val="00DA23CB"/>
    <w:rsid w:val="00DA23DD"/>
    <w:rsid w:val="00DA2D3D"/>
    <w:rsid w:val="00DA2E87"/>
    <w:rsid w:val="00DA4097"/>
    <w:rsid w:val="00DA43DE"/>
    <w:rsid w:val="00DA485D"/>
    <w:rsid w:val="00DA5D34"/>
    <w:rsid w:val="00DA74FA"/>
    <w:rsid w:val="00DA7C4B"/>
    <w:rsid w:val="00DB04F3"/>
    <w:rsid w:val="00DB0824"/>
    <w:rsid w:val="00DB083F"/>
    <w:rsid w:val="00DB0FA3"/>
    <w:rsid w:val="00DB1253"/>
    <w:rsid w:val="00DB28F8"/>
    <w:rsid w:val="00DB3292"/>
    <w:rsid w:val="00DB6278"/>
    <w:rsid w:val="00DB6A8F"/>
    <w:rsid w:val="00DB7151"/>
    <w:rsid w:val="00DB7B59"/>
    <w:rsid w:val="00DB7C8E"/>
    <w:rsid w:val="00DC0CDB"/>
    <w:rsid w:val="00DC34ED"/>
    <w:rsid w:val="00DC37EA"/>
    <w:rsid w:val="00DC3DB9"/>
    <w:rsid w:val="00DC5BE4"/>
    <w:rsid w:val="00DC6BEE"/>
    <w:rsid w:val="00DC7688"/>
    <w:rsid w:val="00DC7BEA"/>
    <w:rsid w:val="00DC7CCB"/>
    <w:rsid w:val="00DD1E01"/>
    <w:rsid w:val="00DD1E0C"/>
    <w:rsid w:val="00DD2D87"/>
    <w:rsid w:val="00DD3B06"/>
    <w:rsid w:val="00DD503C"/>
    <w:rsid w:val="00DD5101"/>
    <w:rsid w:val="00DD53AE"/>
    <w:rsid w:val="00DD578F"/>
    <w:rsid w:val="00DD655B"/>
    <w:rsid w:val="00DD6E0D"/>
    <w:rsid w:val="00DD76BE"/>
    <w:rsid w:val="00DD7DC0"/>
    <w:rsid w:val="00DD7E3B"/>
    <w:rsid w:val="00DE052E"/>
    <w:rsid w:val="00DE20DB"/>
    <w:rsid w:val="00DE2460"/>
    <w:rsid w:val="00DE38DF"/>
    <w:rsid w:val="00DE404D"/>
    <w:rsid w:val="00DE4C72"/>
    <w:rsid w:val="00DE598A"/>
    <w:rsid w:val="00DE5B35"/>
    <w:rsid w:val="00DE684E"/>
    <w:rsid w:val="00DF01FC"/>
    <w:rsid w:val="00DF02F2"/>
    <w:rsid w:val="00DF0C49"/>
    <w:rsid w:val="00DF111D"/>
    <w:rsid w:val="00DF1AF4"/>
    <w:rsid w:val="00DF3889"/>
    <w:rsid w:val="00DF395E"/>
    <w:rsid w:val="00DF4220"/>
    <w:rsid w:val="00DF42B9"/>
    <w:rsid w:val="00DF52A8"/>
    <w:rsid w:val="00DF5499"/>
    <w:rsid w:val="00DF568C"/>
    <w:rsid w:val="00DF73D2"/>
    <w:rsid w:val="00DF78EC"/>
    <w:rsid w:val="00E01633"/>
    <w:rsid w:val="00E01858"/>
    <w:rsid w:val="00E01B00"/>
    <w:rsid w:val="00E01DEA"/>
    <w:rsid w:val="00E032D3"/>
    <w:rsid w:val="00E0392B"/>
    <w:rsid w:val="00E03A8A"/>
    <w:rsid w:val="00E04960"/>
    <w:rsid w:val="00E04BE5"/>
    <w:rsid w:val="00E05447"/>
    <w:rsid w:val="00E05648"/>
    <w:rsid w:val="00E062A5"/>
    <w:rsid w:val="00E06565"/>
    <w:rsid w:val="00E07DFF"/>
    <w:rsid w:val="00E07F7F"/>
    <w:rsid w:val="00E10901"/>
    <w:rsid w:val="00E1101E"/>
    <w:rsid w:val="00E1373D"/>
    <w:rsid w:val="00E15691"/>
    <w:rsid w:val="00E159E1"/>
    <w:rsid w:val="00E16033"/>
    <w:rsid w:val="00E16670"/>
    <w:rsid w:val="00E16ED3"/>
    <w:rsid w:val="00E177B2"/>
    <w:rsid w:val="00E177DE"/>
    <w:rsid w:val="00E205CC"/>
    <w:rsid w:val="00E22AE5"/>
    <w:rsid w:val="00E23925"/>
    <w:rsid w:val="00E23F9A"/>
    <w:rsid w:val="00E266EF"/>
    <w:rsid w:val="00E2733C"/>
    <w:rsid w:val="00E31B69"/>
    <w:rsid w:val="00E31CC1"/>
    <w:rsid w:val="00E33507"/>
    <w:rsid w:val="00E35D77"/>
    <w:rsid w:val="00E3721C"/>
    <w:rsid w:val="00E37BED"/>
    <w:rsid w:val="00E37C82"/>
    <w:rsid w:val="00E41EFF"/>
    <w:rsid w:val="00E42044"/>
    <w:rsid w:val="00E42586"/>
    <w:rsid w:val="00E43A88"/>
    <w:rsid w:val="00E4454E"/>
    <w:rsid w:val="00E46128"/>
    <w:rsid w:val="00E464B1"/>
    <w:rsid w:val="00E46B35"/>
    <w:rsid w:val="00E46D69"/>
    <w:rsid w:val="00E518DA"/>
    <w:rsid w:val="00E534C8"/>
    <w:rsid w:val="00E53875"/>
    <w:rsid w:val="00E53C55"/>
    <w:rsid w:val="00E53D8E"/>
    <w:rsid w:val="00E54137"/>
    <w:rsid w:val="00E55397"/>
    <w:rsid w:val="00E55D02"/>
    <w:rsid w:val="00E56B08"/>
    <w:rsid w:val="00E56F68"/>
    <w:rsid w:val="00E56FF4"/>
    <w:rsid w:val="00E57FC2"/>
    <w:rsid w:val="00E604C6"/>
    <w:rsid w:val="00E61653"/>
    <w:rsid w:val="00E63CDA"/>
    <w:rsid w:val="00E64A68"/>
    <w:rsid w:val="00E65469"/>
    <w:rsid w:val="00E65859"/>
    <w:rsid w:val="00E659F8"/>
    <w:rsid w:val="00E6623E"/>
    <w:rsid w:val="00E66610"/>
    <w:rsid w:val="00E67482"/>
    <w:rsid w:val="00E70473"/>
    <w:rsid w:val="00E70B9B"/>
    <w:rsid w:val="00E71033"/>
    <w:rsid w:val="00E71934"/>
    <w:rsid w:val="00E71944"/>
    <w:rsid w:val="00E760D7"/>
    <w:rsid w:val="00E768FB"/>
    <w:rsid w:val="00E77ED8"/>
    <w:rsid w:val="00E806C6"/>
    <w:rsid w:val="00E80C67"/>
    <w:rsid w:val="00E8129E"/>
    <w:rsid w:val="00E81E1A"/>
    <w:rsid w:val="00E83A9D"/>
    <w:rsid w:val="00E84092"/>
    <w:rsid w:val="00E859C9"/>
    <w:rsid w:val="00E87D6F"/>
    <w:rsid w:val="00E9041F"/>
    <w:rsid w:val="00E90B8D"/>
    <w:rsid w:val="00E91120"/>
    <w:rsid w:val="00E91571"/>
    <w:rsid w:val="00E92CC9"/>
    <w:rsid w:val="00E93774"/>
    <w:rsid w:val="00E93D3D"/>
    <w:rsid w:val="00E94CDB"/>
    <w:rsid w:val="00E94D7B"/>
    <w:rsid w:val="00E955CE"/>
    <w:rsid w:val="00E96598"/>
    <w:rsid w:val="00EA0ABC"/>
    <w:rsid w:val="00EA0DB7"/>
    <w:rsid w:val="00EA3DAD"/>
    <w:rsid w:val="00EA3EC9"/>
    <w:rsid w:val="00EA4131"/>
    <w:rsid w:val="00EA5E40"/>
    <w:rsid w:val="00EA77B6"/>
    <w:rsid w:val="00EB08B5"/>
    <w:rsid w:val="00EB1BF4"/>
    <w:rsid w:val="00EB37B6"/>
    <w:rsid w:val="00EB4118"/>
    <w:rsid w:val="00EB44A4"/>
    <w:rsid w:val="00EB4EEB"/>
    <w:rsid w:val="00EB77F2"/>
    <w:rsid w:val="00EC1415"/>
    <w:rsid w:val="00EC1E91"/>
    <w:rsid w:val="00EC2FF9"/>
    <w:rsid w:val="00EC3C4D"/>
    <w:rsid w:val="00EC3DAD"/>
    <w:rsid w:val="00EC5393"/>
    <w:rsid w:val="00EC6850"/>
    <w:rsid w:val="00EC6ECA"/>
    <w:rsid w:val="00ED0E68"/>
    <w:rsid w:val="00ED145D"/>
    <w:rsid w:val="00ED3DF4"/>
    <w:rsid w:val="00ED4A53"/>
    <w:rsid w:val="00ED626F"/>
    <w:rsid w:val="00ED7DF5"/>
    <w:rsid w:val="00EE105B"/>
    <w:rsid w:val="00EE1859"/>
    <w:rsid w:val="00EE472A"/>
    <w:rsid w:val="00EE4AD3"/>
    <w:rsid w:val="00EE4FB9"/>
    <w:rsid w:val="00EE67A2"/>
    <w:rsid w:val="00EF1821"/>
    <w:rsid w:val="00EF1E50"/>
    <w:rsid w:val="00EF24B8"/>
    <w:rsid w:val="00EF3AFF"/>
    <w:rsid w:val="00F02111"/>
    <w:rsid w:val="00F02AC3"/>
    <w:rsid w:val="00F02D90"/>
    <w:rsid w:val="00F03769"/>
    <w:rsid w:val="00F05573"/>
    <w:rsid w:val="00F05726"/>
    <w:rsid w:val="00F05957"/>
    <w:rsid w:val="00F067EB"/>
    <w:rsid w:val="00F07E37"/>
    <w:rsid w:val="00F10E84"/>
    <w:rsid w:val="00F1102A"/>
    <w:rsid w:val="00F112FB"/>
    <w:rsid w:val="00F117DD"/>
    <w:rsid w:val="00F11B5D"/>
    <w:rsid w:val="00F128D6"/>
    <w:rsid w:val="00F12FDF"/>
    <w:rsid w:val="00F139CC"/>
    <w:rsid w:val="00F14664"/>
    <w:rsid w:val="00F14B10"/>
    <w:rsid w:val="00F14FAB"/>
    <w:rsid w:val="00F15F89"/>
    <w:rsid w:val="00F16BF7"/>
    <w:rsid w:val="00F171E3"/>
    <w:rsid w:val="00F20406"/>
    <w:rsid w:val="00F2149F"/>
    <w:rsid w:val="00F217BA"/>
    <w:rsid w:val="00F21B33"/>
    <w:rsid w:val="00F22D10"/>
    <w:rsid w:val="00F2372D"/>
    <w:rsid w:val="00F266B1"/>
    <w:rsid w:val="00F26ACC"/>
    <w:rsid w:val="00F30953"/>
    <w:rsid w:val="00F3166C"/>
    <w:rsid w:val="00F34B86"/>
    <w:rsid w:val="00F34C63"/>
    <w:rsid w:val="00F35621"/>
    <w:rsid w:val="00F367B9"/>
    <w:rsid w:val="00F37079"/>
    <w:rsid w:val="00F43416"/>
    <w:rsid w:val="00F43BA3"/>
    <w:rsid w:val="00F444B1"/>
    <w:rsid w:val="00F44928"/>
    <w:rsid w:val="00F44E4E"/>
    <w:rsid w:val="00F44FC9"/>
    <w:rsid w:val="00F4506B"/>
    <w:rsid w:val="00F4611C"/>
    <w:rsid w:val="00F462DB"/>
    <w:rsid w:val="00F463CF"/>
    <w:rsid w:val="00F46E64"/>
    <w:rsid w:val="00F5018D"/>
    <w:rsid w:val="00F51C01"/>
    <w:rsid w:val="00F52038"/>
    <w:rsid w:val="00F52AB6"/>
    <w:rsid w:val="00F537EE"/>
    <w:rsid w:val="00F53DD9"/>
    <w:rsid w:val="00F53E81"/>
    <w:rsid w:val="00F53F1C"/>
    <w:rsid w:val="00F5417F"/>
    <w:rsid w:val="00F54209"/>
    <w:rsid w:val="00F551C2"/>
    <w:rsid w:val="00F56B01"/>
    <w:rsid w:val="00F57224"/>
    <w:rsid w:val="00F572E6"/>
    <w:rsid w:val="00F577B7"/>
    <w:rsid w:val="00F57B5E"/>
    <w:rsid w:val="00F61381"/>
    <w:rsid w:val="00F6190F"/>
    <w:rsid w:val="00F6691E"/>
    <w:rsid w:val="00F72E69"/>
    <w:rsid w:val="00F733C7"/>
    <w:rsid w:val="00F73C1F"/>
    <w:rsid w:val="00F743F5"/>
    <w:rsid w:val="00F76943"/>
    <w:rsid w:val="00F76BE9"/>
    <w:rsid w:val="00F7791D"/>
    <w:rsid w:val="00F810FD"/>
    <w:rsid w:val="00F820F0"/>
    <w:rsid w:val="00F82432"/>
    <w:rsid w:val="00F82650"/>
    <w:rsid w:val="00F82F32"/>
    <w:rsid w:val="00F83AF5"/>
    <w:rsid w:val="00F840B1"/>
    <w:rsid w:val="00F84656"/>
    <w:rsid w:val="00F84B8B"/>
    <w:rsid w:val="00F84F3E"/>
    <w:rsid w:val="00F84F85"/>
    <w:rsid w:val="00F85023"/>
    <w:rsid w:val="00F8533F"/>
    <w:rsid w:val="00F85C49"/>
    <w:rsid w:val="00F86418"/>
    <w:rsid w:val="00F86B44"/>
    <w:rsid w:val="00F86E22"/>
    <w:rsid w:val="00F87BFA"/>
    <w:rsid w:val="00F87D9B"/>
    <w:rsid w:val="00F90987"/>
    <w:rsid w:val="00F90F71"/>
    <w:rsid w:val="00F9335F"/>
    <w:rsid w:val="00F94312"/>
    <w:rsid w:val="00F95C63"/>
    <w:rsid w:val="00F95ED5"/>
    <w:rsid w:val="00F97DF9"/>
    <w:rsid w:val="00FA01EF"/>
    <w:rsid w:val="00FA03DF"/>
    <w:rsid w:val="00FA0E65"/>
    <w:rsid w:val="00FA1508"/>
    <w:rsid w:val="00FA30D6"/>
    <w:rsid w:val="00FA490A"/>
    <w:rsid w:val="00FA5C7B"/>
    <w:rsid w:val="00FA629B"/>
    <w:rsid w:val="00FB09A6"/>
    <w:rsid w:val="00FB0E4F"/>
    <w:rsid w:val="00FB1936"/>
    <w:rsid w:val="00FB2E14"/>
    <w:rsid w:val="00FB2E3C"/>
    <w:rsid w:val="00FB3F08"/>
    <w:rsid w:val="00FB42FB"/>
    <w:rsid w:val="00FB4B72"/>
    <w:rsid w:val="00FB5538"/>
    <w:rsid w:val="00FB5FBD"/>
    <w:rsid w:val="00FB7109"/>
    <w:rsid w:val="00FB7312"/>
    <w:rsid w:val="00FB7832"/>
    <w:rsid w:val="00FC0563"/>
    <w:rsid w:val="00FC06D9"/>
    <w:rsid w:val="00FC0A24"/>
    <w:rsid w:val="00FC0C54"/>
    <w:rsid w:val="00FC18DB"/>
    <w:rsid w:val="00FC1939"/>
    <w:rsid w:val="00FC255E"/>
    <w:rsid w:val="00FC4189"/>
    <w:rsid w:val="00FC4306"/>
    <w:rsid w:val="00FC4CCF"/>
    <w:rsid w:val="00FC760E"/>
    <w:rsid w:val="00FC7CAB"/>
    <w:rsid w:val="00FC7EE4"/>
    <w:rsid w:val="00FD056B"/>
    <w:rsid w:val="00FD0EA5"/>
    <w:rsid w:val="00FD15F3"/>
    <w:rsid w:val="00FD2244"/>
    <w:rsid w:val="00FD2FBB"/>
    <w:rsid w:val="00FD55B6"/>
    <w:rsid w:val="00FD6F61"/>
    <w:rsid w:val="00FE0224"/>
    <w:rsid w:val="00FE0522"/>
    <w:rsid w:val="00FE0CFB"/>
    <w:rsid w:val="00FE13C7"/>
    <w:rsid w:val="00FE25F5"/>
    <w:rsid w:val="00FE2C35"/>
    <w:rsid w:val="00FE324C"/>
    <w:rsid w:val="00FE3D9A"/>
    <w:rsid w:val="00FE3E3F"/>
    <w:rsid w:val="00FE3EEB"/>
    <w:rsid w:val="00FE421F"/>
    <w:rsid w:val="00FE5CF3"/>
    <w:rsid w:val="00FE7BA4"/>
    <w:rsid w:val="00FF025D"/>
    <w:rsid w:val="00FF03D3"/>
    <w:rsid w:val="00FF0FFF"/>
    <w:rsid w:val="00FF2027"/>
    <w:rsid w:val="00FF225A"/>
    <w:rsid w:val="00FF2CC6"/>
    <w:rsid w:val="00FF30FB"/>
    <w:rsid w:val="00FF46E0"/>
    <w:rsid w:val="00FF5648"/>
    <w:rsid w:val="00FF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C12F2"/>
  <w15:chartTrackingRefBased/>
  <w15:docId w15:val="{D80D20E9-70CB-A147-9D8C-7C135B14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B01"/>
    <w:rPr>
      <w:rFonts w:ascii="Times New Roman" w:eastAsia="Times New Roman" w:hAnsi="Times New Roman" w:cs="Times New Roman"/>
    </w:rPr>
  </w:style>
  <w:style w:type="paragraph" w:styleId="Heading1">
    <w:name w:val="heading 1"/>
    <w:basedOn w:val="Normal"/>
    <w:next w:val="Normal"/>
    <w:link w:val="Heading1Char"/>
    <w:uiPriority w:val="9"/>
    <w:qFormat/>
    <w:rsid w:val="00F22D1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E45"/>
    <w:rPr>
      <w:rFonts w:eastAsiaTheme="minorHAnsi"/>
      <w:sz w:val="18"/>
      <w:szCs w:val="18"/>
    </w:rPr>
  </w:style>
  <w:style w:type="character" w:customStyle="1" w:styleId="BalloonTextChar">
    <w:name w:val="Balloon Text Char"/>
    <w:basedOn w:val="DefaultParagraphFont"/>
    <w:link w:val="BalloonText"/>
    <w:uiPriority w:val="99"/>
    <w:semiHidden/>
    <w:rsid w:val="00BC0E45"/>
    <w:rPr>
      <w:rFonts w:ascii="Times New Roman" w:hAnsi="Times New Roman" w:cs="Times New Roman"/>
      <w:sz w:val="18"/>
      <w:szCs w:val="18"/>
    </w:rPr>
  </w:style>
  <w:style w:type="character" w:styleId="Hyperlink">
    <w:name w:val="Hyperlink"/>
    <w:basedOn w:val="DefaultParagraphFont"/>
    <w:uiPriority w:val="99"/>
    <w:unhideWhenUsed/>
    <w:rsid w:val="000E3876"/>
    <w:rPr>
      <w:color w:val="0563C1" w:themeColor="hyperlink"/>
      <w:u w:val="single"/>
    </w:rPr>
  </w:style>
  <w:style w:type="character" w:customStyle="1" w:styleId="UnresolvedMention1">
    <w:name w:val="Unresolved Mention1"/>
    <w:basedOn w:val="DefaultParagraphFont"/>
    <w:uiPriority w:val="99"/>
    <w:semiHidden/>
    <w:unhideWhenUsed/>
    <w:rsid w:val="000E3876"/>
    <w:rPr>
      <w:color w:val="605E5C"/>
      <w:shd w:val="clear" w:color="auto" w:fill="E1DFDD"/>
    </w:rPr>
  </w:style>
  <w:style w:type="paragraph" w:styleId="FootnoteText">
    <w:name w:val="footnote text"/>
    <w:basedOn w:val="Normal"/>
    <w:link w:val="FootnoteTextChar"/>
    <w:uiPriority w:val="99"/>
    <w:semiHidden/>
    <w:unhideWhenUsed/>
    <w:rsid w:val="000C4AD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C4AD6"/>
    <w:rPr>
      <w:sz w:val="20"/>
      <w:szCs w:val="20"/>
    </w:rPr>
  </w:style>
  <w:style w:type="character" w:styleId="FootnoteReference">
    <w:name w:val="footnote reference"/>
    <w:basedOn w:val="DefaultParagraphFont"/>
    <w:uiPriority w:val="99"/>
    <w:semiHidden/>
    <w:unhideWhenUsed/>
    <w:rsid w:val="000C4AD6"/>
    <w:rPr>
      <w:vertAlign w:val="superscript"/>
    </w:rPr>
  </w:style>
  <w:style w:type="character" w:styleId="CommentReference">
    <w:name w:val="annotation reference"/>
    <w:basedOn w:val="DefaultParagraphFont"/>
    <w:uiPriority w:val="99"/>
    <w:semiHidden/>
    <w:unhideWhenUsed/>
    <w:rsid w:val="003F23F4"/>
    <w:rPr>
      <w:sz w:val="16"/>
      <w:szCs w:val="16"/>
    </w:rPr>
  </w:style>
  <w:style w:type="paragraph" w:styleId="CommentText">
    <w:name w:val="annotation text"/>
    <w:basedOn w:val="Normal"/>
    <w:link w:val="CommentTextChar"/>
    <w:uiPriority w:val="99"/>
    <w:unhideWhenUsed/>
    <w:rsid w:val="003F23F4"/>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F23F4"/>
    <w:rPr>
      <w:sz w:val="20"/>
      <w:szCs w:val="20"/>
    </w:rPr>
  </w:style>
  <w:style w:type="paragraph" w:styleId="CommentSubject">
    <w:name w:val="annotation subject"/>
    <w:basedOn w:val="CommentText"/>
    <w:next w:val="CommentText"/>
    <w:link w:val="CommentSubjectChar"/>
    <w:uiPriority w:val="99"/>
    <w:semiHidden/>
    <w:unhideWhenUsed/>
    <w:rsid w:val="003F23F4"/>
    <w:rPr>
      <w:b/>
      <w:bCs/>
    </w:rPr>
  </w:style>
  <w:style w:type="character" w:customStyle="1" w:styleId="CommentSubjectChar">
    <w:name w:val="Comment Subject Char"/>
    <w:basedOn w:val="CommentTextChar"/>
    <w:link w:val="CommentSubject"/>
    <w:uiPriority w:val="99"/>
    <w:semiHidden/>
    <w:rsid w:val="003F23F4"/>
    <w:rPr>
      <w:b/>
      <w:bCs/>
      <w:sz w:val="20"/>
      <w:szCs w:val="20"/>
    </w:rPr>
  </w:style>
  <w:style w:type="table" w:styleId="TableGrid">
    <w:name w:val="Table Grid"/>
    <w:basedOn w:val="TableNormal"/>
    <w:uiPriority w:val="39"/>
    <w:rsid w:val="00302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3061"/>
  </w:style>
  <w:style w:type="paragraph" w:styleId="Header">
    <w:name w:val="header"/>
    <w:basedOn w:val="Normal"/>
    <w:link w:val="HeaderChar"/>
    <w:uiPriority w:val="99"/>
    <w:unhideWhenUsed/>
    <w:rsid w:val="00F6190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6190F"/>
  </w:style>
  <w:style w:type="paragraph" w:styleId="Footer">
    <w:name w:val="footer"/>
    <w:basedOn w:val="Normal"/>
    <w:link w:val="FooterChar"/>
    <w:uiPriority w:val="99"/>
    <w:unhideWhenUsed/>
    <w:rsid w:val="00F6190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6190F"/>
  </w:style>
  <w:style w:type="character" w:styleId="PageNumber">
    <w:name w:val="page number"/>
    <w:basedOn w:val="DefaultParagraphFont"/>
    <w:uiPriority w:val="99"/>
    <w:semiHidden/>
    <w:unhideWhenUsed/>
    <w:rsid w:val="00F6190F"/>
  </w:style>
  <w:style w:type="paragraph" w:styleId="ListParagraph">
    <w:name w:val="List Paragraph"/>
    <w:basedOn w:val="Normal"/>
    <w:uiPriority w:val="34"/>
    <w:qFormat/>
    <w:rsid w:val="0047091A"/>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4464CC"/>
    <w:rPr>
      <w:color w:val="954F72" w:themeColor="followedHyperlink"/>
      <w:u w:val="single"/>
    </w:rPr>
  </w:style>
  <w:style w:type="character" w:styleId="Emphasis">
    <w:name w:val="Emphasis"/>
    <w:basedOn w:val="DefaultParagraphFont"/>
    <w:uiPriority w:val="20"/>
    <w:qFormat/>
    <w:rsid w:val="00CF5AB0"/>
    <w:rPr>
      <w:i/>
      <w:iCs/>
    </w:rPr>
  </w:style>
  <w:style w:type="paragraph" w:styleId="NormalWeb">
    <w:name w:val="Normal (Web)"/>
    <w:basedOn w:val="Normal"/>
    <w:uiPriority w:val="99"/>
    <w:unhideWhenUsed/>
    <w:rsid w:val="0072734B"/>
    <w:pPr>
      <w:spacing w:before="100" w:beforeAutospacing="1" w:after="100" w:afterAutospacing="1"/>
    </w:pPr>
  </w:style>
  <w:style w:type="character" w:customStyle="1" w:styleId="UnresolvedMention2">
    <w:name w:val="Unresolved Mention2"/>
    <w:basedOn w:val="DefaultParagraphFont"/>
    <w:uiPriority w:val="99"/>
    <w:semiHidden/>
    <w:unhideWhenUsed/>
    <w:rsid w:val="006379FE"/>
    <w:rPr>
      <w:color w:val="605E5C"/>
      <w:shd w:val="clear" w:color="auto" w:fill="E1DFDD"/>
    </w:rPr>
  </w:style>
  <w:style w:type="character" w:customStyle="1" w:styleId="Heading1Char">
    <w:name w:val="Heading 1 Char"/>
    <w:basedOn w:val="DefaultParagraphFont"/>
    <w:link w:val="Heading1"/>
    <w:uiPriority w:val="9"/>
    <w:rsid w:val="00F22D10"/>
    <w:rPr>
      <w:rFonts w:asciiTheme="majorHAnsi" w:eastAsiaTheme="majorEastAsia" w:hAnsiTheme="majorHAnsi" w:cstheme="majorBidi"/>
      <w:color w:val="2F5496" w:themeColor="accent1" w:themeShade="BF"/>
      <w:sz w:val="32"/>
      <w:szCs w:val="32"/>
    </w:rPr>
  </w:style>
  <w:style w:type="paragraph" w:styleId="HTMLPreformatted">
    <w:name w:val="HTML Preformatted"/>
    <w:basedOn w:val="Normal"/>
    <w:link w:val="HTMLPreformattedChar"/>
    <w:uiPriority w:val="99"/>
    <w:semiHidden/>
    <w:unhideWhenUsed/>
    <w:rsid w:val="00F54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5417F"/>
    <w:rPr>
      <w:rFonts w:ascii="Courier New" w:eastAsia="Times New Roman" w:hAnsi="Courier New" w:cs="Courier New"/>
      <w:sz w:val="20"/>
      <w:szCs w:val="20"/>
    </w:rPr>
  </w:style>
  <w:style w:type="character" w:customStyle="1" w:styleId="apple-converted-space">
    <w:name w:val="apple-converted-space"/>
    <w:basedOn w:val="DefaultParagraphFont"/>
    <w:rsid w:val="00F5417F"/>
  </w:style>
  <w:style w:type="character" w:styleId="LineNumber">
    <w:name w:val="line number"/>
    <w:basedOn w:val="DefaultParagraphFont"/>
    <w:uiPriority w:val="99"/>
    <w:semiHidden/>
    <w:unhideWhenUsed/>
    <w:rsid w:val="006918F7"/>
  </w:style>
  <w:style w:type="table" w:styleId="PlainTable3">
    <w:name w:val="Plain Table 3"/>
    <w:basedOn w:val="TableNormal"/>
    <w:uiPriority w:val="43"/>
    <w:rsid w:val="00BB524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BB524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BB524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5A489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A489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A489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197F79"/>
    <w:rPr>
      <w:color w:val="808080"/>
    </w:rPr>
  </w:style>
  <w:style w:type="table" w:styleId="GridTable1Light">
    <w:name w:val="Grid Table 1 Light"/>
    <w:basedOn w:val="TableNormal"/>
    <w:uiPriority w:val="46"/>
    <w:rsid w:val="00047CC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3">
    <w:name w:val="Unresolved Mention3"/>
    <w:basedOn w:val="DefaultParagraphFont"/>
    <w:uiPriority w:val="99"/>
    <w:semiHidden/>
    <w:unhideWhenUsed/>
    <w:rsid w:val="008500A1"/>
    <w:rPr>
      <w:color w:val="605E5C"/>
      <w:shd w:val="clear" w:color="auto" w:fill="E1DFDD"/>
    </w:rPr>
  </w:style>
  <w:style w:type="character" w:customStyle="1" w:styleId="UnresolvedMention4">
    <w:name w:val="Unresolved Mention4"/>
    <w:basedOn w:val="DefaultParagraphFont"/>
    <w:uiPriority w:val="99"/>
    <w:semiHidden/>
    <w:unhideWhenUsed/>
    <w:rsid w:val="00F16BF7"/>
    <w:rPr>
      <w:color w:val="605E5C"/>
      <w:shd w:val="clear" w:color="auto" w:fill="E1DFDD"/>
    </w:rPr>
  </w:style>
  <w:style w:type="character" w:customStyle="1" w:styleId="UnresolvedMention5">
    <w:name w:val="Unresolved Mention5"/>
    <w:basedOn w:val="DefaultParagraphFont"/>
    <w:uiPriority w:val="99"/>
    <w:semiHidden/>
    <w:unhideWhenUsed/>
    <w:rsid w:val="004679A6"/>
    <w:rPr>
      <w:color w:val="605E5C"/>
      <w:shd w:val="clear" w:color="auto" w:fill="E1DFDD"/>
    </w:rPr>
  </w:style>
  <w:style w:type="character" w:styleId="UnresolvedMention">
    <w:name w:val="Unresolved Mention"/>
    <w:basedOn w:val="DefaultParagraphFont"/>
    <w:uiPriority w:val="99"/>
    <w:semiHidden/>
    <w:unhideWhenUsed/>
    <w:rsid w:val="00144263"/>
    <w:rPr>
      <w:color w:val="605E5C"/>
      <w:shd w:val="clear" w:color="auto" w:fill="E1DFDD"/>
    </w:rPr>
  </w:style>
  <w:style w:type="character" w:customStyle="1" w:styleId="UnresolvedMention6">
    <w:name w:val="Unresolved Mention6"/>
    <w:basedOn w:val="DefaultParagraphFont"/>
    <w:uiPriority w:val="99"/>
    <w:semiHidden/>
    <w:unhideWhenUsed/>
    <w:rsid w:val="000D0C3A"/>
    <w:rPr>
      <w:color w:val="605E5C"/>
      <w:shd w:val="clear" w:color="auto" w:fill="E1DFDD"/>
    </w:rPr>
  </w:style>
  <w:style w:type="character" w:customStyle="1" w:styleId="UnresolvedMention7">
    <w:name w:val="Unresolved Mention7"/>
    <w:basedOn w:val="DefaultParagraphFont"/>
    <w:uiPriority w:val="99"/>
    <w:semiHidden/>
    <w:unhideWhenUsed/>
    <w:rsid w:val="000D0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885">
      <w:bodyDiv w:val="1"/>
      <w:marLeft w:val="0"/>
      <w:marRight w:val="0"/>
      <w:marTop w:val="0"/>
      <w:marBottom w:val="0"/>
      <w:divBdr>
        <w:top w:val="none" w:sz="0" w:space="0" w:color="auto"/>
        <w:left w:val="none" w:sz="0" w:space="0" w:color="auto"/>
        <w:bottom w:val="none" w:sz="0" w:space="0" w:color="auto"/>
        <w:right w:val="none" w:sz="0" w:space="0" w:color="auto"/>
      </w:divBdr>
    </w:div>
    <w:div w:id="12540714">
      <w:bodyDiv w:val="1"/>
      <w:marLeft w:val="0"/>
      <w:marRight w:val="0"/>
      <w:marTop w:val="0"/>
      <w:marBottom w:val="0"/>
      <w:divBdr>
        <w:top w:val="none" w:sz="0" w:space="0" w:color="auto"/>
        <w:left w:val="none" w:sz="0" w:space="0" w:color="auto"/>
        <w:bottom w:val="none" w:sz="0" w:space="0" w:color="auto"/>
        <w:right w:val="none" w:sz="0" w:space="0" w:color="auto"/>
      </w:divBdr>
    </w:div>
    <w:div w:id="20514381">
      <w:bodyDiv w:val="1"/>
      <w:marLeft w:val="0"/>
      <w:marRight w:val="0"/>
      <w:marTop w:val="0"/>
      <w:marBottom w:val="0"/>
      <w:divBdr>
        <w:top w:val="none" w:sz="0" w:space="0" w:color="auto"/>
        <w:left w:val="none" w:sz="0" w:space="0" w:color="auto"/>
        <w:bottom w:val="none" w:sz="0" w:space="0" w:color="auto"/>
        <w:right w:val="none" w:sz="0" w:space="0" w:color="auto"/>
      </w:divBdr>
    </w:div>
    <w:div w:id="21515041">
      <w:bodyDiv w:val="1"/>
      <w:marLeft w:val="0"/>
      <w:marRight w:val="0"/>
      <w:marTop w:val="0"/>
      <w:marBottom w:val="0"/>
      <w:divBdr>
        <w:top w:val="none" w:sz="0" w:space="0" w:color="auto"/>
        <w:left w:val="none" w:sz="0" w:space="0" w:color="auto"/>
        <w:bottom w:val="none" w:sz="0" w:space="0" w:color="auto"/>
        <w:right w:val="none" w:sz="0" w:space="0" w:color="auto"/>
      </w:divBdr>
    </w:div>
    <w:div w:id="22899705">
      <w:bodyDiv w:val="1"/>
      <w:marLeft w:val="0"/>
      <w:marRight w:val="0"/>
      <w:marTop w:val="0"/>
      <w:marBottom w:val="0"/>
      <w:divBdr>
        <w:top w:val="none" w:sz="0" w:space="0" w:color="auto"/>
        <w:left w:val="none" w:sz="0" w:space="0" w:color="auto"/>
        <w:bottom w:val="none" w:sz="0" w:space="0" w:color="auto"/>
        <w:right w:val="none" w:sz="0" w:space="0" w:color="auto"/>
      </w:divBdr>
    </w:div>
    <w:div w:id="41445353">
      <w:bodyDiv w:val="1"/>
      <w:marLeft w:val="0"/>
      <w:marRight w:val="0"/>
      <w:marTop w:val="0"/>
      <w:marBottom w:val="0"/>
      <w:divBdr>
        <w:top w:val="none" w:sz="0" w:space="0" w:color="auto"/>
        <w:left w:val="none" w:sz="0" w:space="0" w:color="auto"/>
        <w:bottom w:val="none" w:sz="0" w:space="0" w:color="auto"/>
        <w:right w:val="none" w:sz="0" w:space="0" w:color="auto"/>
      </w:divBdr>
      <w:divsChild>
        <w:div w:id="216747814">
          <w:marLeft w:val="0"/>
          <w:marRight w:val="0"/>
          <w:marTop w:val="0"/>
          <w:marBottom w:val="0"/>
          <w:divBdr>
            <w:top w:val="none" w:sz="0" w:space="0" w:color="auto"/>
            <w:left w:val="none" w:sz="0" w:space="0" w:color="auto"/>
            <w:bottom w:val="none" w:sz="0" w:space="0" w:color="auto"/>
            <w:right w:val="none" w:sz="0" w:space="0" w:color="auto"/>
          </w:divBdr>
        </w:div>
        <w:div w:id="358625791">
          <w:marLeft w:val="0"/>
          <w:marRight w:val="0"/>
          <w:marTop w:val="0"/>
          <w:marBottom w:val="0"/>
          <w:divBdr>
            <w:top w:val="none" w:sz="0" w:space="0" w:color="auto"/>
            <w:left w:val="none" w:sz="0" w:space="0" w:color="auto"/>
            <w:bottom w:val="none" w:sz="0" w:space="0" w:color="auto"/>
            <w:right w:val="none" w:sz="0" w:space="0" w:color="auto"/>
          </w:divBdr>
        </w:div>
      </w:divsChild>
    </w:div>
    <w:div w:id="44525084">
      <w:bodyDiv w:val="1"/>
      <w:marLeft w:val="0"/>
      <w:marRight w:val="0"/>
      <w:marTop w:val="0"/>
      <w:marBottom w:val="0"/>
      <w:divBdr>
        <w:top w:val="none" w:sz="0" w:space="0" w:color="auto"/>
        <w:left w:val="none" w:sz="0" w:space="0" w:color="auto"/>
        <w:bottom w:val="none" w:sz="0" w:space="0" w:color="auto"/>
        <w:right w:val="none" w:sz="0" w:space="0" w:color="auto"/>
      </w:divBdr>
    </w:div>
    <w:div w:id="69620277">
      <w:bodyDiv w:val="1"/>
      <w:marLeft w:val="0"/>
      <w:marRight w:val="0"/>
      <w:marTop w:val="0"/>
      <w:marBottom w:val="0"/>
      <w:divBdr>
        <w:top w:val="none" w:sz="0" w:space="0" w:color="auto"/>
        <w:left w:val="none" w:sz="0" w:space="0" w:color="auto"/>
        <w:bottom w:val="none" w:sz="0" w:space="0" w:color="auto"/>
        <w:right w:val="none" w:sz="0" w:space="0" w:color="auto"/>
      </w:divBdr>
    </w:div>
    <w:div w:id="70931479">
      <w:bodyDiv w:val="1"/>
      <w:marLeft w:val="0"/>
      <w:marRight w:val="0"/>
      <w:marTop w:val="0"/>
      <w:marBottom w:val="0"/>
      <w:divBdr>
        <w:top w:val="none" w:sz="0" w:space="0" w:color="auto"/>
        <w:left w:val="none" w:sz="0" w:space="0" w:color="auto"/>
        <w:bottom w:val="none" w:sz="0" w:space="0" w:color="auto"/>
        <w:right w:val="none" w:sz="0" w:space="0" w:color="auto"/>
      </w:divBdr>
    </w:div>
    <w:div w:id="77098429">
      <w:bodyDiv w:val="1"/>
      <w:marLeft w:val="0"/>
      <w:marRight w:val="0"/>
      <w:marTop w:val="0"/>
      <w:marBottom w:val="0"/>
      <w:divBdr>
        <w:top w:val="none" w:sz="0" w:space="0" w:color="auto"/>
        <w:left w:val="none" w:sz="0" w:space="0" w:color="auto"/>
        <w:bottom w:val="none" w:sz="0" w:space="0" w:color="auto"/>
        <w:right w:val="none" w:sz="0" w:space="0" w:color="auto"/>
      </w:divBdr>
    </w:div>
    <w:div w:id="86777982">
      <w:bodyDiv w:val="1"/>
      <w:marLeft w:val="0"/>
      <w:marRight w:val="0"/>
      <w:marTop w:val="0"/>
      <w:marBottom w:val="0"/>
      <w:divBdr>
        <w:top w:val="none" w:sz="0" w:space="0" w:color="auto"/>
        <w:left w:val="none" w:sz="0" w:space="0" w:color="auto"/>
        <w:bottom w:val="none" w:sz="0" w:space="0" w:color="auto"/>
        <w:right w:val="none" w:sz="0" w:space="0" w:color="auto"/>
      </w:divBdr>
    </w:div>
    <w:div w:id="91828502">
      <w:bodyDiv w:val="1"/>
      <w:marLeft w:val="0"/>
      <w:marRight w:val="0"/>
      <w:marTop w:val="0"/>
      <w:marBottom w:val="0"/>
      <w:divBdr>
        <w:top w:val="none" w:sz="0" w:space="0" w:color="auto"/>
        <w:left w:val="none" w:sz="0" w:space="0" w:color="auto"/>
        <w:bottom w:val="none" w:sz="0" w:space="0" w:color="auto"/>
        <w:right w:val="none" w:sz="0" w:space="0" w:color="auto"/>
      </w:divBdr>
    </w:div>
    <w:div w:id="129596283">
      <w:bodyDiv w:val="1"/>
      <w:marLeft w:val="0"/>
      <w:marRight w:val="0"/>
      <w:marTop w:val="0"/>
      <w:marBottom w:val="0"/>
      <w:divBdr>
        <w:top w:val="none" w:sz="0" w:space="0" w:color="auto"/>
        <w:left w:val="none" w:sz="0" w:space="0" w:color="auto"/>
        <w:bottom w:val="none" w:sz="0" w:space="0" w:color="auto"/>
        <w:right w:val="none" w:sz="0" w:space="0" w:color="auto"/>
      </w:divBdr>
    </w:div>
    <w:div w:id="137841233">
      <w:bodyDiv w:val="1"/>
      <w:marLeft w:val="0"/>
      <w:marRight w:val="0"/>
      <w:marTop w:val="0"/>
      <w:marBottom w:val="0"/>
      <w:divBdr>
        <w:top w:val="none" w:sz="0" w:space="0" w:color="auto"/>
        <w:left w:val="none" w:sz="0" w:space="0" w:color="auto"/>
        <w:bottom w:val="none" w:sz="0" w:space="0" w:color="auto"/>
        <w:right w:val="none" w:sz="0" w:space="0" w:color="auto"/>
      </w:divBdr>
    </w:div>
    <w:div w:id="152913086">
      <w:bodyDiv w:val="1"/>
      <w:marLeft w:val="0"/>
      <w:marRight w:val="0"/>
      <w:marTop w:val="0"/>
      <w:marBottom w:val="0"/>
      <w:divBdr>
        <w:top w:val="none" w:sz="0" w:space="0" w:color="auto"/>
        <w:left w:val="none" w:sz="0" w:space="0" w:color="auto"/>
        <w:bottom w:val="none" w:sz="0" w:space="0" w:color="auto"/>
        <w:right w:val="none" w:sz="0" w:space="0" w:color="auto"/>
      </w:divBdr>
    </w:div>
    <w:div w:id="175117327">
      <w:bodyDiv w:val="1"/>
      <w:marLeft w:val="0"/>
      <w:marRight w:val="0"/>
      <w:marTop w:val="0"/>
      <w:marBottom w:val="0"/>
      <w:divBdr>
        <w:top w:val="none" w:sz="0" w:space="0" w:color="auto"/>
        <w:left w:val="none" w:sz="0" w:space="0" w:color="auto"/>
        <w:bottom w:val="none" w:sz="0" w:space="0" w:color="auto"/>
        <w:right w:val="none" w:sz="0" w:space="0" w:color="auto"/>
      </w:divBdr>
    </w:div>
    <w:div w:id="224613216">
      <w:bodyDiv w:val="1"/>
      <w:marLeft w:val="0"/>
      <w:marRight w:val="0"/>
      <w:marTop w:val="0"/>
      <w:marBottom w:val="0"/>
      <w:divBdr>
        <w:top w:val="none" w:sz="0" w:space="0" w:color="auto"/>
        <w:left w:val="none" w:sz="0" w:space="0" w:color="auto"/>
        <w:bottom w:val="none" w:sz="0" w:space="0" w:color="auto"/>
        <w:right w:val="none" w:sz="0" w:space="0" w:color="auto"/>
      </w:divBdr>
    </w:div>
    <w:div w:id="245114560">
      <w:bodyDiv w:val="1"/>
      <w:marLeft w:val="0"/>
      <w:marRight w:val="0"/>
      <w:marTop w:val="0"/>
      <w:marBottom w:val="0"/>
      <w:divBdr>
        <w:top w:val="none" w:sz="0" w:space="0" w:color="auto"/>
        <w:left w:val="none" w:sz="0" w:space="0" w:color="auto"/>
        <w:bottom w:val="none" w:sz="0" w:space="0" w:color="auto"/>
        <w:right w:val="none" w:sz="0" w:space="0" w:color="auto"/>
      </w:divBdr>
    </w:div>
    <w:div w:id="246959784">
      <w:bodyDiv w:val="1"/>
      <w:marLeft w:val="0"/>
      <w:marRight w:val="0"/>
      <w:marTop w:val="0"/>
      <w:marBottom w:val="0"/>
      <w:divBdr>
        <w:top w:val="none" w:sz="0" w:space="0" w:color="auto"/>
        <w:left w:val="none" w:sz="0" w:space="0" w:color="auto"/>
        <w:bottom w:val="none" w:sz="0" w:space="0" w:color="auto"/>
        <w:right w:val="none" w:sz="0" w:space="0" w:color="auto"/>
      </w:divBdr>
      <w:divsChild>
        <w:div w:id="139465359">
          <w:marLeft w:val="480"/>
          <w:marRight w:val="0"/>
          <w:marTop w:val="0"/>
          <w:marBottom w:val="0"/>
          <w:divBdr>
            <w:top w:val="none" w:sz="0" w:space="0" w:color="auto"/>
            <w:left w:val="none" w:sz="0" w:space="0" w:color="auto"/>
            <w:bottom w:val="none" w:sz="0" w:space="0" w:color="auto"/>
            <w:right w:val="none" w:sz="0" w:space="0" w:color="auto"/>
          </w:divBdr>
          <w:divsChild>
            <w:div w:id="5329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3966">
      <w:bodyDiv w:val="1"/>
      <w:marLeft w:val="0"/>
      <w:marRight w:val="0"/>
      <w:marTop w:val="0"/>
      <w:marBottom w:val="0"/>
      <w:divBdr>
        <w:top w:val="none" w:sz="0" w:space="0" w:color="auto"/>
        <w:left w:val="none" w:sz="0" w:space="0" w:color="auto"/>
        <w:bottom w:val="none" w:sz="0" w:space="0" w:color="auto"/>
        <w:right w:val="none" w:sz="0" w:space="0" w:color="auto"/>
      </w:divBdr>
    </w:div>
    <w:div w:id="278681811">
      <w:bodyDiv w:val="1"/>
      <w:marLeft w:val="0"/>
      <w:marRight w:val="0"/>
      <w:marTop w:val="0"/>
      <w:marBottom w:val="0"/>
      <w:divBdr>
        <w:top w:val="none" w:sz="0" w:space="0" w:color="auto"/>
        <w:left w:val="none" w:sz="0" w:space="0" w:color="auto"/>
        <w:bottom w:val="none" w:sz="0" w:space="0" w:color="auto"/>
        <w:right w:val="none" w:sz="0" w:space="0" w:color="auto"/>
      </w:divBdr>
    </w:div>
    <w:div w:id="283316168">
      <w:bodyDiv w:val="1"/>
      <w:marLeft w:val="0"/>
      <w:marRight w:val="0"/>
      <w:marTop w:val="0"/>
      <w:marBottom w:val="0"/>
      <w:divBdr>
        <w:top w:val="none" w:sz="0" w:space="0" w:color="auto"/>
        <w:left w:val="none" w:sz="0" w:space="0" w:color="auto"/>
        <w:bottom w:val="none" w:sz="0" w:space="0" w:color="auto"/>
        <w:right w:val="none" w:sz="0" w:space="0" w:color="auto"/>
      </w:divBdr>
    </w:div>
    <w:div w:id="293220259">
      <w:bodyDiv w:val="1"/>
      <w:marLeft w:val="0"/>
      <w:marRight w:val="0"/>
      <w:marTop w:val="0"/>
      <w:marBottom w:val="0"/>
      <w:divBdr>
        <w:top w:val="none" w:sz="0" w:space="0" w:color="auto"/>
        <w:left w:val="none" w:sz="0" w:space="0" w:color="auto"/>
        <w:bottom w:val="none" w:sz="0" w:space="0" w:color="auto"/>
        <w:right w:val="none" w:sz="0" w:space="0" w:color="auto"/>
      </w:divBdr>
    </w:div>
    <w:div w:id="294987563">
      <w:bodyDiv w:val="1"/>
      <w:marLeft w:val="0"/>
      <w:marRight w:val="0"/>
      <w:marTop w:val="0"/>
      <w:marBottom w:val="0"/>
      <w:divBdr>
        <w:top w:val="none" w:sz="0" w:space="0" w:color="auto"/>
        <w:left w:val="none" w:sz="0" w:space="0" w:color="auto"/>
        <w:bottom w:val="none" w:sz="0" w:space="0" w:color="auto"/>
        <w:right w:val="none" w:sz="0" w:space="0" w:color="auto"/>
      </w:divBdr>
    </w:div>
    <w:div w:id="296449153">
      <w:bodyDiv w:val="1"/>
      <w:marLeft w:val="0"/>
      <w:marRight w:val="0"/>
      <w:marTop w:val="0"/>
      <w:marBottom w:val="0"/>
      <w:divBdr>
        <w:top w:val="none" w:sz="0" w:space="0" w:color="auto"/>
        <w:left w:val="none" w:sz="0" w:space="0" w:color="auto"/>
        <w:bottom w:val="none" w:sz="0" w:space="0" w:color="auto"/>
        <w:right w:val="none" w:sz="0" w:space="0" w:color="auto"/>
      </w:divBdr>
      <w:divsChild>
        <w:div w:id="571351389">
          <w:marLeft w:val="0"/>
          <w:marRight w:val="0"/>
          <w:marTop w:val="0"/>
          <w:marBottom w:val="0"/>
          <w:divBdr>
            <w:top w:val="none" w:sz="0" w:space="0" w:color="auto"/>
            <w:left w:val="none" w:sz="0" w:space="0" w:color="auto"/>
            <w:bottom w:val="none" w:sz="0" w:space="0" w:color="auto"/>
            <w:right w:val="none" w:sz="0" w:space="0" w:color="auto"/>
          </w:divBdr>
        </w:div>
      </w:divsChild>
    </w:div>
    <w:div w:id="298539488">
      <w:bodyDiv w:val="1"/>
      <w:marLeft w:val="0"/>
      <w:marRight w:val="0"/>
      <w:marTop w:val="0"/>
      <w:marBottom w:val="0"/>
      <w:divBdr>
        <w:top w:val="none" w:sz="0" w:space="0" w:color="auto"/>
        <w:left w:val="none" w:sz="0" w:space="0" w:color="auto"/>
        <w:bottom w:val="none" w:sz="0" w:space="0" w:color="auto"/>
        <w:right w:val="none" w:sz="0" w:space="0" w:color="auto"/>
      </w:divBdr>
    </w:div>
    <w:div w:id="314653558">
      <w:bodyDiv w:val="1"/>
      <w:marLeft w:val="0"/>
      <w:marRight w:val="0"/>
      <w:marTop w:val="0"/>
      <w:marBottom w:val="0"/>
      <w:divBdr>
        <w:top w:val="none" w:sz="0" w:space="0" w:color="auto"/>
        <w:left w:val="none" w:sz="0" w:space="0" w:color="auto"/>
        <w:bottom w:val="none" w:sz="0" w:space="0" w:color="auto"/>
        <w:right w:val="none" w:sz="0" w:space="0" w:color="auto"/>
      </w:divBdr>
      <w:divsChild>
        <w:div w:id="1867135978">
          <w:marLeft w:val="480"/>
          <w:marRight w:val="0"/>
          <w:marTop w:val="0"/>
          <w:marBottom w:val="0"/>
          <w:divBdr>
            <w:top w:val="none" w:sz="0" w:space="0" w:color="auto"/>
            <w:left w:val="none" w:sz="0" w:space="0" w:color="auto"/>
            <w:bottom w:val="none" w:sz="0" w:space="0" w:color="auto"/>
            <w:right w:val="none" w:sz="0" w:space="0" w:color="auto"/>
          </w:divBdr>
          <w:divsChild>
            <w:div w:id="9742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50422">
      <w:bodyDiv w:val="1"/>
      <w:marLeft w:val="0"/>
      <w:marRight w:val="0"/>
      <w:marTop w:val="0"/>
      <w:marBottom w:val="0"/>
      <w:divBdr>
        <w:top w:val="none" w:sz="0" w:space="0" w:color="auto"/>
        <w:left w:val="none" w:sz="0" w:space="0" w:color="auto"/>
        <w:bottom w:val="none" w:sz="0" w:space="0" w:color="auto"/>
        <w:right w:val="none" w:sz="0" w:space="0" w:color="auto"/>
      </w:divBdr>
    </w:div>
    <w:div w:id="348803312">
      <w:bodyDiv w:val="1"/>
      <w:marLeft w:val="0"/>
      <w:marRight w:val="0"/>
      <w:marTop w:val="0"/>
      <w:marBottom w:val="0"/>
      <w:divBdr>
        <w:top w:val="none" w:sz="0" w:space="0" w:color="auto"/>
        <w:left w:val="none" w:sz="0" w:space="0" w:color="auto"/>
        <w:bottom w:val="none" w:sz="0" w:space="0" w:color="auto"/>
        <w:right w:val="none" w:sz="0" w:space="0" w:color="auto"/>
      </w:divBdr>
    </w:div>
    <w:div w:id="372847433">
      <w:bodyDiv w:val="1"/>
      <w:marLeft w:val="0"/>
      <w:marRight w:val="0"/>
      <w:marTop w:val="0"/>
      <w:marBottom w:val="0"/>
      <w:divBdr>
        <w:top w:val="none" w:sz="0" w:space="0" w:color="auto"/>
        <w:left w:val="none" w:sz="0" w:space="0" w:color="auto"/>
        <w:bottom w:val="none" w:sz="0" w:space="0" w:color="auto"/>
        <w:right w:val="none" w:sz="0" w:space="0" w:color="auto"/>
      </w:divBdr>
      <w:divsChild>
        <w:div w:id="384721814">
          <w:marLeft w:val="480"/>
          <w:marRight w:val="0"/>
          <w:marTop w:val="0"/>
          <w:marBottom w:val="0"/>
          <w:divBdr>
            <w:top w:val="none" w:sz="0" w:space="0" w:color="auto"/>
            <w:left w:val="none" w:sz="0" w:space="0" w:color="auto"/>
            <w:bottom w:val="none" w:sz="0" w:space="0" w:color="auto"/>
            <w:right w:val="none" w:sz="0" w:space="0" w:color="auto"/>
          </w:divBdr>
          <w:divsChild>
            <w:div w:id="6527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5871">
      <w:bodyDiv w:val="1"/>
      <w:marLeft w:val="0"/>
      <w:marRight w:val="0"/>
      <w:marTop w:val="0"/>
      <w:marBottom w:val="0"/>
      <w:divBdr>
        <w:top w:val="none" w:sz="0" w:space="0" w:color="auto"/>
        <w:left w:val="none" w:sz="0" w:space="0" w:color="auto"/>
        <w:bottom w:val="none" w:sz="0" w:space="0" w:color="auto"/>
        <w:right w:val="none" w:sz="0" w:space="0" w:color="auto"/>
      </w:divBdr>
      <w:divsChild>
        <w:div w:id="726952414">
          <w:marLeft w:val="480"/>
          <w:marRight w:val="0"/>
          <w:marTop w:val="0"/>
          <w:marBottom w:val="0"/>
          <w:divBdr>
            <w:top w:val="none" w:sz="0" w:space="0" w:color="auto"/>
            <w:left w:val="none" w:sz="0" w:space="0" w:color="auto"/>
            <w:bottom w:val="none" w:sz="0" w:space="0" w:color="auto"/>
            <w:right w:val="none" w:sz="0" w:space="0" w:color="auto"/>
          </w:divBdr>
          <w:divsChild>
            <w:div w:id="11195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5550">
      <w:bodyDiv w:val="1"/>
      <w:marLeft w:val="0"/>
      <w:marRight w:val="0"/>
      <w:marTop w:val="0"/>
      <w:marBottom w:val="0"/>
      <w:divBdr>
        <w:top w:val="none" w:sz="0" w:space="0" w:color="auto"/>
        <w:left w:val="none" w:sz="0" w:space="0" w:color="auto"/>
        <w:bottom w:val="none" w:sz="0" w:space="0" w:color="auto"/>
        <w:right w:val="none" w:sz="0" w:space="0" w:color="auto"/>
      </w:divBdr>
    </w:div>
    <w:div w:id="404647005">
      <w:bodyDiv w:val="1"/>
      <w:marLeft w:val="0"/>
      <w:marRight w:val="0"/>
      <w:marTop w:val="0"/>
      <w:marBottom w:val="0"/>
      <w:divBdr>
        <w:top w:val="none" w:sz="0" w:space="0" w:color="auto"/>
        <w:left w:val="none" w:sz="0" w:space="0" w:color="auto"/>
        <w:bottom w:val="none" w:sz="0" w:space="0" w:color="auto"/>
        <w:right w:val="none" w:sz="0" w:space="0" w:color="auto"/>
      </w:divBdr>
    </w:div>
    <w:div w:id="406222814">
      <w:bodyDiv w:val="1"/>
      <w:marLeft w:val="0"/>
      <w:marRight w:val="0"/>
      <w:marTop w:val="0"/>
      <w:marBottom w:val="0"/>
      <w:divBdr>
        <w:top w:val="none" w:sz="0" w:space="0" w:color="auto"/>
        <w:left w:val="none" w:sz="0" w:space="0" w:color="auto"/>
        <w:bottom w:val="none" w:sz="0" w:space="0" w:color="auto"/>
        <w:right w:val="none" w:sz="0" w:space="0" w:color="auto"/>
      </w:divBdr>
    </w:div>
    <w:div w:id="413938598">
      <w:bodyDiv w:val="1"/>
      <w:marLeft w:val="0"/>
      <w:marRight w:val="0"/>
      <w:marTop w:val="0"/>
      <w:marBottom w:val="0"/>
      <w:divBdr>
        <w:top w:val="none" w:sz="0" w:space="0" w:color="auto"/>
        <w:left w:val="none" w:sz="0" w:space="0" w:color="auto"/>
        <w:bottom w:val="none" w:sz="0" w:space="0" w:color="auto"/>
        <w:right w:val="none" w:sz="0" w:space="0" w:color="auto"/>
      </w:divBdr>
    </w:div>
    <w:div w:id="437407906">
      <w:bodyDiv w:val="1"/>
      <w:marLeft w:val="0"/>
      <w:marRight w:val="0"/>
      <w:marTop w:val="0"/>
      <w:marBottom w:val="0"/>
      <w:divBdr>
        <w:top w:val="none" w:sz="0" w:space="0" w:color="auto"/>
        <w:left w:val="none" w:sz="0" w:space="0" w:color="auto"/>
        <w:bottom w:val="none" w:sz="0" w:space="0" w:color="auto"/>
        <w:right w:val="none" w:sz="0" w:space="0" w:color="auto"/>
      </w:divBdr>
    </w:div>
    <w:div w:id="437676591">
      <w:bodyDiv w:val="1"/>
      <w:marLeft w:val="0"/>
      <w:marRight w:val="0"/>
      <w:marTop w:val="0"/>
      <w:marBottom w:val="0"/>
      <w:divBdr>
        <w:top w:val="none" w:sz="0" w:space="0" w:color="auto"/>
        <w:left w:val="none" w:sz="0" w:space="0" w:color="auto"/>
        <w:bottom w:val="none" w:sz="0" w:space="0" w:color="auto"/>
        <w:right w:val="none" w:sz="0" w:space="0" w:color="auto"/>
      </w:divBdr>
    </w:div>
    <w:div w:id="470564395">
      <w:bodyDiv w:val="1"/>
      <w:marLeft w:val="0"/>
      <w:marRight w:val="0"/>
      <w:marTop w:val="0"/>
      <w:marBottom w:val="0"/>
      <w:divBdr>
        <w:top w:val="none" w:sz="0" w:space="0" w:color="auto"/>
        <w:left w:val="none" w:sz="0" w:space="0" w:color="auto"/>
        <w:bottom w:val="none" w:sz="0" w:space="0" w:color="auto"/>
        <w:right w:val="none" w:sz="0" w:space="0" w:color="auto"/>
      </w:divBdr>
      <w:divsChild>
        <w:div w:id="519661249">
          <w:marLeft w:val="480"/>
          <w:marRight w:val="0"/>
          <w:marTop w:val="0"/>
          <w:marBottom w:val="0"/>
          <w:divBdr>
            <w:top w:val="none" w:sz="0" w:space="0" w:color="auto"/>
            <w:left w:val="none" w:sz="0" w:space="0" w:color="auto"/>
            <w:bottom w:val="none" w:sz="0" w:space="0" w:color="auto"/>
            <w:right w:val="none" w:sz="0" w:space="0" w:color="auto"/>
          </w:divBdr>
          <w:divsChild>
            <w:div w:id="90669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3346">
      <w:bodyDiv w:val="1"/>
      <w:marLeft w:val="0"/>
      <w:marRight w:val="0"/>
      <w:marTop w:val="0"/>
      <w:marBottom w:val="0"/>
      <w:divBdr>
        <w:top w:val="none" w:sz="0" w:space="0" w:color="auto"/>
        <w:left w:val="none" w:sz="0" w:space="0" w:color="auto"/>
        <w:bottom w:val="none" w:sz="0" w:space="0" w:color="auto"/>
        <w:right w:val="none" w:sz="0" w:space="0" w:color="auto"/>
      </w:divBdr>
    </w:div>
    <w:div w:id="519321472">
      <w:bodyDiv w:val="1"/>
      <w:marLeft w:val="0"/>
      <w:marRight w:val="0"/>
      <w:marTop w:val="0"/>
      <w:marBottom w:val="0"/>
      <w:divBdr>
        <w:top w:val="none" w:sz="0" w:space="0" w:color="auto"/>
        <w:left w:val="none" w:sz="0" w:space="0" w:color="auto"/>
        <w:bottom w:val="none" w:sz="0" w:space="0" w:color="auto"/>
        <w:right w:val="none" w:sz="0" w:space="0" w:color="auto"/>
      </w:divBdr>
    </w:div>
    <w:div w:id="547955486">
      <w:bodyDiv w:val="1"/>
      <w:marLeft w:val="0"/>
      <w:marRight w:val="0"/>
      <w:marTop w:val="0"/>
      <w:marBottom w:val="0"/>
      <w:divBdr>
        <w:top w:val="none" w:sz="0" w:space="0" w:color="auto"/>
        <w:left w:val="none" w:sz="0" w:space="0" w:color="auto"/>
        <w:bottom w:val="none" w:sz="0" w:space="0" w:color="auto"/>
        <w:right w:val="none" w:sz="0" w:space="0" w:color="auto"/>
      </w:divBdr>
    </w:div>
    <w:div w:id="561140501">
      <w:bodyDiv w:val="1"/>
      <w:marLeft w:val="0"/>
      <w:marRight w:val="0"/>
      <w:marTop w:val="0"/>
      <w:marBottom w:val="0"/>
      <w:divBdr>
        <w:top w:val="none" w:sz="0" w:space="0" w:color="auto"/>
        <w:left w:val="none" w:sz="0" w:space="0" w:color="auto"/>
        <w:bottom w:val="none" w:sz="0" w:space="0" w:color="auto"/>
        <w:right w:val="none" w:sz="0" w:space="0" w:color="auto"/>
      </w:divBdr>
    </w:div>
    <w:div w:id="568419655">
      <w:bodyDiv w:val="1"/>
      <w:marLeft w:val="0"/>
      <w:marRight w:val="0"/>
      <w:marTop w:val="0"/>
      <w:marBottom w:val="0"/>
      <w:divBdr>
        <w:top w:val="none" w:sz="0" w:space="0" w:color="auto"/>
        <w:left w:val="none" w:sz="0" w:space="0" w:color="auto"/>
        <w:bottom w:val="none" w:sz="0" w:space="0" w:color="auto"/>
        <w:right w:val="none" w:sz="0" w:space="0" w:color="auto"/>
      </w:divBdr>
    </w:div>
    <w:div w:id="571160533">
      <w:bodyDiv w:val="1"/>
      <w:marLeft w:val="0"/>
      <w:marRight w:val="0"/>
      <w:marTop w:val="0"/>
      <w:marBottom w:val="0"/>
      <w:divBdr>
        <w:top w:val="none" w:sz="0" w:space="0" w:color="auto"/>
        <w:left w:val="none" w:sz="0" w:space="0" w:color="auto"/>
        <w:bottom w:val="none" w:sz="0" w:space="0" w:color="auto"/>
        <w:right w:val="none" w:sz="0" w:space="0" w:color="auto"/>
      </w:divBdr>
    </w:div>
    <w:div w:id="590241557">
      <w:bodyDiv w:val="1"/>
      <w:marLeft w:val="0"/>
      <w:marRight w:val="0"/>
      <w:marTop w:val="0"/>
      <w:marBottom w:val="0"/>
      <w:divBdr>
        <w:top w:val="none" w:sz="0" w:space="0" w:color="auto"/>
        <w:left w:val="none" w:sz="0" w:space="0" w:color="auto"/>
        <w:bottom w:val="none" w:sz="0" w:space="0" w:color="auto"/>
        <w:right w:val="none" w:sz="0" w:space="0" w:color="auto"/>
      </w:divBdr>
    </w:div>
    <w:div w:id="590358297">
      <w:bodyDiv w:val="1"/>
      <w:marLeft w:val="0"/>
      <w:marRight w:val="0"/>
      <w:marTop w:val="0"/>
      <w:marBottom w:val="0"/>
      <w:divBdr>
        <w:top w:val="none" w:sz="0" w:space="0" w:color="auto"/>
        <w:left w:val="none" w:sz="0" w:space="0" w:color="auto"/>
        <w:bottom w:val="none" w:sz="0" w:space="0" w:color="auto"/>
        <w:right w:val="none" w:sz="0" w:space="0" w:color="auto"/>
      </w:divBdr>
    </w:div>
    <w:div w:id="595796642">
      <w:bodyDiv w:val="1"/>
      <w:marLeft w:val="0"/>
      <w:marRight w:val="0"/>
      <w:marTop w:val="0"/>
      <w:marBottom w:val="0"/>
      <w:divBdr>
        <w:top w:val="none" w:sz="0" w:space="0" w:color="auto"/>
        <w:left w:val="none" w:sz="0" w:space="0" w:color="auto"/>
        <w:bottom w:val="none" w:sz="0" w:space="0" w:color="auto"/>
        <w:right w:val="none" w:sz="0" w:space="0" w:color="auto"/>
      </w:divBdr>
    </w:div>
    <w:div w:id="611785229">
      <w:bodyDiv w:val="1"/>
      <w:marLeft w:val="0"/>
      <w:marRight w:val="0"/>
      <w:marTop w:val="0"/>
      <w:marBottom w:val="0"/>
      <w:divBdr>
        <w:top w:val="none" w:sz="0" w:space="0" w:color="auto"/>
        <w:left w:val="none" w:sz="0" w:space="0" w:color="auto"/>
        <w:bottom w:val="none" w:sz="0" w:space="0" w:color="auto"/>
        <w:right w:val="none" w:sz="0" w:space="0" w:color="auto"/>
      </w:divBdr>
    </w:div>
    <w:div w:id="624770125">
      <w:bodyDiv w:val="1"/>
      <w:marLeft w:val="0"/>
      <w:marRight w:val="0"/>
      <w:marTop w:val="0"/>
      <w:marBottom w:val="0"/>
      <w:divBdr>
        <w:top w:val="none" w:sz="0" w:space="0" w:color="auto"/>
        <w:left w:val="none" w:sz="0" w:space="0" w:color="auto"/>
        <w:bottom w:val="none" w:sz="0" w:space="0" w:color="auto"/>
        <w:right w:val="none" w:sz="0" w:space="0" w:color="auto"/>
      </w:divBdr>
    </w:div>
    <w:div w:id="629632642">
      <w:bodyDiv w:val="1"/>
      <w:marLeft w:val="0"/>
      <w:marRight w:val="0"/>
      <w:marTop w:val="0"/>
      <w:marBottom w:val="0"/>
      <w:divBdr>
        <w:top w:val="none" w:sz="0" w:space="0" w:color="auto"/>
        <w:left w:val="none" w:sz="0" w:space="0" w:color="auto"/>
        <w:bottom w:val="none" w:sz="0" w:space="0" w:color="auto"/>
        <w:right w:val="none" w:sz="0" w:space="0" w:color="auto"/>
      </w:divBdr>
    </w:div>
    <w:div w:id="640115323">
      <w:bodyDiv w:val="1"/>
      <w:marLeft w:val="0"/>
      <w:marRight w:val="0"/>
      <w:marTop w:val="0"/>
      <w:marBottom w:val="0"/>
      <w:divBdr>
        <w:top w:val="none" w:sz="0" w:space="0" w:color="auto"/>
        <w:left w:val="none" w:sz="0" w:space="0" w:color="auto"/>
        <w:bottom w:val="none" w:sz="0" w:space="0" w:color="auto"/>
        <w:right w:val="none" w:sz="0" w:space="0" w:color="auto"/>
      </w:divBdr>
    </w:div>
    <w:div w:id="641807448">
      <w:bodyDiv w:val="1"/>
      <w:marLeft w:val="0"/>
      <w:marRight w:val="0"/>
      <w:marTop w:val="0"/>
      <w:marBottom w:val="0"/>
      <w:divBdr>
        <w:top w:val="none" w:sz="0" w:space="0" w:color="auto"/>
        <w:left w:val="none" w:sz="0" w:space="0" w:color="auto"/>
        <w:bottom w:val="none" w:sz="0" w:space="0" w:color="auto"/>
        <w:right w:val="none" w:sz="0" w:space="0" w:color="auto"/>
      </w:divBdr>
    </w:div>
    <w:div w:id="654184429">
      <w:bodyDiv w:val="1"/>
      <w:marLeft w:val="0"/>
      <w:marRight w:val="0"/>
      <w:marTop w:val="0"/>
      <w:marBottom w:val="0"/>
      <w:divBdr>
        <w:top w:val="none" w:sz="0" w:space="0" w:color="auto"/>
        <w:left w:val="none" w:sz="0" w:space="0" w:color="auto"/>
        <w:bottom w:val="none" w:sz="0" w:space="0" w:color="auto"/>
        <w:right w:val="none" w:sz="0" w:space="0" w:color="auto"/>
      </w:divBdr>
    </w:div>
    <w:div w:id="681971625">
      <w:bodyDiv w:val="1"/>
      <w:marLeft w:val="0"/>
      <w:marRight w:val="0"/>
      <w:marTop w:val="0"/>
      <w:marBottom w:val="0"/>
      <w:divBdr>
        <w:top w:val="none" w:sz="0" w:space="0" w:color="auto"/>
        <w:left w:val="none" w:sz="0" w:space="0" w:color="auto"/>
        <w:bottom w:val="none" w:sz="0" w:space="0" w:color="auto"/>
        <w:right w:val="none" w:sz="0" w:space="0" w:color="auto"/>
      </w:divBdr>
    </w:div>
    <w:div w:id="688218995">
      <w:bodyDiv w:val="1"/>
      <w:marLeft w:val="0"/>
      <w:marRight w:val="0"/>
      <w:marTop w:val="0"/>
      <w:marBottom w:val="0"/>
      <w:divBdr>
        <w:top w:val="none" w:sz="0" w:space="0" w:color="auto"/>
        <w:left w:val="none" w:sz="0" w:space="0" w:color="auto"/>
        <w:bottom w:val="none" w:sz="0" w:space="0" w:color="auto"/>
        <w:right w:val="none" w:sz="0" w:space="0" w:color="auto"/>
      </w:divBdr>
    </w:div>
    <w:div w:id="698240815">
      <w:bodyDiv w:val="1"/>
      <w:marLeft w:val="0"/>
      <w:marRight w:val="0"/>
      <w:marTop w:val="0"/>
      <w:marBottom w:val="0"/>
      <w:divBdr>
        <w:top w:val="none" w:sz="0" w:space="0" w:color="auto"/>
        <w:left w:val="none" w:sz="0" w:space="0" w:color="auto"/>
        <w:bottom w:val="none" w:sz="0" w:space="0" w:color="auto"/>
        <w:right w:val="none" w:sz="0" w:space="0" w:color="auto"/>
      </w:divBdr>
    </w:div>
    <w:div w:id="705715601">
      <w:bodyDiv w:val="1"/>
      <w:marLeft w:val="0"/>
      <w:marRight w:val="0"/>
      <w:marTop w:val="0"/>
      <w:marBottom w:val="0"/>
      <w:divBdr>
        <w:top w:val="none" w:sz="0" w:space="0" w:color="auto"/>
        <w:left w:val="none" w:sz="0" w:space="0" w:color="auto"/>
        <w:bottom w:val="none" w:sz="0" w:space="0" w:color="auto"/>
        <w:right w:val="none" w:sz="0" w:space="0" w:color="auto"/>
      </w:divBdr>
    </w:div>
    <w:div w:id="709498188">
      <w:bodyDiv w:val="1"/>
      <w:marLeft w:val="0"/>
      <w:marRight w:val="0"/>
      <w:marTop w:val="0"/>
      <w:marBottom w:val="0"/>
      <w:divBdr>
        <w:top w:val="none" w:sz="0" w:space="0" w:color="auto"/>
        <w:left w:val="none" w:sz="0" w:space="0" w:color="auto"/>
        <w:bottom w:val="none" w:sz="0" w:space="0" w:color="auto"/>
        <w:right w:val="none" w:sz="0" w:space="0" w:color="auto"/>
      </w:divBdr>
    </w:div>
    <w:div w:id="724764682">
      <w:bodyDiv w:val="1"/>
      <w:marLeft w:val="0"/>
      <w:marRight w:val="0"/>
      <w:marTop w:val="0"/>
      <w:marBottom w:val="0"/>
      <w:divBdr>
        <w:top w:val="none" w:sz="0" w:space="0" w:color="auto"/>
        <w:left w:val="none" w:sz="0" w:space="0" w:color="auto"/>
        <w:bottom w:val="none" w:sz="0" w:space="0" w:color="auto"/>
        <w:right w:val="none" w:sz="0" w:space="0" w:color="auto"/>
      </w:divBdr>
      <w:divsChild>
        <w:div w:id="1413235047">
          <w:marLeft w:val="480"/>
          <w:marRight w:val="0"/>
          <w:marTop w:val="0"/>
          <w:marBottom w:val="0"/>
          <w:divBdr>
            <w:top w:val="none" w:sz="0" w:space="0" w:color="auto"/>
            <w:left w:val="none" w:sz="0" w:space="0" w:color="auto"/>
            <w:bottom w:val="none" w:sz="0" w:space="0" w:color="auto"/>
            <w:right w:val="none" w:sz="0" w:space="0" w:color="auto"/>
          </w:divBdr>
          <w:divsChild>
            <w:div w:id="13241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90682">
      <w:bodyDiv w:val="1"/>
      <w:marLeft w:val="0"/>
      <w:marRight w:val="0"/>
      <w:marTop w:val="0"/>
      <w:marBottom w:val="0"/>
      <w:divBdr>
        <w:top w:val="none" w:sz="0" w:space="0" w:color="auto"/>
        <w:left w:val="none" w:sz="0" w:space="0" w:color="auto"/>
        <w:bottom w:val="none" w:sz="0" w:space="0" w:color="auto"/>
        <w:right w:val="none" w:sz="0" w:space="0" w:color="auto"/>
      </w:divBdr>
    </w:div>
    <w:div w:id="765001748">
      <w:bodyDiv w:val="1"/>
      <w:marLeft w:val="0"/>
      <w:marRight w:val="0"/>
      <w:marTop w:val="0"/>
      <w:marBottom w:val="0"/>
      <w:divBdr>
        <w:top w:val="none" w:sz="0" w:space="0" w:color="auto"/>
        <w:left w:val="none" w:sz="0" w:space="0" w:color="auto"/>
        <w:bottom w:val="none" w:sz="0" w:space="0" w:color="auto"/>
        <w:right w:val="none" w:sz="0" w:space="0" w:color="auto"/>
      </w:divBdr>
    </w:div>
    <w:div w:id="788283154">
      <w:bodyDiv w:val="1"/>
      <w:marLeft w:val="0"/>
      <w:marRight w:val="0"/>
      <w:marTop w:val="0"/>
      <w:marBottom w:val="0"/>
      <w:divBdr>
        <w:top w:val="none" w:sz="0" w:space="0" w:color="auto"/>
        <w:left w:val="none" w:sz="0" w:space="0" w:color="auto"/>
        <w:bottom w:val="none" w:sz="0" w:space="0" w:color="auto"/>
        <w:right w:val="none" w:sz="0" w:space="0" w:color="auto"/>
      </w:divBdr>
    </w:div>
    <w:div w:id="788546880">
      <w:bodyDiv w:val="1"/>
      <w:marLeft w:val="0"/>
      <w:marRight w:val="0"/>
      <w:marTop w:val="0"/>
      <w:marBottom w:val="0"/>
      <w:divBdr>
        <w:top w:val="none" w:sz="0" w:space="0" w:color="auto"/>
        <w:left w:val="none" w:sz="0" w:space="0" w:color="auto"/>
        <w:bottom w:val="none" w:sz="0" w:space="0" w:color="auto"/>
        <w:right w:val="none" w:sz="0" w:space="0" w:color="auto"/>
      </w:divBdr>
    </w:div>
    <w:div w:id="801702277">
      <w:bodyDiv w:val="1"/>
      <w:marLeft w:val="0"/>
      <w:marRight w:val="0"/>
      <w:marTop w:val="0"/>
      <w:marBottom w:val="0"/>
      <w:divBdr>
        <w:top w:val="none" w:sz="0" w:space="0" w:color="auto"/>
        <w:left w:val="none" w:sz="0" w:space="0" w:color="auto"/>
        <w:bottom w:val="none" w:sz="0" w:space="0" w:color="auto"/>
        <w:right w:val="none" w:sz="0" w:space="0" w:color="auto"/>
      </w:divBdr>
    </w:div>
    <w:div w:id="806166580">
      <w:bodyDiv w:val="1"/>
      <w:marLeft w:val="0"/>
      <w:marRight w:val="0"/>
      <w:marTop w:val="0"/>
      <w:marBottom w:val="0"/>
      <w:divBdr>
        <w:top w:val="none" w:sz="0" w:space="0" w:color="auto"/>
        <w:left w:val="none" w:sz="0" w:space="0" w:color="auto"/>
        <w:bottom w:val="none" w:sz="0" w:space="0" w:color="auto"/>
        <w:right w:val="none" w:sz="0" w:space="0" w:color="auto"/>
      </w:divBdr>
      <w:divsChild>
        <w:div w:id="1473013682">
          <w:marLeft w:val="0"/>
          <w:marRight w:val="0"/>
          <w:marTop w:val="0"/>
          <w:marBottom w:val="0"/>
          <w:divBdr>
            <w:top w:val="none" w:sz="0" w:space="0" w:color="auto"/>
            <w:left w:val="none" w:sz="0" w:space="0" w:color="auto"/>
            <w:bottom w:val="none" w:sz="0" w:space="0" w:color="auto"/>
            <w:right w:val="none" w:sz="0" w:space="0" w:color="auto"/>
          </w:divBdr>
          <w:divsChild>
            <w:div w:id="2113738863">
              <w:marLeft w:val="0"/>
              <w:marRight w:val="0"/>
              <w:marTop w:val="0"/>
              <w:marBottom w:val="0"/>
              <w:divBdr>
                <w:top w:val="none" w:sz="0" w:space="0" w:color="auto"/>
                <w:left w:val="none" w:sz="0" w:space="0" w:color="auto"/>
                <w:bottom w:val="none" w:sz="0" w:space="0" w:color="auto"/>
                <w:right w:val="none" w:sz="0" w:space="0" w:color="auto"/>
              </w:divBdr>
              <w:divsChild>
                <w:div w:id="881019676">
                  <w:marLeft w:val="0"/>
                  <w:marRight w:val="0"/>
                  <w:marTop w:val="0"/>
                  <w:marBottom w:val="0"/>
                  <w:divBdr>
                    <w:top w:val="none" w:sz="0" w:space="0" w:color="auto"/>
                    <w:left w:val="none" w:sz="0" w:space="0" w:color="auto"/>
                    <w:bottom w:val="none" w:sz="0" w:space="0" w:color="auto"/>
                    <w:right w:val="none" w:sz="0" w:space="0" w:color="auto"/>
                  </w:divBdr>
                  <w:divsChild>
                    <w:div w:id="8832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4889">
      <w:bodyDiv w:val="1"/>
      <w:marLeft w:val="0"/>
      <w:marRight w:val="0"/>
      <w:marTop w:val="0"/>
      <w:marBottom w:val="0"/>
      <w:divBdr>
        <w:top w:val="none" w:sz="0" w:space="0" w:color="auto"/>
        <w:left w:val="none" w:sz="0" w:space="0" w:color="auto"/>
        <w:bottom w:val="none" w:sz="0" w:space="0" w:color="auto"/>
        <w:right w:val="none" w:sz="0" w:space="0" w:color="auto"/>
      </w:divBdr>
    </w:div>
    <w:div w:id="875774510">
      <w:bodyDiv w:val="1"/>
      <w:marLeft w:val="0"/>
      <w:marRight w:val="0"/>
      <w:marTop w:val="0"/>
      <w:marBottom w:val="0"/>
      <w:divBdr>
        <w:top w:val="none" w:sz="0" w:space="0" w:color="auto"/>
        <w:left w:val="none" w:sz="0" w:space="0" w:color="auto"/>
        <w:bottom w:val="none" w:sz="0" w:space="0" w:color="auto"/>
        <w:right w:val="none" w:sz="0" w:space="0" w:color="auto"/>
      </w:divBdr>
    </w:div>
    <w:div w:id="877162824">
      <w:bodyDiv w:val="1"/>
      <w:marLeft w:val="0"/>
      <w:marRight w:val="0"/>
      <w:marTop w:val="0"/>
      <w:marBottom w:val="0"/>
      <w:divBdr>
        <w:top w:val="none" w:sz="0" w:space="0" w:color="auto"/>
        <w:left w:val="none" w:sz="0" w:space="0" w:color="auto"/>
        <w:bottom w:val="none" w:sz="0" w:space="0" w:color="auto"/>
        <w:right w:val="none" w:sz="0" w:space="0" w:color="auto"/>
      </w:divBdr>
    </w:div>
    <w:div w:id="892690588">
      <w:bodyDiv w:val="1"/>
      <w:marLeft w:val="0"/>
      <w:marRight w:val="0"/>
      <w:marTop w:val="0"/>
      <w:marBottom w:val="0"/>
      <w:divBdr>
        <w:top w:val="none" w:sz="0" w:space="0" w:color="auto"/>
        <w:left w:val="none" w:sz="0" w:space="0" w:color="auto"/>
        <w:bottom w:val="none" w:sz="0" w:space="0" w:color="auto"/>
        <w:right w:val="none" w:sz="0" w:space="0" w:color="auto"/>
      </w:divBdr>
    </w:div>
    <w:div w:id="918711881">
      <w:bodyDiv w:val="1"/>
      <w:marLeft w:val="0"/>
      <w:marRight w:val="0"/>
      <w:marTop w:val="0"/>
      <w:marBottom w:val="0"/>
      <w:divBdr>
        <w:top w:val="none" w:sz="0" w:space="0" w:color="auto"/>
        <w:left w:val="none" w:sz="0" w:space="0" w:color="auto"/>
        <w:bottom w:val="none" w:sz="0" w:space="0" w:color="auto"/>
        <w:right w:val="none" w:sz="0" w:space="0" w:color="auto"/>
      </w:divBdr>
    </w:div>
    <w:div w:id="951084638">
      <w:bodyDiv w:val="1"/>
      <w:marLeft w:val="0"/>
      <w:marRight w:val="0"/>
      <w:marTop w:val="0"/>
      <w:marBottom w:val="0"/>
      <w:divBdr>
        <w:top w:val="none" w:sz="0" w:space="0" w:color="auto"/>
        <w:left w:val="none" w:sz="0" w:space="0" w:color="auto"/>
        <w:bottom w:val="none" w:sz="0" w:space="0" w:color="auto"/>
        <w:right w:val="none" w:sz="0" w:space="0" w:color="auto"/>
      </w:divBdr>
      <w:divsChild>
        <w:div w:id="1208952012">
          <w:marLeft w:val="480"/>
          <w:marRight w:val="0"/>
          <w:marTop w:val="0"/>
          <w:marBottom w:val="0"/>
          <w:divBdr>
            <w:top w:val="none" w:sz="0" w:space="0" w:color="auto"/>
            <w:left w:val="none" w:sz="0" w:space="0" w:color="auto"/>
            <w:bottom w:val="none" w:sz="0" w:space="0" w:color="auto"/>
            <w:right w:val="none" w:sz="0" w:space="0" w:color="auto"/>
          </w:divBdr>
          <w:divsChild>
            <w:div w:id="704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81401">
      <w:bodyDiv w:val="1"/>
      <w:marLeft w:val="0"/>
      <w:marRight w:val="0"/>
      <w:marTop w:val="0"/>
      <w:marBottom w:val="0"/>
      <w:divBdr>
        <w:top w:val="none" w:sz="0" w:space="0" w:color="auto"/>
        <w:left w:val="none" w:sz="0" w:space="0" w:color="auto"/>
        <w:bottom w:val="none" w:sz="0" w:space="0" w:color="auto"/>
        <w:right w:val="none" w:sz="0" w:space="0" w:color="auto"/>
      </w:divBdr>
    </w:div>
    <w:div w:id="984504766">
      <w:bodyDiv w:val="1"/>
      <w:marLeft w:val="0"/>
      <w:marRight w:val="0"/>
      <w:marTop w:val="0"/>
      <w:marBottom w:val="0"/>
      <w:divBdr>
        <w:top w:val="none" w:sz="0" w:space="0" w:color="auto"/>
        <w:left w:val="none" w:sz="0" w:space="0" w:color="auto"/>
        <w:bottom w:val="none" w:sz="0" w:space="0" w:color="auto"/>
        <w:right w:val="none" w:sz="0" w:space="0" w:color="auto"/>
      </w:divBdr>
    </w:div>
    <w:div w:id="997880702">
      <w:bodyDiv w:val="1"/>
      <w:marLeft w:val="0"/>
      <w:marRight w:val="0"/>
      <w:marTop w:val="0"/>
      <w:marBottom w:val="0"/>
      <w:divBdr>
        <w:top w:val="none" w:sz="0" w:space="0" w:color="auto"/>
        <w:left w:val="none" w:sz="0" w:space="0" w:color="auto"/>
        <w:bottom w:val="none" w:sz="0" w:space="0" w:color="auto"/>
        <w:right w:val="none" w:sz="0" w:space="0" w:color="auto"/>
      </w:divBdr>
    </w:div>
    <w:div w:id="1002204454">
      <w:bodyDiv w:val="1"/>
      <w:marLeft w:val="0"/>
      <w:marRight w:val="0"/>
      <w:marTop w:val="0"/>
      <w:marBottom w:val="0"/>
      <w:divBdr>
        <w:top w:val="none" w:sz="0" w:space="0" w:color="auto"/>
        <w:left w:val="none" w:sz="0" w:space="0" w:color="auto"/>
        <w:bottom w:val="none" w:sz="0" w:space="0" w:color="auto"/>
        <w:right w:val="none" w:sz="0" w:space="0" w:color="auto"/>
      </w:divBdr>
      <w:divsChild>
        <w:div w:id="1438406964">
          <w:marLeft w:val="480"/>
          <w:marRight w:val="0"/>
          <w:marTop w:val="0"/>
          <w:marBottom w:val="0"/>
          <w:divBdr>
            <w:top w:val="none" w:sz="0" w:space="0" w:color="auto"/>
            <w:left w:val="none" w:sz="0" w:space="0" w:color="auto"/>
            <w:bottom w:val="none" w:sz="0" w:space="0" w:color="auto"/>
            <w:right w:val="none" w:sz="0" w:space="0" w:color="auto"/>
          </w:divBdr>
          <w:divsChild>
            <w:div w:id="16215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4804">
      <w:bodyDiv w:val="1"/>
      <w:marLeft w:val="0"/>
      <w:marRight w:val="0"/>
      <w:marTop w:val="0"/>
      <w:marBottom w:val="0"/>
      <w:divBdr>
        <w:top w:val="none" w:sz="0" w:space="0" w:color="auto"/>
        <w:left w:val="none" w:sz="0" w:space="0" w:color="auto"/>
        <w:bottom w:val="none" w:sz="0" w:space="0" w:color="auto"/>
        <w:right w:val="none" w:sz="0" w:space="0" w:color="auto"/>
      </w:divBdr>
    </w:div>
    <w:div w:id="1009604322">
      <w:bodyDiv w:val="1"/>
      <w:marLeft w:val="0"/>
      <w:marRight w:val="0"/>
      <w:marTop w:val="0"/>
      <w:marBottom w:val="0"/>
      <w:divBdr>
        <w:top w:val="none" w:sz="0" w:space="0" w:color="auto"/>
        <w:left w:val="none" w:sz="0" w:space="0" w:color="auto"/>
        <w:bottom w:val="none" w:sz="0" w:space="0" w:color="auto"/>
        <w:right w:val="none" w:sz="0" w:space="0" w:color="auto"/>
      </w:divBdr>
    </w:div>
    <w:div w:id="1016348947">
      <w:bodyDiv w:val="1"/>
      <w:marLeft w:val="0"/>
      <w:marRight w:val="0"/>
      <w:marTop w:val="0"/>
      <w:marBottom w:val="0"/>
      <w:divBdr>
        <w:top w:val="none" w:sz="0" w:space="0" w:color="auto"/>
        <w:left w:val="none" w:sz="0" w:space="0" w:color="auto"/>
        <w:bottom w:val="none" w:sz="0" w:space="0" w:color="auto"/>
        <w:right w:val="none" w:sz="0" w:space="0" w:color="auto"/>
      </w:divBdr>
    </w:div>
    <w:div w:id="1027174092">
      <w:bodyDiv w:val="1"/>
      <w:marLeft w:val="0"/>
      <w:marRight w:val="0"/>
      <w:marTop w:val="0"/>
      <w:marBottom w:val="0"/>
      <w:divBdr>
        <w:top w:val="none" w:sz="0" w:space="0" w:color="auto"/>
        <w:left w:val="none" w:sz="0" w:space="0" w:color="auto"/>
        <w:bottom w:val="none" w:sz="0" w:space="0" w:color="auto"/>
        <w:right w:val="none" w:sz="0" w:space="0" w:color="auto"/>
      </w:divBdr>
    </w:div>
    <w:div w:id="1027364133">
      <w:bodyDiv w:val="1"/>
      <w:marLeft w:val="0"/>
      <w:marRight w:val="0"/>
      <w:marTop w:val="0"/>
      <w:marBottom w:val="0"/>
      <w:divBdr>
        <w:top w:val="none" w:sz="0" w:space="0" w:color="auto"/>
        <w:left w:val="none" w:sz="0" w:space="0" w:color="auto"/>
        <w:bottom w:val="none" w:sz="0" w:space="0" w:color="auto"/>
        <w:right w:val="none" w:sz="0" w:space="0" w:color="auto"/>
      </w:divBdr>
    </w:div>
    <w:div w:id="1029646356">
      <w:bodyDiv w:val="1"/>
      <w:marLeft w:val="0"/>
      <w:marRight w:val="0"/>
      <w:marTop w:val="0"/>
      <w:marBottom w:val="0"/>
      <w:divBdr>
        <w:top w:val="none" w:sz="0" w:space="0" w:color="auto"/>
        <w:left w:val="none" w:sz="0" w:space="0" w:color="auto"/>
        <w:bottom w:val="none" w:sz="0" w:space="0" w:color="auto"/>
        <w:right w:val="none" w:sz="0" w:space="0" w:color="auto"/>
      </w:divBdr>
    </w:div>
    <w:div w:id="1037972799">
      <w:bodyDiv w:val="1"/>
      <w:marLeft w:val="0"/>
      <w:marRight w:val="0"/>
      <w:marTop w:val="0"/>
      <w:marBottom w:val="0"/>
      <w:divBdr>
        <w:top w:val="none" w:sz="0" w:space="0" w:color="auto"/>
        <w:left w:val="none" w:sz="0" w:space="0" w:color="auto"/>
        <w:bottom w:val="none" w:sz="0" w:space="0" w:color="auto"/>
        <w:right w:val="none" w:sz="0" w:space="0" w:color="auto"/>
      </w:divBdr>
    </w:div>
    <w:div w:id="1059741032">
      <w:bodyDiv w:val="1"/>
      <w:marLeft w:val="0"/>
      <w:marRight w:val="0"/>
      <w:marTop w:val="0"/>
      <w:marBottom w:val="0"/>
      <w:divBdr>
        <w:top w:val="none" w:sz="0" w:space="0" w:color="auto"/>
        <w:left w:val="none" w:sz="0" w:space="0" w:color="auto"/>
        <w:bottom w:val="none" w:sz="0" w:space="0" w:color="auto"/>
        <w:right w:val="none" w:sz="0" w:space="0" w:color="auto"/>
      </w:divBdr>
    </w:div>
    <w:div w:id="1063061817">
      <w:bodyDiv w:val="1"/>
      <w:marLeft w:val="0"/>
      <w:marRight w:val="0"/>
      <w:marTop w:val="0"/>
      <w:marBottom w:val="0"/>
      <w:divBdr>
        <w:top w:val="none" w:sz="0" w:space="0" w:color="auto"/>
        <w:left w:val="none" w:sz="0" w:space="0" w:color="auto"/>
        <w:bottom w:val="none" w:sz="0" w:space="0" w:color="auto"/>
        <w:right w:val="none" w:sz="0" w:space="0" w:color="auto"/>
      </w:divBdr>
    </w:div>
    <w:div w:id="1073040810">
      <w:bodyDiv w:val="1"/>
      <w:marLeft w:val="0"/>
      <w:marRight w:val="0"/>
      <w:marTop w:val="0"/>
      <w:marBottom w:val="0"/>
      <w:divBdr>
        <w:top w:val="none" w:sz="0" w:space="0" w:color="auto"/>
        <w:left w:val="none" w:sz="0" w:space="0" w:color="auto"/>
        <w:bottom w:val="none" w:sz="0" w:space="0" w:color="auto"/>
        <w:right w:val="none" w:sz="0" w:space="0" w:color="auto"/>
      </w:divBdr>
    </w:div>
    <w:div w:id="1098722634">
      <w:bodyDiv w:val="1"/>
      <w:marLeft w:val="0"/>
      <w:marRight w:val="0"/>
      <w:marTop w:val="0"/>
      <w:marBottom w:val="0"/>
      <w:divBdr>
        <w:top w:val="none" w:sz="0" w:space="0" w:color="auto"/>
        <w:left w:val="none" w:sz="0" w:space="0" w:color="auto"/>
        <w:bottom w:val="none" w:sz="0" w:space="0" w:color="auto"/>
        <w:right w:val="none" w:sz="0" w:space="0" w:color="auto"/>
      </w:divBdr>
    </w:div>
    <w:div w:id="1101679482">
      <w:bodyDiv w:val="1"/>
      <w:marLeft w:val="0"/>
      <w:marRight w:val="0"/>
      <w:marTop w:val="0"/>
      <w:marBottom w:val="0"/>
      <w:divBdr>
        <w:top w:val="none" w:sz="0" w:space="0" w:color="auto"/>
        <w:left w:val="none" w:sz="0" w:space="0" w:color="auto"/>
        <w:bottom w:val="none" w:sz="0" w:space="0" w:color="auto"/>
        <w:right w:val="none" w:sz="0" w:space="0" w:color="auto"/>
      </w:divBdr>
    </w:div>
    <w:div w:id="1103452368">
      <w:bodyDiv w:val="1"/>
      <w:marLeft w:val="0"/>
      <w:marRight w:val="0"/>
      <w:marTop w:val="0"/>
      <w:marBottom w:val="0"/>
      <w:divBdr>
        <w:top w:val="none" w:sz="0" w:space="0" w:color="auto"/>
        <w:left w:val="none" w:sz="0" w:space="0" w:color="auto"/>
        <w:bottom w:val="none" w:sz="0" w:space="0" w:color="auto"/>
        <w:right w:val="none" w:sz="0" w:space="0" w:color="auto"/>
      </w:divBdr>
    </w:div>
    <w:div w:id="1119766515">
      <w:bodyDiv w:val="1"/>
      <w:marLeft w:val="0"/>
      <w:marRight w:val="0"/>
      <w:marTop w:val="0"/>
      <w:marBottom w:val="0"/>
      <w:divBdr>
        <w:top w:val="none" w:sz="0" w:space="0" w:color="auto"/>
        <w:left w:val="none" w:sz="0" w:space="0" w:color="auto"/>
        <w:bottom w:val="none" w:sz="0" w:space="0" w:color="auto"/>
        <w:right w:val="none" w:sz="0" w:space="0" w:color="auto"/>
      </w:divBdr>
    </w:div>
    <w:div w:id="1144543594">
      <w:bodyDiv w:val="1"/>
      <w:marLeft w:val="0"/>
      <w:marRight w:val="0"/>
      <w:marTop w:val="0"/>
      <w:marBottom w:val="0"/>
      <w:divBdr>
        <w:top w:val="none" w:sz="0" w:space="0" w:color="auto"/>
        <w:left w:val="none" w:sz="0" w:space="0" w:color="auto"/>
        <w:bottom w:val="none" w:sz="0" w:space="0" w:color="auto"/>
        <w:right w:val="none" w:sz="0" w:space="0" w:color="auto"/>
      </w:divBdr>
    </w:div>
    <w:div w:id="1154026562">
      <w:bodyDiv w:val="1"/>
      <w:marLeft w:val="0"/>
      <w:marRight w:val="0"/>
      <w:marTop w:val="0"/>
      <w:marBottom w:val="0"/>
      <w:divBdr>
        <w:top w:val="none" w:sz="0" w:space="0" w:color="auto"/>
        <w:left w:val="none" w:sz="0" w:space="0" w:color="auto"/>
        <w:bottom w:val="none" w:sz="0" w:space="0" w:color="auto"/>
        <w:right w:val="none" w:sz="0" w:space="0" w:color="auto"/>
      </w:divBdr>
    </w:div>
    <w:div w:id="1157183237">
      <w:bodyDiv w:val="1"/>
      <w:marLeft w:val="0"/>
      <w:marRight w:val="0"/>
      <w:marTop w:val="0"/>
      <w:marBottom w:val="0"/>
      <w:divBdr>
        <w:top w:val="none" w:sz="0" w:space="0" w:color="auto"/>
        <w:left w:val="none" w:sz="0" w:space="0" w:color="auto"/>
        <w:bottom w:val="none" w:sz="0" w:space="0" w:color="auto"/>
        <w:right w:val="none" w:sz="0" w:space="0" w:color="auto"/>
      </w:divBdr>
    </w:div>
    <w:div w:id="1192183724">
      <w:bodyDiv w:val="1"/>
      <w:marLeft w:val="0"/>
      <w:marRight w:val="0"/>
      <w:marTop w:val="0"/>
      <w:marBottom w:val="0"/>
      <w:divBdr>
        <w:top w:val="none" w:sz="0" w:space="0" w:color="auto"/>
        <w:left w:val="none" w:sz="0" w:space="0" w:color="auto"/>
        <w:bottom w:val="none" w:sz="0" w:space="0" w:color="auto"/>
        <w:right w:val="none" w:sz="0" w:space="0" w:color="auto"/>
      </w:divBdr>
    </w:div>
    <w:div w:id="1203395475">
      <w:bodyDiv w:val="1"/>
      <w:marLeft w:val="0"/>
      <w:marRight w:val="0"/>
      <w:marTop w:val="0"/>
      <w:marBottom w:val="0"/>
      <w:divBdr>
        <w:top w:val="none" w:sz="0" w:space="0" w:color="auto"/>
        <w:left w:val="none" w:sz="0" w:space="0" w:color="auto"/>
        <w:bottom w:val="none" w:sz="0" w:space="0" w:color="auto"/>
        <w:right w:val="none" w:sz="0" w:space="0" w:color="auto"/>
      </w:divBdr>
    </w:div>
    <w:div w:id="1217742416">
      <w:bodyDiv w:val="1"/>
      <w:marLeft w:val="0"/>
      <w:marRight w:val="0"/>
      <w:marTop w:val="0"/>
      <w:marBottom w:val="0"/>
      <w:divBdr>
        <w:top w:val="none" w:sz="0" w:space="0" w:color="auto"/>
        <w:left w:val="none" w:sz="0" w:space="0" w:color="auto"/>
        <w:bottom w:val="none" w:sz="0" w:space="0" w:color="auto"/>
        <w:right w:val="none" w:sz="0" w:space="0" w:color="auto"/>
      </w:divBdr>
    </w:div>
    <w:div w:id="1232623099">
      <w:bodyDiv w:val="1"/>
      <w:marLeft w:val="0"/>
      <w:marRight w:val="0"/>
      <w:marTop w:val="0"/>
      <w:marBottom w:val="0"/>
      <w:divBdr>
        <w:top w:val="none" w:sz="0" w:space="0" w:color="auto"/>
        <w:left w:val="none" w:sz="0" w:space="0" w:color="auto"/>
        <w:bottom w:val="none" w:sz="0" w:space="0" w:color="auto"/>
        <w:right w:val="none" w:sz="0" w:space="0" w:color="auto"/>
      </w:divBdr>
      <w:divsChild>
        <w:div w:id="537933262">
          <w:marLeft w:val="0"/>
          <w:marRight w:val="0"/>
          <w:marTop w:val="0"/>
          <w:marBottom w:val="0"/>
          <w:divBdr>
            <w:top w:val="none" w:sz="0" w:space="0" w:color="auto"/>
            <w:left w:val="none" w:sz="0" w:space="0" w:color="auto"/>
            <w:bottom w:val="none" w:sz="0" w:space="0" w:color="auto"/>
            <w:right w:val="none" w:sz="0" w:space="0" w:color="auto"/>
          </w:divBdr>
        </w:div>
      </w:divsChild>
    </w:div>
    <w:div w:id="1243031001">
      <w:bodyDiv w:val="1"/>
      <w:marLeft w:val="0"/>
      <w:marRight w:val="0"/>
      <w:marTop w:val="0"/>
      <w:marBottom w:val="0"/>
      <w:divBdr>
        <w:top w:val="none" w:sz="0" w:space="0" w:color="auto"/>
        <w:left w:val="none" w:sz="0" w:space="0" w:color="auto"/>
        <w:bottom w:val="none" w:sz="0" w:space="0" w:color="auto"/>
        <w:right w:val="none" w:sz="0" w:space="0" w:color="auto"/>
      </w:divBdr>
    </w:div>
    <w:div w:id="1253049047">
      <w:bodyDiv w:val="1"/>
      <w:marLeft w:val="0"/>
      <w:marRight w:val="0"/>
      <w:marTop w:val="0"/>
      <w:marBottom w:val="0"/>
      <w:divBdr>
        <w:top w:val="none" w:sz="0" w:space="0" w:color="auto"/>
        <w:left w:val="none" w:sz="0" w:space="0" w:color="auto"/>
        <w:bottom w:val="none" w:sz="0" w:space="0" w:color="auto"/>
        <w:right w:val="none" w:sz="0" w:space="0" w:color="auto"/>
      </w:divBdr>
    </w:div>
    <w:div w:id="1258293920">
      <w:bodyDiv w:val="1"/>
      <w:marLeft w:val="0"/>
      <w:marRight w:val="0"/>
      <w:marTop w:val="0"/>
      <w:marBottom w:val="0"/>
      <w:divBdr>
        <w:top w:val="none" w:sz="0" w:space="0" w:color="auto"/>
        <w:left w:val="none" w:sz="0" w:space="0" w:color="auto"/>
        <w:bottom w:val="none" w:sz="0" w:space="0" w:color="auto"/>
        <w:right w:val="none" w:sz="0" w:space="0" w:color="auto"/>
      </w:divBdr>
    </w:div>
    <w:div w:id="1270432035">
      <w:bodyDiv w:val="1"/>
      <w:marLeft w:val="0"/>
      <w:marRight w:val="0"/>
      <w:marTop w:val="0"/>
      <w:marBottom w:val="0"/>
      <w:divBdr>
        <w:top w:val="none" w:sz="0" w:space="0" w:color="auto"/>
        <w:left w:val="none" w:sz="0" w:space="0" w:color="auto"/>
        <w:bottom w:val="none" w:sz="0" w:space="0" w:color="auto"/>
        <w:right w:val="none" w:sz="0" w:space="0" w:color="auto"/>
      </w:divBdr>
    </w:div>
    <w:div w:id="1273629486">
      <w:bodyDiv w:val="1"/>
      <w:marLeft w:val="0"/>
      <w:marRight w:val="0"/>
      <w:marTop w:val="0"/>
      <w:marBottom w:val="0"/>
      <w:divBdr>
        <w:top w:val="none" w:sz="0" w:space="0" w:color="auto"/>
        <w:left w:val="none" w:sz="0" w:space="0" w:color="auto"/>
        <w:bottom w:val="none" w:sz="0" w:space="0" w:color="auto"/>
        <w:right w:val="none" w:sz="0" w:space="0" w:color="auto"/>
      </w:divBdr>
    </w:div>
    <w:div w:id="1292125509">
      <w:bodyDiv w:val="1"/>
      <w:marLeft w:val="0"/>
      <w:marRight w:val="0"/>
      <w:marTop w:val="0"/>
      <w:marBottom w:val="0"/>
      <w:divBdr>
        <w:top w:val="none" w:sz="0" w:space="0" w:color="auto"/>
        <w:left w:val="none" w:sz="0" w:space="0" w:color="auto"/>
        <w:bottom w:val="none" w:sz="0" w:space="0" w:color="auto"/>
        <w:right w:val="none" w:sz="0" w:space="0" w:color="auto"/>
      </w:divBdr>
    </w:div>
    <w:div w:id="1292832894">
      <w:bodyDiv w:val="1"/>
      <w:marLeft w:val="0"/>
      <w:marRight w:val="0"/>
      <w:marTop w:val="0"/>
      <w:marBottom w:val="0"/>
      <w:divBdr>
        <w:top w:val="none" w:sz="0" w:space="0" w:color="auto"/>
        <w:left w:val="none" w:sz="0" w:space="0" w:color="auto"/>
        <w:bottom w:val="none" w:sz="0" w:space="0" w:color="auto"/>
        <w:right w:val="none" w:sz="0" w:space="0" w:color="auto"/>
      </w:divBdr>
    </w:div>
    <w:div w:id="1301690575">
      <w:bodyDiv w:val="1"/>
      <w:marLeft w:val="0"/>
      <w:marRight w:val="0"/>
      <w:marTop w:val="0"/>
      <w:marBottom w:val="0"/>
      <w:divBdr>
        <w:top w:val="none" w:sz="0" w:space="0" w:color="auto"/>
        <w:left w:val="none" w:sz="0" w:space="0" w:color="auto"/>
        <w:bottom w:val="none" w:sz="0" w:space="0" w:color="auto"/>
        <w:right w:val="none" w:sz="0" w:space="0" w:color="auto"/>
      </w:divBdr>
    </w:div>
    <w:div w:id="1310284621">
      <w:bodyDiv w:val="1"/>
      <w:marLeft w:val="0"/>
      <w:marRight w:val="0"/>
      <w:marTop w:val="0"/>
      <w:marBottom w:val="0"/>
      <w:divBdr>
        <w:top w:val="none" w:sz="0" w:space="0" w:color="auto"/>
        <w:left w:val="none" w:sz="0" w:space="0" w:color="auto"/>
        <w:bottom w:val="none" w:sz="0" w:space="0" w:color="auto"/>
        <w:right w:val="none" w:sz="0" w:space="0" w:color="auto"/>
      </w:divBdr>
      <w:divsChild>
        <w:div w:id="51200468">
          <w:marLeft w:val="0"/>
          <w:marRight w:val="0"/>
          <w:marTop w:val="0"/>
          <w:marBottom w:val="0"/>
          <w:divBdr>
            <w:top w:val="none" w:sz="0" w:space="0" w:color="auto"/>
            <w:left w:val="none" w:sz="0" w:space="0" w:color="auto"/>
            <w:bottom w:val="none" w:sz="0" w:space="0" w:color="auto"/>
            <w:right w:val="none" w:sz="0" w:space="0" w:color="auto"/>
          </w:divBdr>
          <w:divsChild>
            <w:div w:id="1262683190">
              <w:marLeft w:val="0"/>
              <w:marRight w:val="0"/>
              <w:marTop w:val="0"/>
              <w:marBottom w:val="0"/>
              <w:divBdr>
                <w:top w:val="none" w:sz="0" w:space="0" w:color="auto"/>
                <w:left w:val="none" w:sz="0" w:space="0" w:color="auto"/>
                <w:bottom w:val="none" w:sz="0" w:space="0" w:color="auto"/>
                <w:right w:val="none" w:sz="0" w:space="0" w:color="auto"/>
              </w:divBdr>
            </w:div>
          </w:divsChild>
        </w:div>
        <w:div w:id="2134209756">
          <w:marLeft w:val="0"/>
          <w:marRight w:val="0"/>
          <w:marTop w:val="0"/>
          <w:marBottom w:val="0"/>
          <w:divBdr>
            <w:top w:val="none" w:sz="0" w:space="0" w:color="auto"/>
            <w:left w:val="none" w:sz="0" w:space="0" w:color="auto"/>
            <w:bottom w:val="none" w:sz="0" w:space="0" w:color="auto"/>
            <w:right w:val="none" w:sz="0" w:space="0" w:color="auto"/>
          </w:divBdr>
        </w:div>
      </w:divsChild>
    </w:div>
    <w:div w:id="1334720450">
      <w:bodyDiv w:val="1"/>
      <w:marLeft w:val="0"/>
      <w:marRight w:val="0"/>
      <w:marTop w:val="0"/>
      <w:marBottom w:val="0"/>
      <w:divBdr>
        <w:top w:val="none" w:sz="0" w:space="0" w:color="auto"/>
        <w:left w:val="none" w:sz="0" w:space="0" w:color="auto"/>
        <w:bottom w:val="none" w:sz="0" w:space="0" w:color="auto"/>
        <w:right w:val="none" w:sz="0" w:space="0" w:color="auto"/>
      </w:divBdr>
    </w:div>
    <w:div w:id="1367438814">
      <w:bodyDiv w:val="1"/>
      <w:marLeft w:val="0"/>
      <w:marRight w:val="0"/>
      <w:marTop w:val="0"/>
      <w:marBottom w:val="0"/>
      <w:divBdr>
        <w:top w:val="none" w:sz="0" w:space="0" w:color="auto"/>
        <w:left w:val="none" w:sz="0" w:space="0" w:color="auto"/>
        <w:bottom w:val="none" w:sz="0" w:space="0" w:color="auto"/>
        <w:right w:val="none" w:sz="0" w:space="0" w:color="auto"/>
      </w:divBdr>
      <w:divsChild>
        <w:div w:id="267004718">
          <w:marLeft w:val="0"/>
          <w:marRight w:val="0"/>
          <w:marTop w:val="0"/>
          <w:marBottom w:val="0"/>
          <w:divBdr>
            <w:top w:val="none" w:sz="0" w:space="0" w:color="auto"/>
            <w:left w:val="none" w:sz="0" w:space="0" w:color="auto"/>
            <w:bottom w:val="none" w:sz="0" w:space="0" w:color="auto"/>
            <w:right w:val="none" w:sz="0" w:space="0" w:color="auto"/>
          </w:divBdr>
        </w:div>
        <w:div w:id="445004606">
          <w:marLeft w:val="0"/>
          <w:marRight w:val="0"/>
          <w:marTop w:val="0"/>
          <w:marBottom w:val="0"/>
          <w:divBdr>
            <w:top w:val="none" w:sz="0" w:space="0" w:color="auto"/>
            <w:left w:val="none" w:sz="0" w:space="0" w:color="auto"/>
            <w:bottom w:val="none" w:sz="0" w:space="0" w:color="auto"/>
            <w:right w:val="none" w:sz="0" w:space="0" w:color="auto"/>
          </w:divBdr>
        </w:div>
      </w:divsChild>
    </w:div>
    <w:div w:id="1390884030">
      <w:bodyDiv w:val="1"/>
      <w:marLeft w:val="0"/>
      <w:marRight w:val="0"/>
      <w:marTop w:val="0"/>
      <w:marBottom w:val="0"/>
      <w:divBdr>
        <w:top w:val="none" w:sz="0" w:space="0" w:color="auto"/>
        <w:left w:val="none" w:sz="0" w:space="0" w:color="auto"/>
        <w:bottom w:val="none" w:sz="0" w:space="0" w:color="auto"/>
        <w:right w:val="none" w:sz="0" w:space="0" w:color="auto"/>
      </w:divBdr>
    </w:div>
    <w:div w:id="1401752492">
      <w:bodyDiv w:val="1"/>
      <w:marLeft w:val="0"/>
      <w:marRight w:val="0"/>
      <w:marTop w:val="0"/>
      <w:marBottom w:val="0"/>
      <w:divBdr>
        <w:top w:val="none" w:sz="0" w:space="0" w:color="auto"/>
        <w:left w:val="none" w:sz="0" w:space="0" w:color="auto"/>
        <w:bottom w:val="none" w:sz="0" w:space="0" w:color="auto"/>
        <w:right w:val="none" w:sz="0" w:space="0" w:color="auto"/>
      </w:divBdr>
    </w:div>
    <w:div w:id="1409498345">
      <w:bodyDiv w:val="1"/>
      <w:marLeft w:val="0"/>
      <w:marRight w:val="0"/>
      <w:marTop w:val="0"/>
      <w:marBottom w:val="0"/>
      <w:divBdr>
        <w:top w:val="none" w:sz="0" w:space="0" w:color="auto"/>
        <w:left w:val="none" w:sz="0" w:space="0" w:color="auto"/>
        <w:bottom w:val="none" w:sz="0" w:space="0" w:color="auto"/>
        <w:right w:val="none" w:sz="0" w:space="0" w:color="auto"/>
      </w:divBdr>
      <w:divsChild>
        <w:div w:id="1041395071">
          <w:marLeft w:val="480"/>
          <w:marRight w:val="0"/>
          <w:marTop w:val="0"/>
          <w:marBottom w:val="0"/>
          <w:divBdr>
            <w:top w:val="none" w:sz="0" w:space="0" w:color="auto"/>
            <w:left w:val="none" w:sz="0" w:space="0" w:color="auto"/>
            <w:bottom w:val="none" w:sz="0" w:space="0" w:color="auto"/>
            <w:right w:val="none" w:sz="0" w:space="0" w:color="auto"/>
          </w:divBdr>
          <w:divsChild>
            <w:div w:id="279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11095">
      <w:bodyDiv w:val="1"/>
      <w:marLeft w:val="0"/>
      <w:marRight w:val="0"/>
      <w:marTop w:val="0"/>
      <w:marBottom w:val="0"/>
      <w:divBdr>
        <w:top w:val="none" w:sz="0" w:space="0" w:color="auto"/>
        <w:left w:val="none" w:sz="0" w:space="0" w:color="auto"/>
        <w:bottom w:val="none" w:sz="0" w:space="0" w:color="auto"/>
        <w:right w:val="none" w:sz="0" w:space="0" w:color="auto"/>
      </w:divBdr>
    </w:div>
    <w:div w:id="1416169102">
      <w:bodyDiv w:val="1"/>
      <w:marLeft w:val="0"/>
      <w:marRight w:val="0"/>
      <w:marTop w:val="0"/>
      <w:marBottom w:val="0"/>
      <w:divBdr>
        <w:top w:val="none" w:sz="0" w:space="0" w:color="auto"/>
        <w:left w:val="none" w:sz="0" w:space="0" w:color="auto"/>
        <w:bottom w:val="none" w:sz="0" w:space="0" w:color="auto"/>
        <w:right w:val="none" w:sz="0" w:space="0" w:color="auto"/>
      </w:divBdr>
    </w:div>
    <w:div w:id="1428188952">
      <w:bodyDiv w:val="1"/>
      <w:marLeft w:val="0"/>
      <w:marRight w:val="0"/>
      <w:marTop w:val="0"/>
      <w:marBottom w:val="0"/>
      <w:divBdr>
        <w:top w:val="none" w:sz="0" w:space="0" w:color="auto"/>
        <w:left w:val="none" w:sz="0" w:space="0" w:color="auto"/>
        <w:bottom w:val="none" w:sz="0" w:space="0" w:color="auto"/>
        <w:right w:val="none" w:sz="0" w:space="0" w:color="auto"/>
      </w:divBdr>
    </w:div>
    <w:div w:id="1428572406">
      <w:bodyDiv w:val="1"/>
      <w:marLeft w:val="0"/>
      <w:marRight w:val="0"/>
      <w:marTop w:val="0"/>
      <w:marBottom w:val="0"/>
      <w:divBdr>
        <w:top w:val="none" w:sz="0" w:space="0" w:color="auto"/>
        <w:left w:val="none" w:sz="0" w:space="0" w:color="auto"/>
        <w:bottom w:val="none" w:sz="0" w:space="0" w:color="auto"/>
        <w:right w:val="none" w:sz="0" w:space="0" w:color="auto"/>
      </w:divBdr>
    </w:div>
    <w:div w:id="1430198449">
      <w:bodyDiv w:val="1"/>
      <w:marLeft w:val="0"/>
      <w:marRight w:val="0"/>
      <w:marTop w:val="0"/>
      <w:marBottom w:val="0"/>
      <w:divBdr>
        <w:top w:val="none" w:sz="0" w:space="0" w:color="auto"/>
        <w:left w:val="none" w:sz="0" w:space="0" w:color="auto"/>
        <w:bottom w:val="none" w:sz="0" w:space="0" w:color="auto"/>
        <w:right w:val="none" w:sz="0" w:space="0" w:color="auto"/>
      </w:divBdr>
    </w:div>
    <w:div w:id="1448889779">
      <w:bodyDiv w:val="1"/>
      <w:marLeft w:val="0"/>
      <w:marRight w:val="0"/>
      <w:marTop w:val="0"/>
      <w:marBottom w:val="0"/>
      <w:divBdr>
        <w:top w:val="none" w:sz="0" w:space="0" w:color="auto"/>
        <w:left w:val="none" w:sz="0" w:space="0" w:color="auto"/>
        <w:bottom w:val="none" w:sz="0" w:space="0" w:color="auto"/>
        <w:right w:val="none" w:sz="0" w:space="0" w:color="auto"/>
      </w:divBdr>
    </w:div>
    <w:div w:id="1449738600">
      <w:bodyDiv w:val="1"/>
      <w:marLeft w:val="0"/>
      <w:marRight w:val="0"/>
      <w:marTop w:val="0"/>
      <w:marBottom w:val="0"/>
      <w:divBdr>
        <w:top w:val="none" w:sz="0" w:space="0" w:color="auto"/>
        <w:left w:val="none" w:sz="0" w:space="0" w:color="auto"/>
        <w:bottom w:val="none" w:sz="0" w:space="0" w:color="auto"/>
        <w:right w:val="none" w:sz="0" w:space="0" w:color="auto"/>
      </w:divBdr>
    </w:div>
    <w:div w:id="1451319707">
      <w:bodyDiv w:val="1"/>
      <w:marLeft w:val="0"/>
      <w:marRight w:val="0"/>
      <w:marTop w:val="0"/>
      <w:marBottom w:val="0"/>
      <w:divBdr>
        <w:top w:val="none" w:sz="0" w:space="0" w:color="auto"/>
        <w:left w:val="none" w:sz="0" w:space="0" w:color="auto"/>
        <w:bottom w:val="none" w:sz="0" w:space="0" w:color="auto"/>
        <w:right w:val="none" w:sz="0" w:space="0" w:color="auto"/>
      </w:divBdr>
    </w:div>
    <w:div w:id="1463117296">
      <w:bodyDiv w:val="1"/>
      <w:marLeft w:val="0"/>
      <w:marRight w:val="0"/>
      <w:marTop w:val="0"/>
      <w:marBottom w:val="0"/>
      <w:divBdr>
        <w:top w:val="none" w:sz="0" w:space="0" w:color="auto"/>
        <w:left w:val="none" w:sz="0" w:space="0" w:color="auto"/>
        <w:bottom w:val="none" w:sz="0" w:space="0" w:color="auto"/>
        <w:right w:val="none" w:sz="0" w:space="0" w:color="auto"/>
      </w:divBdr>
    </w:div>
    <w:div w:id="1500270879">
      <w:bodyDiv w:val="1"/>
      <w:marLeft w:val="0"/>
      <w:marRight w:val="0"/>
      <w:marTop w:val="0"/>
      <w:marBottom w:val="0"/>
      <w:divBdr>
        <w:top w:val="none" w:sz="0" w:space="0" w:color="auto"/>
        <w:left w:val="none" w:sz="0" w:space="0" w:color="auto"/>
        <w:bottom w:val="none" w:sz="0" w:space="0" w:color="auto"/>
        <w:right w:val="none" w:sz="0" w:space="0" w:color="auto"/>
      </w:divBdr>
    </w:div>
    <w:div w:id="1501313428">
      <w:bodyDiv w:val="1"/>
      <w:marLeft w:val="0"/>
      <w:marRight w:val="0"/>
      <w:marTop w:val="0"/>
      <w:marBottom w:val="0"/>
      <w:divBdr>
        <w:top w:val="none" w:sz="0" w:space="0" w:color="auto"/>
        <w:left w:val="none" w:sz="0" w:space="0" w:color="auto"/>
        <w:bottom w:val="none" w:sz="0" w:space="0" w:color="auto"/>
        <w:right w:val="none" w:sz="0" w:space="0" w:color="auto"/>
      </w:divBdr>
    </w:div>
    <w:div w:id="1507552605">
      <w:bodyDiv w:val="1"/>
      <w:marLeft w:val="0"/>
      <w:marRight w:val="0"/>
      <w:marTop w:val="0"/>
      <w:marBottom w:val="0"/>
      <w:divBdr>
        <w:top w:val="none" w:sz="0" w:space="0" w:color="auto"/>
        <w:left w:val="none" w:sz="0" w:space="0" w:color="auto"/>
        <w:bottom w:val="none" w:sz="0" w:space="0" w:color="auto"/>
        <w:right w:val="none" w:sz="0" w:space="0" w:color="auto"/>
      </w:divBdr>
    </w:div>
    <w:div w:id="1533298392">
      <w:bodyDiv w:val="1"/>
      <w:marLeft w:val="0"/>
      <w:marRight w:val="0"/>
      <w:marTop w:val="0"/>
      <w:marBottom w:val="0"/>
      <w:divBdr>
        <w:top w:val="none" w:sz="0" w:space="0" w:color="auto"/>
        <w:left w:val="none" w:sz="0" w:space="0" w:color="auto"/>
        <w:bottom w:val="none" w:sz="0" w:space="0" w:color="auto"/>
        <w:right w:val="none" w:sz="0" w:space="0" w:color="auto"/>
      </w:divBdr>
    </w:div>
    <w:div w:id="1551576550">
      <w:bodyDiv w:val="1"/>
      <w:marLeft w:val="0"/>
      <w:marRight w:val="0"/>
      <w:marTop w:val="0"/>
      <w:marBottom w:val="0"/>
      <w:divBdr>
        <w:top w:val="none" w:sz="0" w:space="0" w:color="auto"/>
        <w:left w:val="none" w:sz="0" w:space="0" w:color="auto"/>
        <w:bottom w:val="none" w:sz="0" w:space="0" w:color="auto"/>
        <w:right w:val="none" w:sz="0" w:space="0" w:color="auto"/>
      </w:divBdr>
    </w:div>
    <w:div w:id="1566572910">
      <w:bodyDiv w:val="1"/>
      <w:marLeft w:val="0"/>
      <w:marRight w:val="0"/>
      <w:marTop w:val="0"/>
      <w:marBottom w:val="0"/>
      <w:divBdr>
        <w:top w:val="none" w:sz="0" w:space="0" w:color="auto"/>
        <w:left w:val="none" w:sz="0" w:space="0" w:color="auto"/>
        <w:bottom w:val="none" w:sz="0" w:space="0" w:color="auto"/>
        <w:right w:val="none" w:sz="0" w:space="0" w:color="auto"/>
      </w:divBdr>
      <w:divsChild>
        <w:div w:id="1859350625">
          <w:marLeft w:val="480"/>
          <w:marRight w:val="0"/>
          <w:marTop w:val="0"/>
          <w:marBottom w:val="0"/>
          <w:divBdr>
            <w:top w:val="none" w:sz="0" w:space="0" w:color="auto"/>
            <w:left w:val="none" w:sz="0" w:space="0" w:color="auto"/>
            <w:bottom w:val="none" w:sz="0" w:space="0" w:color="auto"/>
            <w:right w:val="none" w:sz="0" w:space="0" w:color="auto"/>
          </w:divBdr>
          <w:divsChild>
            <w:div w:id="9521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318">
      <w:bodyDiv w:val="1"/>
      <w:marLeft w:val="0"/>
      <w:marRight w:val="0"/>
      <w:marTop w:val="0"/>
      <w:marBottom w:val="0"/>
      <w:divBdr>
        <w:top w:val="none" w:sz="0" w:space="0" w:color="auto"/>
        <w:left w:val="none" w:sz="0" w:space="0" w:color="auto"/>
        <w:bottom w:val="none" w:sz="0" w:space="0" w:color="auto"/>
        <w:right w:val="none" w:sz="0" w:space="0" w:color="auto"/>
      </w:divBdr>
    </w:div>
    <w:div w:id="1587229855">
      <w:bodyDiv w:val="1"/>
      <w:marLeft w:val="0"/>
      <w:marRight w:val="0"/>
      <w:marTop w:val="0"/>
      <w:marBottom w:val="0"/>
      <w:divBdr>
        <w:top w:val="none" w:sz="0" w:space="0" w:color="auto"/>
        <w:left w:val="none" w:sz="0" w:space="0" w:color="auto"/>
        <w:bottom w:val="none" w:sz="0" w:space="0" w:color="auto"/>
        <w:right w:val="none" w:sz="0" w:space="0" w:color="auto"/>
      </w:divBdr>
    </w:div>
    <w:div w:id="1595624401">
      <w:bodyDiv w:val="1"/>
      <w:marLeft w:val="0"/>
      <w:marRight w:val="0"/>
      <w:marTop w:val="0"/>
      <w:marBottom w:val="0"/>
      <w:divBdr>
        <w:top w:val="none" w:sz="0" w:space="0" w:color="auto"/>
        <w:left w:val="none" w:sz="0" w:space="0" w:color="auto"/>
        <w:bottom w:val="none" w:sz="0" w:space="0" w:color="auto"/>
        <w:right w:val="none" w:sz="0" w:space="0" w:color="auto"/>
      </w:divBdr>
    </w:div>
    <w:div w:id="1596396280">
      <w:bodyDiv w:val="1"/>
      <w:marLeft w:val="0"/>
      <w:marRight w:val="0"/>
      <w:marTop w:val="0"/>
      <w:marBottom w:val="0"/>
      <w:divBdr>
        <w:top w:val="none" w:sz="0" w:space="0" w:color="auto"/>
        <w:left w:val="none" w:sz="0" w:space="0" w:color="auto"/>
        <w:bottom w:val="none" w:sz="0" w:space="0" w:color="auto"/>
        <w:right w:val="none" w:sz="0" w:space="0" w:color="auto"/>
      </w:divBdr>
    </w:div>
    <w:div w:id="1606574084">
      <w:bodyDiv w:val="1"/>
      <w:marLeft w:val="0"/>
      <w:marRight w:val="0"/>
      <w:marTop w:val="0"/>
      <w:marBottom w:val="0"/>
      <w:divBdr>
        <w:top w:val="none" w:sz="0" w:space="0" w:color="auto"/>
        <w:left w:val="none" w:sz="0" w:space="0" w:color="auto"/>
        <w:bottom w:val="none" w:sz="0" w:space="0" w:color="auto"/>
        <w:right w:val="none" w:sz="0" w:space="0" w:color="auto"/>
      </w:divBdr>
    </w:div>
    <w:div w:id="1632176695">
      <w:bodyDiv w:val="1"/>
      <w:marLeft w:val="0"/>
      <w:marRight w:val="0"/>
      <w:marTop w:val="0"/>
      <w:marBottom w:val="0"/>
      <w:divBdr>
        <w:top w:val="none" w:sz="0" w:space="0" w:color="auto"/>
        <w:left w:val="none" w:sz="0" w:space="0" w:color="auto"/>
        <w:bottom w:val="none" w:sz="0" w:space="0" w:color="auto"/>
        <w:right w:val="none" w:sz="0" w:space="0" w:color="auto"/>
      </w:divBdr>
    </w:div>
    <w:div w:id="1632785407">
      <w:bodyDiv w:val="1"/>
      <w:marLeft w:val="0"/>
      <w:marRight w:val="0"/>
      <w:marTop w:val="0"/>
      <w:marBottom w:val="0"/>
      <w:divBdr>
        <w:top w:val="none" w:sz="0" w:space="0" w:color="auto"/>
        <w:left w:val="none" w:sz="0" w:space="0" w:color="auto"/>
        <w:bottom w:val="none" w:sz="0" w:space="0" w:color="auto"/>
        <w:right w:val="none" w:sz="0" w:space="0" w:color="auto"/>
      </w:divBdr>
    </w:div>
    <w:div w:id="1633099950">
      <w:bodyDiv w:val="1"/>
      <w:marLeft w:val="0"/>
      <w:marRight w:val="0"/>
      <w:marTop w:val="0"/>
      <w:marBottom w:val="0"/>
      <w:divBdr>
        <w:top w:val="none" w:sz="0" w:space="0" w:color="auto"/>
        <w:left w:val="none" w:sz="0" w:space="0" w:color="auto"/>
        <w:bottom w:val="none" w:sz="0" w:space="0" w:color="auto"/>
        <w:right w:val="none" w:sz="0" w:space="0" w:color="auto"/>
      </w:divBdr>
    </w:div>
    <w:div w:id="1636444435">
      <w:bodyDiv w:val="1"/>
      <w:marLeft w:val="0"/>
      <w:marRight w:val="0"/>
      <w:marTop w:val="0"/>
      <w:marBottom w:val="0"/>
      <w:divBdr>
        <w:top w:val="none" w:sz="0" w:space="0" w:color="auto"/>
        <w:left w:val="none" w:sz="0" w:space="0" w:color="auto"/>
        <w:bottom w:val="none" w:sz="0" w:space="0" w:color="auto"/>
        <w:right w:val="none" w:sz="0" w:space="0" w:color="auto"/>
      </w:divBdr>
    </w:div>
    <w:div w:id="1645306874">
      <w:bodyDiv w:val="1"/>
      <w:marLeft w:val="0"/>
      <w:marRight w:val="0"/>
      <w:marTop w:val="0"/>
      <w:marBottom w:val="0"/>
      <w:divBdr>
        <w:top w:val="none" w:sz="0" w:space="0" w:color="auto"/>
        <w:left w:val="none" w:sz="0" w:space="0" w:color="auto"/>
        <w:bottom w:val="none" w:sz="0" w:space="0" w:color="auto"/>
        <w:right w:val="none" w:sz="0" w:space="0" w:color="auto"/>
      </w:divBdr>
    </w:div>
    <w:div w:id="1648558187">
      <w:bodyDiv w:val="1"/>
      <w:marLeft w:val="0"/>
      <w:marRight w:val="0"/>
      <w:marTop w:val="0"/>
      <w:marBottom w:val="0"/>
      <w:divBdr>
        <w:top w:val="none" w:sz="0" w:space="0" w:color="auto"/>
        <w:left w:val="none" w:sz="0" w:space="0" w:color="auto"/>
        <w:bottom w:val="none" w:sz="0" w:space="0" w:color="auto"/>
        <w:right w:val="none" w:sz="0" w:space="0" w:color="auto"/>
      </w:divBdr>
    </w:div>
    <w:div w:id="1654675024">
      <w:bodyDiv w:val="1"/>
      <w:marLeft w:val="0"/>
      <w:marRight w:val="0"/>
      <w:marTop w:val="0"/>
      <w:marBottom w:val="0"/>
      <w:divBdr>
        <w:top w:val="none" w:sz="0" w:space="0" w:color="auto"/>
        <w:left w:val="none" w:sz="0" w:space="0" w:color="auto"/>
        <w:bottom w:val="none" w:sz="0" w:space="0" w:color="auto"/>
        <w:right w:val="none" w:sz="0" w:space="0" w:color="auto"/>
      </w:divBdr>
    </w:div>
    <w:div w:id="1665627019">
      <w:bodyDiv w:val="1"/>
      <w:marLeft w:val="0"/>
      <w:marRight w:val="0"/>
      <w:marTop w:val="0"/>
      <w:marBottom w:val="0"/>
      <w:divBdr>
        <w:top w:val="none" w:sz="0" w:space="0" w:color="auto"/>
        <w:left w:val="none" w:sz="0" w:space="0" w:color="auto"/>
        <w:bottom w:val="none" w:sz="0" w:space="0" w:color="auto"/>
        <w:right w:val="none" w:sz="0" w:space="0" w:color="auto"/>
      </w:divBdr>
    </w:div>
    <w:div w:id="1670522407">
      <w:bodyDiv w:val="1"/>
      <w:marLeft w:val="0"/>
      <w:marRight w:val="0"/>
      <w:marTop w:val="0"/>
      <w:marBottom w:val="0"/>
      <w:divBdr>
        <w:top w:val="none" w:sz="0" w:space="0" w:color="auto"/>
        <w:left w:val="none" w:sz="0" w:space="0" w:color="auto"/>
        <w:bottom w:val="none" w:sz="0" w:space="0" w:color="auto"/>
        <w:right w:val="none" w:sz="0" w:space="0" w:color="auto"/>
      </w:divBdr>
    </w:div>
    <w:div w:id="1681350630">
      <w:bodyDiv w:val="1"/>
      <w:marLeft w:val="0"/>
      <w:marRight w:val="0"/>
      <w:marTop w:val="0"/>
      <w:marBottom w:val="0"/>
      <w:divBdr>
        <w:top w:val="none" w:sz="0" w:space="0" w:color="auto"/>
        <w:left w:val="none" w:sz="0" w:space="0" w:color="auto"/>
        <w:bottom w:val="none" w:sz="0" w:space="0" w:color="auto"/>
        <w:right w:val="none" w:sz="0" w:space="0" w:color="auto"/>
      </w:divBdr>
    </w:div>
    <w:div w:id="1684169085">
      <w:bodyDiv w:val="1"/>
      <w:marLeft w:val="0"/>
      <w:marRight w:val="0"/>
      <w:marTop w:val="0"/>
      <w:marBottom w:val="0"/>
      <w:divBdr>
        <w:top w:val="none" w:sz="0" w:space="0" w:color="auto"/>
        <w:left w:val="none" w:sz="0" w:space="0" w:color="auto"/>
        <w:bottom w:val="none" w:sz="0" w:space="0" w:color="auto"/>
        <w:right w:val="none" w:sz="0" w:space="0" w:color="auto"/>
      </w:divBdr>
    </w:div>
    <w:div w:id="1689479195">
      <w:bodyDiv w:val="1"/>
      <w:marLeft w:val="0"/>
      <w:marRight w:val="0"/>
      <w:marTop w:val="0"/>
      <w:marBottom w:val="0"/>
      <w:divBdr>
        <w:top w:val="none" w:sz="0" w:space="0" w:color="auto"/>
        <w:left w:val="none" w:sz="0" w:space="0" w:color="auto"/>
        <w:bottom w:val="none" w:sz="0" w:space="0" w:color="auto"/>
        <w:right w:val="none" w:sz="0" w:space="0" w:color="auto"/>
      </w:divBdr>
    </w:div>
    <w:div w:id="1697003454">
      <w:bodyDiv w:val="1"/>
      <w:marLeft w:val="0"/>
      <w:marRight w:val="0"/>
      <w:marTop w:val="0"/>
      <w:marBottom w:val="0"/>
      <w:divBdr>
        <w:top w:val="none" w:sz="0" w:space="0" w:color="auto"/>
        <w:left w:val="none" w:sz="0" w:space="0" w:color="auto"/>
        <w:bottom w:val="none" w:sz="0" w:space="0" w:color="auto"/>
        <w:right w:val="none" w:sz="0" w:space="0" w:color="auto"/>
      </w:divBdr>
    </w:div>
    <w:div w:id="1707944996">
      <w:bodyDiv w:val="1"/>
      <w:marLeft w:val="0"/>
      <w:marRight w:val="0"/>
      <w:marTop w:val="0"/>
      <w:marBottom w:val="0"/>
      <w:divBdr>
        <w:top w:val="none" w:sz="0" w:space="0" w:color="auto"/>
        <w:left w:val="none" w:sz="0" w:space="0" w:color="auto"/>
        <w:bottom w:val="none" w:sz="0" w:space="0" w:color="auto"/>
        <w:right w:val="none" w:sz="0" w:space="0" w:color="auto"/>
      </w:divBdr>
    </w:div>
    <w:div w:id="1714424522">
      <w:bodyDiv w:val="1"/>
      <w:marLeft w:val="0"/>
      <w:marRight w:val="0"/>
      <w:marTop w:val="0"/>
      <w:marBottom w:val="0"/>
      <w:divBdr>
        <w:top w:val="none" w:sz="0" w:space="0" w:color="auto"/>
        <w:left w:val="none" w:sz="0" w:space="0" w:color="auto"/>
        <w:bottom w:val="none" w:sz="0" w:space="0" w:color="auto"/>
        <w:right w:val="none" w:sz="0" w:space="0" w:color="auto"/>
      </w:divBdr>
      <w:divsChild>
        <w:div w:id="2041542056">
          <w:marLeft w:val="480"/>
          <w:marRight w:val="0"/>
          <w:marTop w:val="0"/>
          <w:marBottom w:val="0"/>
          <w:divBdr>
            <w:top w:val="none" w:sz="0" w:space="0" w:color="auto"/>
            <w:left w:val="none" w:sz="0" w:space="0" w:color="auto"/>
            <w:bottom w:val="none" w:sz="0" w:space="0" w:color="auto"/>
            <w:right w:val="none" w:sz="0" w:space="0" w:color="auto"/>
          </w:divBdr>
          <w:divsChild>
            <w:div w:id="8517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9347">
      <w:bodyDiv w:val="1"/>
      <w:marLeft w:val="0"/>
      <w:marRight w:val="0"/>
      <w:marTop w:val="0"/>
      <w:marBottom w:val="0"/>
      <w:divBdr>
        <w:top w:val="none" w:sz="0" w:space="0" w:color="auto"/>
        <w:left w:val="none" w:sz="0" w:space="0" w:color="auto"/>
        <w:bottom w:val="none" w:sz="0" w:space="0" w:color="auto"/>
        <w:right w:val="none" w:sz="0" w:space="0" w:color="auto"/>
      </w:divBdr>
      <w:divsChild>
        <w:div w:id="84347891">
          <w:marLeft w:val="0"/>
          <w:marRight w:val="0"/>
          <w:marTop w:val="0"/>
          <w:marBottom w:val="0"/>
          <w:divBdr>
            <w:top w:val="none" w:sz="0" w:space="0" w:color="auto"/>
            <w:left w:val="none" w:sz="0" w:space="0" w:color="auto"/>
            <w:bottom w:val="none" w:sz="0" w:space="0" w:color="auto"/>
            <w:right w:val="none" w:sz="0" w:space="0" w:color="auto"/>
          </w:divBdr>
          <w:divsChild>
            <w:div w:id="1697197036">
              <w:marLeft w:val="0"/>
              <w:marRight w:val="0"/>
              <w:marTop w:val="0"/>
              <w:marBottom w:val="0"/>
              <w:divBdr>
                <w:top w:val="none" w:sz="0" w:space="0" w:color="auto"/>
                <w:left w:val="none" w:sz="0" w:space="0" w:color="auto"/>
                <w:bottom w:val="none" w:sz="0" w:space="0" w:color="auto"/>
                <w:right w:val="none" w:sz="0" w:space="0" w:color="auto"/>
              </w:divBdr>
              <w:divsChild>
                <w:div w:id="397754385">
                  <w:marLeft w:val="0"/>
                  <w:marRight w:val="0"/>
                  <w:marTop w:val="0"/>
                  <w:marBottom w:val="0"/>
                  <w:divBdr>
                    <w:top w:val="none" w:sz="0" w:space="0" w:color="auto"/>
                    <w:left w:val="none" w:sz="0" w:space="0" w:color="auto"/>
                    <w:bottom w:val="none" w:sz="0" w:space="0" w:color="auto"/>
                    <w:right w:val="none" w:sz="0" w:space="0" w:color="auto"/>
                  </w:divBdr>
                  <w:divsChild>
                    <w:div w:id="5859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163683">
      <w:bodyDiv w:val="1"/>
      <w:marLeft w:val="0"/>
      <w:marRight w:val="0"/>
      <w:marTop w:val="0"/>
      <w:marBottom w:val="0"/>
      <w:divBdr>
        <w:top w:val="none" w:sz="0" w:space="0" w:color="auto"/>
        <w:left w:val="none" w:sz="0" w:space="0" w:color="auto"/>
        <w:bottom w:val="none" w:sz="0" w:space="0" w:color="auto"/>
        <w:right w:val="none" w:sz="0" w:space="0" w:color="auto"/>
      </w:divBdr>
    </w:div>
    <w:div w:id="1728382067">
      <w:bodyDiv w:val="1"/>
      <w:marLeft w:val="0"/>
      <w:marRight w:val="0"/>
      <w:marTop w:val="0"/>
      <w:marBottom w:val="0"/>
      <w:divBdr>
        <w:top w:val="none" w:sz="0" w:space="0" w:color="auto"/>
        <w:left w:val="none" w:sz="0" w:space="0" w:color="auto"/>
        <w:bottom w:val="none" w:sz="0" w:space="0" w:color="auto"/>
        <w:right w:val="none" w:sz="0" w:space="0" w:color="auto"/>
      </w:divBdr>
    </w:div>
    <w:div w:id="1747871938">
      <w:bodyDiv w:val="1"/>
      <w:marLeft w:val="0"/>
      <w:marRight w:val="0"/>
      <w:marTop w:val="0"/>
      <w:marBottom w:val="0"/>
      <w:divBdr>
        <w:top w:val="none" w:sz="0" w:space="0" w:color="auto"/>
        <w:left w:val="none" w:sz="0" w:space="0" w:color="auto"/>
        <w:bottom w:val="none" w:sz="0" w:space="0" w:color="auto"/>
        <w:right w:val="none" w:sz="0" w:space="0" w:color="auto"/>
      </w:divBdr>
      <w:divsChild>
        <w:div w:id="1327589646">
          <w:marLeft w:val="480"/>
          <w:marRight w:val="0"/>
          <w:marTop w:val="0"/>
          <w:marBottom w:val="0"/>
          <w:divBdr>
            <w:top w:val="none" w:sz="0" w:space="0" w:color="auto"/>
            <w:left w:val="none" w:sz="0" w:space="0" w:color="auto"/>
            <w:bottom w:val="none" w:sz="0" w:space="0" w:color="auto"/>
            <w:right w:val="none" w:sz="0" w:space="0" w:color="auto"/>
          </w:divBdr>
          <w:divsChild>
            <w:div w:id="2025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0458">
      <w:bodyDiv w:val="1"/>
      <w:marLeft w:val="0"/>
      <w:marRight w:val="0"/>
      <w:marTop w:val="0"/>
      <w:marBottom w:val="0"/>
      <w:divBdr>
        <w:top w:val="none" w:sz="0" w:space="0" w:color="auto"/>
        <w:left w:val="none" w:sz="0" w:space="0" w:color="auto"/>
        <w:bottom w:val="none" w:sz="0" w:space="0" w:color="auto"/>
        <w:right w:val="none" w:sz="0" w:space="0" w:color="auto"/>
      </w:divBdr>
    </w:div>
    <w:div w:id="1779370413">
      <w:bodyDiv w:val="1"/>
      <w:marLeft w:val="0"/>
      <w:marRight w:val="0"/>
      <w:marTop w:val="0"/>
      <w:marBottom w:val="0"/>
      <w:divBdr>
        <w:top w:val="none" w:sz="0" w:space="0" w:color="auto"/>
        <w:left w:val="none" w:sz="0" w:space="0" w:color="auto"/>
        <w:bottom w:val="none" w:sz="0" w:space="0" w:color="auto"/>
        <w:right w:val="none" w:sz="0" w:space="0" w:color="auto"/>
      </w:divBdr>
    </w:div>
    <w:div w:id="1786579974">
      <w:bodyDiv w:val="1"/>
      <w:marLeft w:val="0"/>
      <w:marRight w:val="0"/>
      <w:marTop w:val="0"/>
      <w:marBottom w:val="0"/>
      <w:divBdr>
        <w:top w:val="none" w:sz="0" w:space="0" w:color="auto"/>
        <w:left w:val="none" w:sz="0" w:space="0" w:color="auto"/>
        <w:bottom w:val="none" w:sz="0" w:space="0" w:color="auto"/>
        <w:right w:val="none" w:sz="0" w:space="0" w:color="auto"/>
      </w:divBdr>
    </w:div>
    <w:div w:id="1798832749">
      <w:bodyDiv w:val="1"/>
      <w:marLeft w:val="0"/>
      <w:marRight w:val="0"/>
      <w:marTop w:val="0"/>
      <w:marBottom w:val="0"/>
      <w:divBdr>
        <w:top w:val="none" w:sz="0" w:space="0" w:color="auto"/>
        <w:left w:val="none" w:sz="0" w:space="0" w:color="auto"/>
        <w:bottom w:val="none" w:sz="0" w:space="0" w:color="auto"/>
        <w:right w:val="none" w:sz="0" w:space="0" w:color="auto"/>
      </w:divBdr>
    </w:div>
    <w:div w:id="1799831776">
      <w:bodyDiv w:val="1"/>
      <w:marLeft w:val="0"/>
      <w:marRight w:val="0"/>
      <w:marTop w:val="0"/>
      <w:marBottom w:val="0"/>
      <w:divBdr>
        <w:top w:val="none" w:sz="0" w:space="0" w:color="auto"/>
        <w:left w:val="none" w:sz="0" w:space="0" w:color="auto"/>
        <w:bottom w:val="none" w:sz="0" w:space="0" w:color="auto"/>
        <w:right w:val="none" w:sz="0" w:space="0" w:color="auto"/>
      </w:divBdr>
    </w:div>
    <w:div w:id="1817648181">
      <w:bodyDiv w:val="1"/>
      <w:marLeft w:val="0"/>
      <w:marRight w:val="0"/>
      <w:marTop w:val="0"/>
      <w:marBottom w:val="0"/>
      <w:divBdr>
        <w:top w:val="none" w:sz="0" w:space="0" w:color="auto"/>
        <w:left w:val="none" w:sz="0" w:space="0" w:color="auto"/>
        <w:bottom w:val="none" w:sz="0" w:space="0" w:color="auto"/>
        <w:right w:val="none" w:sz="0" w:space="0" w:color="auto"/>
      </w:divBdr>
    </w:div>
    <w:div w:id="1847941396">
      <w:bodyDiv w:val="1"/>
      <w:marLeft w:val="0"/>
      <w:marRight w:val="0"/>
      <w:marTop w:val="0"/>
      <w:marBottom w:val="0"/>
      <w:divBdr>
        <w:top w:val="none" w:sz="0" w:space="0" w:color="auto"/>
        <w:left w:val="none" w:sz="0" w:space="0" w:color="auto"/>
        <w:bottom w:val="none" w:sz="0" w:space="0" w:color="auto"/>
        <w:right w:val="none" w:sz="0" w:space="0" w:color="auto"/>
      </w:divBdr>
    </w:div>
    <w:div w:id="1850175987">
      <w:bodyDiv w:val="1"/>
      <w:marLeft w:val="0"/>
      <w:marRight w:val="0"/>
      <w:marTop w:val="0"/>
      <w:marBottom w:val="0"/>
      <w:divBdr>
        <w:top w:val="none" w:sz="0" w:space="0" w:color="auto"/>
        <w:left w:val="none" w:sz="0" w:space="0" w:color="auto"/>
        <w:bottom w:val="none" w:sz="0" w:space="0" w:color="auto"/>
        <w:right w:val="none" w:sz="0" w:space="0" w:color="auto"/>
      </w:divBdr>
    </w:div>
    <w:div w:id="1854418945">
      <w:bodyDiv w:val="1"/>
      <w:marLeft w:val="0"/>
      <w:marRight w:val="0"/>
      <w:marTop w:val="0"/>
      <w:marBottom w:val="0"/>
      <w:divBdr>
        <w:top w:val="none" w:sz="0" w:space="0" w:color="auto"/>
        <w:left w:val="none" w:sz="0" w:space="0" w:color="auto"/>
        <w:bottom w:val="none" w:sz="0" w:space="0" w:color="auto"/>
        <w:right w:val="none" w:sz="0" w:space="0" w:color="auto"/>
      </w:divBdr>
    </w:div>
    <w:div w:id="1861160187">
      <w:bodyDiv w:val="1"/>
      <w:marLeft w:val="0"/>
      <w:marRight w:val="0"/>
      <w:marTop w:val="0"/>
      <w:marBottom w:val="0"/>
      <w:divBdr>
        <w:top w:val="none" w:sz="0" w:space="0" w:color="auto"/>
        <w:left w:val="none" w:sz="0" w:space="0" w:color="auto"/>
        <w:bottom w:val="none" w:sz="0" w:space="0" w:color="auto"/>
        <w:right w:val="none" w:sz="0" w:space="0" w:color="auto"/>
      </w:divBdr>
    </w:div>
    <w:div w:id="1862040834">
      <w:bodyDiv w:val="1"/>
      <w:marLeft w:val="0"/>
      <w:marRight w:val="0"/>
      <w:marTop w:val="0"/>
      <w:marBottom w:val="0"/>
      <w:divBdr>
        <w:top w:val="none" w:sz="0" w:space="0" w:color="auto"/>
        <w:left w:val="none" w:sz="0" w:space="0" w:color="auto"/>
        <w:bottom w:val="none" w:sz="0" w:space="0" w:color="auto"/>
        <w:right w:val="none" w:sz="0" w:space="0" w:color="auto"/>
      </w:divBdr>
    </w:div>
    <w:div w:id="1874807860">
      <w:bodyDiv w:val="1"/>
      <w:marLeft w:val="0"/>
      <w:marRight w:val="0"/>
      <w:marTop w:val="0"/>
      <w:marBottom w:val="0"/>
      <w:divBdr>
        <w:top w:val="none" w:sz="0" w:space="0" w:color="auto"/>
        <w:left w:val="none" w:sz="0" w:space="0" w:color="auto"/>
        <w:bottom w:val="none" w:sz="0" w:space="0" w:color="auto"/>
        <w:right w:val="none" w:sz="0" w:space="0" w:color="auto"/>
      </w:divBdr>
    </w:div>
    <w:div w:id="1875849830">
      <w:bodyDiv w:val="1"/>
      <w:marLeft w:val="0"/>
      <w:marRight w:val="0"/>
      <w:marTop w:val="0"/>
      <w:marBottom w:val="0"/>
      <w:divBdr>
        <w:top w:val="none" w:sz="0" w:space="0" w:color="auto"/>
        <w:left w:val="none" w:sz="0" w:space="0" w:color="auto"/>
        <w:bottom w:val="none" w:sz="0" w:space="0" w:color="auto"/>
        <w:right w:val="none" w:sz="0" w:space="0" w:color="auto"/>
      </w:divBdr>
    </w:div>
    <w:div w:id="1884561906">
      <w:bodyDiv w:val="1"/>
      <w:marLeft w:val="0"/>
      <w:marRight w:val="0"/>
      <w:marTop w:val="0"/>
      <w:marBottom w:val="0"/>
      <w:divBdr>
        <w:top w:val="none" w:sz="0" w:space="0" w:color="auto"/>
        <w:left w:val="none" w:sz="0" w:space="0" w:color="auto"/>
        <w:bottom w:val="none" w:sz="0" w:space="0" w:color="auto"/>
        <w:right w:val="none" w:sz="0" w:space="0" w:color="auto"/>
      </w:divBdr>
    </w:div>
    <w:div w:id="1891764043">
      <w:bodyDiv w:val="1"/>
      <w:marLeft w:val="0"/>
      <w:marRight w:val="0"/>
      <w:marTop w:val="0"/>
      <w:marBottom w:val="0"/>
      <w:divBdr>
        <w:top w:val="none" w:sz="0" w:space="0" w:color="auto"/>
        <w:left w:val="none" w:sz="0" w:space="0" w:color="auto"/>
        <w:bottom w:val="none" w:sz="0" w:space="0" w:color="auto"/>
        <w:right w:val="none" w:sz="0" w:space="0" w:color="auto"/>
      </w:divBdr>
      <w:divsChild>
        <w:div w:id="1536845313">
          <w:marLeft w:val="0"/>
          <w:marRight w:val="0"/>
          <w:marTop w:val="0"/>
          <w:marBottom w:val="0"/>
          <w:divBdr>
            <w:top w:val="none" w:sz="0" w:space="0" w:color="auto"/>
            <w:left w:val="none" w:sz="0" w:space="0" w:color="auto"/>
            <w:bottom w:val="none" w:sz="0" w:space="0" w:color="auto"/>
            <w:right w:val="none" w:sz="0" w:space="0" w:color="auto"/>
          </w:divBdr>
          <w:divsChild>
            <w:div w:id="1291011383">
              <w:marLeft w:val="0"/>
              <w:marRight w:val="0"/>
              <w:marTop w:val="0"/>
              <w:marBottom w:val="0"/>
              <w:divBdr>
                <w:top w:val="none" w:sz="0" w:space="0" w:color="auto"/>
                <w:left w:val="none" w:sz="0" w:space="0" w:color="auto"/>
                <w:bottom w:val="none" w:sz="0" w:space="0" w:color="auto"/>
                <w:right w:val="none" w:sz="0" w:space="0" w:color="auto"/>
              </w:divBdr>
            </w:div>
          </w:divsChild>
        </w:div>
        <w:div w:id="1824345143">
          <w:marLeft w:val="0"/>
          <w:marRight w:val="0"/>
          <w:marTop w:val="0"/>
          <w:marBottom w:val="0"/>
          <w:divBdr>
            <w:top w:val="none" w:sz="0" w:space="0" w:color="auto"/>
            <w:left w:val="none" w:sz="0" w:space="0" w:color="auto"/>
            <w:bottom w:val="none" w:sz="0" w:space="0" w:color="auto"/>
            <w:right w:val="none" w:sz="0" w:space="0" w:color="auto"/>
          </w:divBdr>
        </w:div>
      </w:divsChild>
    </w:div>
    <w:div w:id="1900702250">
      <w:bodyDiv w:val="1"/>
      <w:marLeft w:val="0"/>
      <w:marRight w:val="0"/>
      <w:marTop w:val="0"/>
      <w:marBottom w:val="0"/>
      <w:divBdr>
        <w:top w:val="none" w:sz="0" w:space="0" w:color="auto"/>
        <w:left w:val="none" w:sz="0" w:space="0" w:color="auto"/>
        <w:bottom w:val="none" w:sz="0" w:space="0" w:color="auto"/>
        <w:right w:val="none" w:sz="0" w:space="0" w:color="auto"/>
      </w:divBdr>
    </w:div>
    <w:div w:id="1908492459">
      <w:bodyDiv w:val="1"/>
      <w:marLeft w:val="0"/>
      <w:marRight w:val="0"/>
      <w:marTop w:val="0"/>
      <w:marBottom w:val="0"/>
      <w:divBdr>
        <w:top w:val="none" w:sz="0" w:space="0" w:color="auto"/>
        <w:left w:val="none" w:sz="0" w:space="0" w:color="auto"/>
        <w:bottom w:val="none" w:sz="0" w:space="0" w:color="auto"/>
        <w:right w:val="none" w:sz="0" w:space="0" w:color="auto"/>
      </w:divBdr>
    </w:div>
    <w:div w:id="1921019570">
      <w:bodyDiv w:val="1"/>
      <w:marLeft w:val="0"/>
      <w:marRight w:val="0"/>
      <w:marTop w:val="0"/>
      <w:marBottom w:val="0"/>
      <w:divBdr>
        <w:top w:val="none" w:sz="0" w:space="0" w:color="auto"/>
        <w:left w:val="none" w:sz="0" w:space="0" w:color="auto"/>
        <w:bottom w:val="none" w:sz="0" w:space="0" w:color="auto"/>
        <w:right w:val="none" w:sz="0" w:space="0" w:color="auto"/>
      </w:divBdr>
    </w:div>
    <w:div w:id="1927960572">
      <w:bodyDiv w:val="1"/>
      <w:marLeft w:val="0"/>
      <w:marRight w:val="0"/>
      <w:marTop w:val="0"/>
      <w:marBottom w:val="0"/>
      <w:divBdr>
        <w:top w:val="none" w:sz="0" w:space="0" w:color="auto"/>
        <w:left w:val="none" w:sz="0" w:space="0" w:color="auto"/>
        <w:bottom w:val="none" w:sz="0" w:space="0" w:color="auto"/>
        <w:right w:val="none" w:sz="0" w:space="0" w:color="auto"/>
      </w:divBdr>
    </w:div>
    <w:div w:id="1940016367">
      <w:bodyDiv w:val="1"/>
      <w:marLeft w:val="0"/>
      <w:marRight w:val="0"/>
      <w:marTop w:val="0"/>
      <w:marBottom w:val="0"/>
      <w:divBdr>
        <w:top w:val="none" w:sz="0" w:space="0" w:color="auto"/>
        <w:left w:val="none" w:sz="0" w:space="0" w:color="auto"/>
        <w:bottom w:val="none" w:sz="0" w:space="0" w:color="auto"/>
        <w:right w:val="none" w:sz="0" w:space="0" w:color="auto"/>
      </w:divBdr>
    </w:div>
    <w:div w:id="1941909031">
      <w:bodyDiv w:val="1"/>
      <w:marLeft w:val="0"/>
      <w:marRight w:val="0"/>
      <w:marTop w:val="0"/>
      <w:marBottom w:val="0"/>
      <w:divBdr>
        <w:top w:val="none" w:sz="0" w:space="0" w:color="auto"/>
        <w:left w:val="none" w:sz="0" w:space="0" w:color="auto"/>
        <w:bottom w:val="none" w:sz="0" w:space="0" w:color="auto"/>
        <w:right w:val="none" w:sz="0" w:space="0" w:color="auto"/>
      </w:divBdr>
    </w:div>
    <w:div w:id="1957444849">
      <w:bodyDiv w:val="1"/>
      <w:marLeft w:val="0"/>
      <w:marRight w:val="0"/>
      <w:marTop w:val="0"/>
      <w:marBottom w:val="0"/>
      <w:divBdr>
        <w:top w:val="none" w:sz="0" w:space="0" w:color="auto"/>
        <w:left w:val="none" w:sz="0" w:space="0" w:color="auto"/>
        <w:bottom w:val="none" w:sz="0" w:space="0" w:color="auto"/>
        <w:right w:val="none" w:sz="0" w:space="0" w:color="auto"/>
      </w:divBdr>
    </w:div>
    <w:div w:id="1966421346">
      <w:bodyDiv w:val="1"/>
      <w:marLeft w:val="0"/>
      <w:marRight w:val="0"/>
      <w:marTop w:val="0"/>
      <w:marBottom w:val="0"/>
      <w:divBdr>
        <w:top w:val="none" w:sz="0" w:space="0" w:color="auto"/>
        <w:left w:val="none" w:sz="0" w:space="0" w:color="auto"/>
        <w:bottom w:val="none" w:sz="0" w:space="0" w:color="auto"/>
        <w:right w:val="none" w:sz="0" w:space="0" w:color="auto"/>
      </w:divBdr>
    </w:div>
    <w:div w:id="2000697092">
      <w:bodyDiv w:val="1"/>
      <w:marLeft w:val="0"/>
      <w:marRight w:val="0"/>
      <w:marTop w:val="0"/>
      <w:marBottom w:val="0"/>
      <w:divBdr>
        <w:top w:val="none" w:sz="0" w:space="0" w:color="auto"/>
        <w:left w:val="none" w:sz="0" w:space="0" w:color="auto"/>
        <w:bottom w:val="none" w:sz="0" w:space="0" w:color="auto"/>
        <w:right w:val="none" w:sz="0" w:space="0" w:color="auto"/>
      </w:divBdr>
    </w:div>
    <w:div w:id="2013410615">
      <w:bodyDiv w:val="1"/>
      <w:marLeft w:val="0"/>
      <w:marRight w:val="0"/>
      <w:marTop w:val="0"/>
      <w:marBottom w:val="0"/>
      <w:divBdr>
        <w:top w:val="none" w:sz="0" w:space="0" w:color="auto"/>
        <w:left w:val="none" w:sz="0" w:space="0" w:color="auto"/>
        <w:bottom w:val="none" w:sz="0" w:space="0" w:color="auto"/>
        <w:right w:val="none" w:sz="0" w:space="0" w:color="auto"/>
      </w:divBdr>
    </w:div>
    <w:div w:id="2016497133">
      <w:bodyDiv w:val="1"/>
      <w:marLeft w:val="0"/>
      <w:marRight w:val="0"/>
      <w:marTop w:val="0"/>
      <w:marBottom w:val="0"/>
      <w:divBdr>
        <w:top w:val="none" w:sz="0" w:space="0" w:color="auto"/>
        <w:left w:val="none" w:sz="0" w:space="0" w:color="auto"/>
        <w:bottom w:val="none" w:sz="0" w:space="0" w:color="auto"/>
        <w:right w:val="none" w:sz="0" w:space="0" w:color="auto"/>
      </w:divBdr>
    </w:div>
    <w:div w:id="2026201419">
      <w:bodyDiv w:val="1"/>
      <w:marLeft w:val="0"/>
      <w:marRight w:val="0"/>
      <w:marTop w:val="0"/>
      <w:marBottom w:val="0"/>
      <w:divBdr>
        <w:top w:val="none" w:sz="0" w:space="0" w:color="auto"/>
        <w:left w:val="none" w:sz="0" w:space="0" w:color="auto"/>
        <w:bottom w:val="none" w:sz="0" w:space="0" w:color="auto"/>
        <w:right w:val="none" w:sz="0" w:space="0" w:color="auto"/>
      </w:divBdr>
    </w:div>
    <w:div w:id="2045473054">
      <w:bodyDiv w:val="1"/>
      <w:marLeft w:val="0"/>
      <w:marRight w:val="0"/>
      <w:marTop w:val="0"/>
      <w:marBottom w:val="0"/>
      <w:divBdr>
        <w:top w:val="none" w:sz="0" w:space="0" w:color="auto"/>
        <w:left w:val="none" w:sz="0" w:space="0" w:color="auto"/>
        <w:bottom w:val="none" w:sz="0" w:space="0" w:color="auto"/>
        <w:right w:val="none" w:sz="0" w:space="0" w:color="auto"/>
      </w:divBdr>
    </w:div>
    <w:div w:id="2048748661">
      <w:bodyDiv w:val="1"/>
      <w:marLeft w:val="0"/>
      <w:marRight w:val="0"/>
      <w:marTop w:val="0"/>
      <w:marBottom w:val="0"/>
      <w:divBdr>
        <w:top w:val="none" w:sz="0" w:space="0" w:color="auto"/>
        <w:left w:val="none" w:sz="0" w:space="0" w:color="auto"/>
        <w:bottom w:val="none" w:sz="0" w:space="0" w:color="auto"/>
        <w:right w:val="none" w:sz="0" w:space="0" w:color="auto"/>
      </w:divBdr>
      <w:divsChild>
        <w:div w:id="171921216">
          <w:marLeft w:val="480"/>
          <w:marRight w:val="0"/>
          <w:marTop w:val="0"/>
          <w:marBottom w:val="0"/>
          <w:divBdr>
            <w:top w:val="none" w:sz="0" w:space="0" w:color="auto"/>
            <w:left w:val="none" w:sz="0" w:space="0" w:color="auto"/>
            <w:bottom w:val="none" w:sz="0" w:space="0" w:color="auto"/>
            <w:right w:val="none" w:sz="0" w:space="0" w:color="auto"/>
          </w:divBdr>
          <w:divsChild>
            <w:div w:id="209717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1847">
      <w:bodyDiv w:val="1"/>
      <w:marLeft w:val="0"/>
      <w:marRight w:val="0"/>
      <w:marTop w:val="0"/>
      <w:marBottom w:val="0"/>
      <w:divBdr>
        <w:top w:val="none" w:sz="0" w:space="0" w:color="auto"/>
        <w:left w:val="none" w:sz="0" w:space="0" w:color="auto"/>
        <w:bottom w:val="none" w:sz="0" w:space="0" w:color="auto"/>
        <w:right w:val="none" w:sz="0" w:space="0" w:color="auto"/>
      </w:divBdr>
      <w:divsChild>
        <w:div w:id="1949966431">
          <w:marLeft w:val="480"/>
          <w:marRight w:val="0"/>
          <w:marTop w:val="0"/>
          <w:marBottom w:val="0"/>
          <w:divBdr>
            <w:top w:val="none" w:sz="0" w:space="0" w:color="auto"/>
            <w:left w:val="none" w:sz="0" w:space="0" w:color="auto"/>
            <w:bottom w:val="none" w:sz="0" w:space="0" w:color="auto"/>
            <w:right w:val="none" w:sz="0" w:space="0" w:color="auto"/>
          </w:divBdr>
          <w:divsChild>
            <w:div w:id="11718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5226">
      <w:bodyDiv w:val="1"/>
      <w:marLeft w:val="0"/>
      <w:marRight w:val="0"/>
      <w:marTop w:val="0"/>
      <w:marBottom w:val="0"/>
      <w:divBdr>
        <w:top w:val="none" w:sz="0" w:space="0" w:color="auto"/>
        <w:left w:val="none" w:sz="0" w:space="0" w:color="auto"/>
        <w:bottom w:val="none" w:sz="0" w:space="0" w:color="auto"/>
        <w:right w:val="none" w:sz="0" w:space="0" w:color="auto"/>
      </w:divBdr>
    </w:div>
    <w:div w:id="2088308272">
      <w:bodyDiv w:val="1"/>
      <w:marLeft w:val="0"/>
      <w:marRight w:val="0"/>
      <w:marTop w:val="0"/>
      <w:marBottom w:val="0"/>
      <w:divBdr>
        <w:top w:val="none" w:sz="0" w:space="0" w:color="auto"/>
        <w:left w:val="none" w:sz="0" w:space="0" w:color="auto"/>
        <w:bottom w:val="none" w:sz="0" w:space="0" w:color="auto"/>
        <w:right w:val="none" w:sz="0" w:space="0" w:color="auto"/>
      </w:divBdr>
    </w:div>
    <w:div w:id="2093113991">
      <w:bodyDiv w:val="1"/>
      <w:marLeft w:val="0"/>
      <w:marRight w:val="0"/>
      <w:marTop w:val="0"/>
      <w:marBottom w:val="0"/>
      <w:divBdr>
        <w:top w:val="none" w:sz="0" w:space="0" w:color="auto"/>
        <w:left w:val="none" w:sz="0" w:space="0" w:color="auto"/>
        <w:bottom w:val="none" w:sz="0" w:space="0" w:color="auto"/>
        <w:right w:val="none" w:sz="0" w:space="0" w:color="auto"/>
      </w:divBdr>
    </w:div>
    <w:div w:id="2097049916">
      <w:bodyDiv w:val="1"/>
      <w:marLeft w:val="0"/>
      <w:marRight w:val="0"/>
      <w:marTop w:val="0"/>
      <w:marBottom w:val="0"/>
      <w:divBdr>
        <w:top w:val="none" w:sz="0" w:space="0" w:color="auto"/>
        <w:left w:val="none" w:sz="0" w:space="0" w:color="auto"/>
        <w:bottom w:val="none" w:sz="0" w:space="0" w:color="auto"/>
        <w:right w:val="none" w:sz="0" w:space="0" w:color="auto"/>
      </w:divBdr>
    </w:div>
    <w:div w:id="2120561458">
      <w:bodyDiv w:val="1"/>
      <w:marLeft w:val="0"/>
      <w:marRight w:val="0"/>
      <w:marTop w:val="0"/>
      <w:marBottom w:val="0"/>
      <w:divBdr>
        <w:top w:val="none" w:sz="0" w:space="0" w:color="auto"/>
        <w:left w:val="none" w:sz="0" w:space="0" w:color="auto"/>
        <w:bottom w:val="none" w:sz="0" w:space="0" w:color="auto"/>
        <w:right w:val="none" w:sz="0" w:space="0" w:color="auto"/>
      </w:divBdr>
    </w:div>
    <w:div w:id="2125541287">
      <w:bodyDiv w:val="1"/>
      <w:marLeft w:val="0"/>
      <w:marRight w:val="0"/>
      <w:marTop w:val="0"/>
      <w:marBottom w:val="0"/>
      <w:divBdr>
        <w:top w:val="none" w:sz="0" w:space="0" w:color="auto"/>
        <w:left w:val="none" w:sz="0" w:space="0" w:color="auto"/>
        <w:bottom w:val="none" w:sz="0" w:space="0" w:color="auto"/>
        <w:right w:val="none" w:sz="0" w:space="0" w:color="auto"/>
      </w:divBdr>
    </w:div>
    <w:div w:id="2133595066">
      <w:bodyDiv w:val="1"/>
      <w:marLeft w:val="0"/>
      <w:marRight w:val="0"/>
      <w:marTop w:val="0"/>
      <w:marBottom w:val="0"/>
      <w:divBdr>
        <w:top w:val="none" w:sz="0" w:space="0" w:color="auto"/>
        <w:left w:val="none" w:sz="0" w:space="0" w:color="auto"/>
        <w:bottom w:val="none" w:sz="0" w:space="0" w:color="auto"/>
        <w:right w:val="none" w:sz="0" w:space="0" w:color="auto"/>
      </w:divBdr>
      <w:divsChild>
        <w:div w:id="803036960">
          <w:marLeft w:val="0"/>
          <w:marRight w:val="0"/>
          <w:marTop w:val="0"/>
          <w:marBottom w:val="0"/>
          <w:divBdr>
            <w:top w:val="none" w:sz="0" w:space="0" w:color="auto"/>
            <w:left w:val="none" w:sz="0" w:space="0" w:color="auto"/>
            <w:bottom w:val="none" w:sz="0" w:space="0" w:color="auto"/>
            <w:right w:val="none" w:sz="0" w:space="0" w:color="auto"/>
          </w:divBdr>
        </w:div>
      </w:divsChild>
    </w:div>
    <w:div w:id="213675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ff.org/coronavirus-covid-19/issue-brief/where-are-the-covid-19-hotspots-tracking-state-outbreaks/" TargetMode="External"/><Relationship Id="rId21" Type="http://schemas.openxmlformats.org/officeDocument/2006/relationships/hyperlink" Target="https://doi.org/10.1111/j.1751-2409.2011.01027.x" TargetMode="External"/><Relationship Id="rId34" Type="http://schemas.openxmlformats.org/officeDocument/2006/relationships/hyperlink" Target="http://doi.org/10.5334/irsp.181" TargetMode="External"/><Relationship Id="rId42" Type="http://schemas.openxmlformats.org/officeDocument/2006/relationships/hyperlink" Target="https://doi.org/10.1080/21565503.2020.1769693" TargetMode="External"/><Relationship Id="rId47" Type="http://schemas.openxmlformats.org/officeDocument/2006/relationships/hyperlink" Target="https://doi.org/10.1177%2F0963721411402596" TargetMode="External"/><Relationship Id="rId50" Type="http://schemas.openxmlformats.org/officeDocument/2006/relationships/hyperlink" Target="https://www.npr.org/sections/health-shots/2021/06/22/1008859705/delta-variant-coronavirus-unvaccinated-u-s-covid-surge" TargetMode="External"/><Relationship Id="rId55" Type="http://schemas.openxmlformats.org/officeDocument/2006/relationships/hyperlink" Target="https://doi.org/10.1007/s12103-020-09541-5" TargetMode="External"/><Relationship Id="rId63" Type="http://schemas.openxmlformats.org/officeDocument/2006/relationships/hyperlink" Target="https://osf.io/erk36/?view_only=d2524995e72544f8b880f2b2dbf3193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37/a0023141" TargetMode="External"/><Relationship Id="rId29" Type="http://schemas.openxmlformats.org/officeDocument/2006/relationships/hyperlink" Target="https://www.journalism.org/2020/06/29/three-months-in-many-americans-see-exaggeration-conspiracy-theories-and-partisanship-in-covid-19-news/" TargetMode="External"/><Relationship Id="rId11" Type="http://schemas.openxmlformats.org/officeDocument/2006/relationships/hyperlink" Target="https://doi.org/10.1177%2F1368430220959710" TargetMode="External"/><Relationship Id="rId24" Type="http://schemas.openxmlformats.org/officeDocument/2006/relationships/hyperlink" Target="http://www.asianpacificpolicyandplanningcouncil.org/wp-content/uploads/STOP_AAPI_HATE_MONTHLY_REPORT_4_23_20.pdf" TargetMode="External"/><Relationship Id="rId32" Type="http://schemas.openxmlformats.org/officeDocument/2006/relationships/hyperlink" Target="https://doi.org/10.3390/ijerph17197032" TargetMode="External"/><Relationship Id="rId37" Type="http://schemas.openxmlformats.org/officeDocument/2006/relationships/hyperlink" Target="https://psycnet.apa.org/doi/10.1037/0022-3514.90.5.751" TargetMode="External"/><Relationship Id="rId40" Type="http://schemas.openxmlformats.org/officeDocument/2006/relationships/hyperlink" Target="https://doi.org/10.1086/338938" TargetMode="External"/><Relationship Id="rId45" Type="http://schemas.openxmlformats.org/officeDocument/2006/relationships/hyperlink" Target="https://www.pewsocialtrends.org/2020/07/01/many-black-and-asian-americans-say-they-have-experienced-discrimination-amid-the-covid-19-outbreak/" TargetMode="External"/><Relationship Id="rId53" Type="http://schemas.openxmlformats.org/officeDocument/2006/relationships/hyperlink" Target="https://doi.org/10.31234/osf.io/mpbtr" TargetMode="External"/><Relationship Id="rId58" Type="http://schemas.openxmlformats.org/officeDocument/2006/relationships/hyperlink" Target="https://doi.org/10.1177%2F0146167205274854" TargetMode="External"/><Relationship Id="rId5" Type="http://schemas.openxmlformats.org/officeDocument/2006/relationships/webSettings" Target="webSettings.xml"/><Relationship Id="rId61" Type="http://schemas.openxmlformats.org/officeDocument/2006/relationships/hyperlink" Target="https://doi.org/10.1038/s41586-020-2008-3" TargetMode="External"/><Relationship Id="rId19" Type="http://schemas.openxmlformats.org/officeDocument/2006/relationships/hyperlink" Target="https://doi.org/10.3758/BF03193146" TargetMode="External"/><Relationship Id="rId14" Type="http://schemas.openxmlformats.org/officeDocument/2006/relationships/hyperlink" Target="https://psycnet.apa.org/doi/10.1037/0022-3514.88.3.447" TargetMode="External"/><Relationship Id="rId22" Type="http://schemas.openxmlformats.org/officeDocument/2006/relationships/hyperlink" Target="https://socialsciences.mcmaster.ca/jfox/Books/Companion/" TargetMode="External"/><Relationship Id="rId27" Type="http://schemas.openxmlformats.org/officeDocument/2006/relationships/hyperlink" Target="http://dx.doi.org/10.1177/0032329299027001005" TargetMode="External"/><Relationship Id="rId30" Type="http://schemas.openxmlformats.org/officeDocument/2006/relationships/hyperlink" Target="https://www.researchgate.net/deref/http%3A%2F%2Fdx.doi.org%2F10.1016%2Fj.evolhumbehav.2005.12.001?_sg%5B0%5D=Pw8aRFRGscPL8r6bw66fWVJrdkM0YaAb9Z3mrnLsIomHzKJWFD0RH2il0vNaO64PAar1fG2ZdJW5brw3FT0RafAQ-Q.kl_7tDEFc92zHGu-nqAvsqfeeJTsFI6zesT7Bo2cKJfVc4W4cxbAbRrcg_pOx4JCqOEe0eQRfBgkoMdlw9tcXg" TargetMode="External"/><Relationship Id="rId35" Type="http://schemas.openxmlformats.org/officeDocument/2006/relationships/hyperlink" Target="https://doi.org/10.1177%2F0146167218756033" TargetMode="External"/><Relationship Id="rId43" Type="http://schemas.openxmlformats.org/officeDocument/2006/relationships/hyperlink" Target="https://osf.io/2uyr6/" TargetMode="External"/><Relationship Id="rId48" Type="http://schemas.openxmlformats.org/officeDocument/2006/relationships/hyperlink" Target="https://doi.org/10.1016/j.ssresearch.2009.07.006" TargetMode="External"/><Relationship Id="rId56" Type="http://schemas.openxmlformats.org/officeDocument/2006/relationships/hyperlink" Target="https://github.com/nytimes/covid-19-data" TargetMode="External"/><Relationship Id="rId64" Type="http://schemas.openxmlformats.org/officeDocument/2006/relationships/fontTable" Target="fontTable.xml"/><Relationship Id="rId8" Type="http://schemas.openxmlformats.org/officeDocument/2006/relationships/hyperlink" Target="mailto:tmandalaywala@umass.edu" TargetMode="External"/><Relationship Id="rId51" Type="http://schemas.openxmlformats.org/officeDocument/2006/relationships/hyperlink" Target="https://doi.org/10.1002/9781444303117.ch5" TargetMode="External"/><Relationship Id="rId3" Type="http://schemas.openxmlformats.org/officeDocument/2006/relationships/styles" Target="styles.xml"/><Relationship Id="rId12" Type="http://schemas.openxmlformats.org/officeDocument/2006/relationships/hyperlink" Target="https://doi.org/10.18637/jss.v067.i01" TargetMode="External"/><Relationship Id="rId17" Type="http://schemas.openxmlformats.org/officeDocument/2006/relationships/hyperlink" Target="https://doi.org/10.1177/0010414017730080" TargetMode="External"/><Relationship Id="rId25" Type="http://schemas.openxmlformats.org/officeDocument/2006/relationships/hyperlink" Target="https://dx.doi.org/10.1038%2Fnature06536" TargetMode="External"/><Relationship Id="rId33" Type="http://schemas.openxmlformats.org/officeDocument/2006/relationships/hyperlink" Target="http://dx.doi.org/10.7208/chicago/9780226626642.001.0001" TargetMode="External"/><Relationship Id="rId38" Type="http://schemas.openxmlformats.org/officeDocument/2006/relationships/hyperlink" Target="https://doi.org/10.1080/13691830903516034" TargetMode="External"/><Relationship Id="rId46" Type="http://schemas.openxmlformats.org/officeDocument/2006/relationships/hyperlink" Target="https://doi.org/10.1016/B978-0-12-394281-4.00001-5" TargetMode="External"/><Relationship Id="rId59" Type="http://schemas.openxmlformats.org/officeDocument/2006/relationships/hyperlink" Target="https://www.bls.gov/news.release/archives/empsit_05082020.htm" TargetMode="External"/><Relationship Id="rId20" Type="http://schemas.openxmlformats.org/officeDocument/2006/relationships/hyperlink" Target="https://doi.org/10.1177/1368430204046142" TargetMode="External"/><Relationship Id="rId41" Type="http://schemas.openxmlformats.org/officeDocument/2006/relationships/hyperlink" Target="https://www.R-project.org/" TargetMode="External"/><Relationship Id="rId54" Type="http://schemas.openxmlformats.org/officeDocument/2006/relationships/hyperlink" Target="https://doi.org/10.2307/2657265" TargetMode="External"/><Relationship Id="rId62" Type="http://schemas.openxmlformats.org/officeDocument/2006/relationships/hyperlink" Target="https://www.vox.com/2020/6/23/21300332/trump-coronavirus-racism-asian-american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353/sof.2006.0085" TargetMode="External"/><Relationship Id="rId23" Type="http://schemas.openxmlformats.org/officeDocument/2006/relationships/hyperlink" Target="https://doi.org/10.1007/s12103-020-09545-1" TargetMode="External"/><Relationship Id="rId28" Type="http://schemas.openxmlformats.org/officeDocument/2006/relationships/hyperlink" Target="https://items.ssrc.org/covid-19-and-the-social-sciences/the-rise-of-anti-asian-hate-in-the-wake-of-covid-19/" TargetMode="External"/><Relationship Id="rId36" Type="http://schemas.openxmlformats.org/officeDocument/2006/relationships/hyperlink" Target="https://doi.org/10.1146/annurev.psych.49.1.65" TargetMode="External"/><Relationship Id="rId49" Type="http://schemas.openxmlformats.org/officeDocument/2006/relationships/hyperlink" Target="https://doi.org/10.1016/j.ssresearch.2003.11.003" TargetMode="External"/><Relationship Id="rId57" Type="http://schemas.openxmlformats.org/officeDocument/2006/relationships/hyperlink" Target="https://doi.org/10.1177/0022343398035003004" TargetMode="External"/><Relationship Id="rId10" Type="http://schemas.openxmlformats.org/officeDocument/2006/relationships/image" Target="media/image1.png"/><Relationship Id="rId31" Type="http://schemas.openxmlformats.org/officeDocument/2006/relationships/hyperlink" Target="https://doi.org/10.1016/j.ssaho.2020.100044" TargetMode="External"/><Relationship Id="rId44" Type="http://schemas.openxmlformats.org/officeDocument/2006/relationships/hyperlink" Target="https://doi.org/10.31234/osf.io/6gjfm" TargetMode="External"/><Relationship Id="rId52" Type="http://schemas.openxmlformats.org/officeDocument/2006/relationships/hyperlink" Target="https://doi.org/10.1177/01461672022812009" TargetMode="External"/><Relationship Id="rId60" Type="http://schemas.openxmlformats.org/officeDocument/2006/relationships/hyperlink" Target="https://doi.org/10.1177/019027250606900406"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sf.io/d27kc/?view_only=697abf528b274384bed9fd1213c40eac" TargetMode="External"/><Relationship Id="rId13" Type="http://schemas.openxmlformats.org/officeDocument/2006/relationships/hyperlink" Target="https://www.washingtonpost.com/outlook/2020/10/01/debate-early-travel-bans-china/" TargetMode="External"/><Relationship Id="rId18" Type="http://schemas.openxmlformats.org/officeDocument/2006/relationships/hyperlink" Target="https://www.nbcnews.com/news/asian-america/over-30-americans-have-witnessed-covid-19-bias-against-asians-n1193901" TargetMode="External"/><Relationship Id="rId39" Type="http://schemas.openxmlformats.org/officeDocument/2006/relationships/hyperlink" Target="https://doi.org/10.2307/209629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sf.io/erk36/?view_only=d2524995e72544f8b880f2b2dbf319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BBA8C-11B7-4DF1-BF10-261279D59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56</Pages>
  <Words>14259</Words>
  <Characters>81282</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Mandalaywala</dc:creator>
  <cp:keywords/>
  <dc:description/>
  <cp:lastModifiedBy>Tara Mandalaywala</cp:lastModifiedBy>
  <cp:revision>20</cp:revision>
  <cp:lastPrinted>2021-02-09T18:11:00Z</cp:lastPrinted>
  <dcterms:created xsi:type="dcterms:W3CDTF">2021-02-11T22:08:00Z</dcterms:created>
  <dcterms:modified xsi:type="dcterms:W3CDTF">2021-08-25T18:55:00Z</dcterms:modified>
</cp:coreProperties>
</file>