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Emerging Technologies Fact Sheet</w:t>
      </w:r>
    </w:p>
    <w:p w:rsidR="00000000" w:rsidDel="00000000" w:rsidP="00000000" w:rsidRDefault="00000000" w:rsidRPr="00000000" w14:paraId="00000002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Co-Chair:</w:t>
        <w:tab/>
        <w:tab/>
      </w:r>
      <w:r w:rsidDel="00000000" w:rsidR="00000000" w:rsidRPr="00000000">
        <w:rPr>
          <w:rtl w:val="0"/>
        </w:rPr>
        <w:t xml:space="preserve">Miu Ling Lam, Associate Professor, City University of Hong Kong</w:t>
      </w:r>
    </w:p>
    <w:p w:rsidR="00000000" w:rsidDel="00000000" w:rsidP="00000000" w:rsidRDefault="00000000" w:rsidRPr="00000000" w14:paraId="00000004">
      <w:pPr>
        <w:ind w:left="1440" w:firstLine="720"/>
        <w:rPr/>
      </w:pPr>
      <w:r w:rsidDel="00000000" w:rsidR="00000000" w:rsidRPr="00000000">
        <w:rPr>
          <w:rtl w:val="0"/>
        </w:rPr>
        <w:t xml:space="preserve">Hong Kong SAR</w:t>
      </w:r>
    </w:p>
    <w:p w:rsidR="00000000" w:rsidDel="00000000" w:rsidP="00000000" w:rsidRDefault="00000000" w:rsidRPr="00000000" w14:paraId="00000005">
      <w:pPr>
        <w:spacing w:line="240" w:lineRule="auto"/>
        <w:ind w:left="144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Co-Chair:</w:t>
        <w:tab/>
      </w:r>
      <w:r w:rsidDel="00000000" w:rsidR="00000000" w:rsidRPr="00000000">
        <w:rPr>
          <w:rtl w:val="0"/>
        </w:rPr>
        <w:tab/>
        <w:t xml:space="preserve">Kouta Minamizawa, Professor, Keio University, Japan</w:t>
      </w:r>
    </w:p>
    <w:p w:rsidR="00000000" w:rsidDel="00000000" w:rsidP="00000000" w:rsidRDefault="00000000" w:rsidRPr="00000000" w14:paraId="00000007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Program Schedule: </w:t>
        <w:tab/>
      </w:r>
      <w:r w:rsidDel="00000000" w:rsidR="00000000" w:rsidRPr="00000000">
        <w:rPr>
          <w:rtl w:val="0"/>
        </w:rPr>
        <w:t xml:space="preserve">Wednesday, 13 December – Friday, 15 December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Fast Facts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This year's theme for Emerging Technologies is "IN(TER)VENTION."  The program is a critical platform for fostering research communities and impacting the public by creating functional and experiential prototypes, a critical step in invention and technological intervention.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The program received 41 submissions, the collective work of 128 authors from 10 countries/regions (Australia, China, Hong Kong, Japan, Netherlands, New Zealand, Russia, South Korea, United Arab Emirates, and USA).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All submissions were critically reviewed by 12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Emerging Technologies committee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members and 75 external reviewers who are experts in academia and industry. The committee finally accepted 23 projects, yielding an acceptance rate of 56%.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The primary mode of presentation is through awe-inspiring demonstrations, with the "Best Demo Award" recognizing the most outstanding presentation.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Quote from Miu Ling Lam, Associate Professor, City University of Hong Kong,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Hong Kong SAR, SIGGRAPH Asia 2023 Emerging Technologies Co-Chair: </w:t>
      </w:r>
    </w:p>
    <w:p w:rsidR="00000000" w:rsidDel="00000000" w:rsidP="00000000" w:rsidRDefault="00000000" w:rsidRPr="00000000" w14:paraId="00000012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lineRule="auto"/>
        <w:ind w:left="0" w:firstLine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“Arthur Clarke once said Any sufficiently advanced technology is indistinguishable from magic. The Emerging Technologies is where magic comes true.”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Quote from Kouta Minamizawa, Professor, Keio University, Japan, SIGGRAPH Asia 2023 Emerging Technologies Co-Chair: </w:t>
      </w:r>
    </w:p>
    <w:p w:rsidR="00000000" w:rsidDel="00000000" w:rsidP="00000000" w:rsidRDefault="00000000" w:rsidRPr="00000000" w14:paraId="00000015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lineRule="auto"/>
        <w:ind w:left="0" w:firstLine="0"/>
        <w:jc w:val="both"/>
        <w:rPr>
          <w:i w:val="1"/>
        </w:rPr>
      </w:pPr>
      <w:bookmarkStart w:colFirst="0" w:colLast="0" w:name="_heading=h.gjdgxs" w:id="0"/>
      <w:bookmarkEnd w:id="0"/>
      <w:r w:rsidDel="00000000" w:rsidR="00000000" w:rsidRPr="00000000">
        <w:rPr>
          <w:i w:val="1"/>
          <w:rtl w:val="0"/>
        </w:rPr>
        <w:t xml:space="preserve">“Welcome to the forefront of innovation at SIGGRAPH Asia 2023 Emerging Technologies. </w:t>
        <w:br w:type="textWrapping"/>
        <w:t xml:space="preserve">From 3D displays and haptics to assistive technologies and avatars --- Join us and experience the technologies shaping our future! “</w:t>
      </w:r>
    </w:p>
    <w:p w:rsidR="00000000" w:rsidDel="00000000" w:rsidP="00000000" w:rsidRDefault="00000000" w:rsidRPr="00000000" w14:paraId="00000017">
      <w:pPr>
        <w:spacing w:after="20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SIGGRAPH Asia 2023 Emerging Technologies Highlights</w:t>
      </w:r>
    </w:p>
    <w:tbl>
      <w:tblPr>
        <w:tblStyle w:val="Table1"/>
        <w:tblW w:w="10206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2"/>
        <w:gridCol w:w="7654"/>
        <w:tblGridChange w:id="0">
          <w:tblGrid>
            <w:gridCol w:w="2552"/>
            <w:gridCol w:w="765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</w:rPr>
              <w:drawing>
                <wp:inline distB="0" distT="0" distL="0" distR="0">
                  <wp:extent cx="1537853" cy="1025859"/>
                  <wp:effectExtent b="0" l="0" r="0" t="0"/>
                  <wp:docPr descr="野球のユニフォームを着た男性&#10;&#10;中程度の精度で自動的に生成された説明" id="1256251597" name="image4.jpg"/>
                  <a:graphic>
                    <a:graphicData uri="http://schemas.openxmlformats.org/drawingml/2006/picture">
                      <pic:pic>
                        <pic:nvPicPr>
                          <pic:cNvPr descr="野球のユニフォームを着た男性&#10;&#10;中程度の精度で自動的に生成された説明" id="0" name="image4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7853" cy="102585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68"/>
              </w:tabs>
              <w:spacing w:after="0" w:before="0" w:line="276" w:lineRule="auto"/>
              <w:ind w:left="0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HangerBody: a Haptic Device Using Haptic Illusion for Multiple Parts of Body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tabs>
                <w:tab w:val="left" w:leader="none" w:pos="1701"/>
              </w:tabs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Contributors: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  <w:tab/>
              <w:t xml:space="preserve">Takuto Nakamura (The University of Tokyo)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1701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Hideaki Kuzuoka (The University of Tokyo)</w:t>
            </w:r>
          </w:p>
          <w:p w:rsidR="00000000" w:rsidDel="00000000" w:rsidP="00000000" w:rsidRDefault="00000000" w:rsidRPr="00000000" w14:paraId="00000021">
            <w:pPr>
              <w:tabs>
                <w:tab w:val="left" w:leader="none" w:pos="1843"/>
                <w:tab w:val="left" w:leader="none" w:pos="1985"/>
              </w:tabs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1" w:right="0" w:hanging="1701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Description: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The hanger reflex is a phenomenon in which a strong sense of rotational force is perceived when one wares a wire hanger on his/her head. We propose the HangerBody system, which applies the hanger reflex to multiple parts of body simultaneously to expand the range of applications.</w:t>
            </w:r>
          </w:p>
          <w:p w:rsidR="00000000" w:rsidDel="00000000" w:rsidP="00000000" w:rsidRDefault="00000000" w:rsidRPr="00000000" w14:paraId="0000002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</w:rPr>
              <w:drawing>
                <wp:inline distB="0" distT="0" distL="0" distR="0">
                  <wp:extent cx="1130599" cy="1132102"/>
                  <wp:effectExtent b="0" l="0" r="0" t="0"/>
                  <wp:docPr descr="皿, オレンジ, 座る, 持つ が含まれている画像&#10;&#10;自動的に生成された説明" id="1256251599" name="image2.jpg"/>
                  <a:graphic>
                    <a:graphicData uri="http://schemas.openxmlformats.org/drawingml/2006/picture">
                      <pic:pic>
                        <pic:nvPicPr>
                          <pic:cNvPr descr="皿, オレンジ, 座る, 持つ が含まれている画像&#10;&#10;自動的に生成された説明"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599" cy="113210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68"/>
              </w:tabs>
              <w:spacing w:after="0" w:before="0" w:line="276" w:lineRule="auto"/>
              <w:ind w:left="0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 Zoetop: a Kinestetic Aware Zoetrope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1701"/>
              </w:tabs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Contributors: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  <w:tab/>
              <w:t xml:space="preserve">Alvaro Cassinelli (City University of Hong Kong)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tabs>
                <w:tab w:val="left" w:leader="none" w:pos="1701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Daniel Saakes (University of Twente)</w:t>
            </w:r>
          </w:p>
          <w:p w:rsidR="00000000" w:rsidDel="00000000" w:rsidP="00000000" w:rsidRDefault="00000000" w:rsidRPr="00000000" w14:paraId="00000028">
            <w:pPr>
              <w:tabs>
                <w:tab w:val="left" w:leader="none" w:pos="1843"/>
                <w:tab w:val="left" w:leader="none" w:pos="1985"/>
              </w:tabs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1" w:right="0" w:hanging="1701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Description: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We demonstrate an innovative variation of the Zoetrope relaying on internal sensing of speed and axis of rotation and thus not requiring motors or external stroboscopic lights.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</w:rPr>
              <w:drawing>
                <wp:inline distB="0" distT="0" distL="0" distR="0">
                  <wp:extent cx="1549086" cy="1033697"/>
                  <wp:effectExtent b="0" l="0" r="0" t="0"/>
                  <wp:docPr descr="手に持った薬&#10;&#10;自動的に生成された説明" id="1256251598" name="image3.jpg"/>
                  <a:graphic>
                    <a:graphicData uri="http://schemas.openxmlformats.org/drawingml/2006/picture">
                      <pic:pic>
                        <pic:nvPicPr>
                          <pic:cNvPr descr="手に持った薬&#10;&#10;自動的に生成された説明" id="0" name="image3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086" cy="103369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68"/>
              </w:tabs>
              <w:spacing w:after="0" w:before="0" w:line="276" w:lineRule="auto"/>
              <w:ind w:left="0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AirPolygon: Transparent, Film-based and Flexible 3D Display with Air-control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1701"/>
              </w:tabs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Contributors: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  <w:tab/>
              <w:t xml:space="preserve">Yuki Akachi (Keio University)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1701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Junichi Yamaoka (Keio University)</w:t>
            </w:r>
          </w:p>
          <w:p w:rsidR="00000000" w:rsidDel="00000000" w:rsidP="00000000" w:rsidRDefault="00000000" w:rsidRPr="00000000" w14:paraId="0000002F">
            <w:pPr>
              <w:tabs>
                <w:tab w:val="left" w:leader="none" w:pos="1843"/>
                <w:tab w:val="left" w:leader="none" w:pos="1985"/>
              </w:tabs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1" w:right="0" w:hanging="1701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Description: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AirPolygon is a soft, bendable, and transparent pneumatic control film. AirPolygon distinguishes itself with its ease of fabrication, high transparency for direct LCD attachment, and lightweight, deflatable design for portability.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</w:rPr>
              <w:drawing>
                <wp:inline distB="0" distT="0" distL="0" distR="0">
                  <wp:extent cx="1529979" cy="1019930"/>
                  <wp:effectExtent b="0" l="0" r="0" t="0"/>
                  <wp:docPr descr="上を見上げている人の手&#10;&#10;低い精度で自動的に生成された説明" id="1256251600" name="image5.jpg"/>
                  <a:graphic>
                    <a:graphicData uri="http://schemas.openxmlformats.org/drawingml/2006/picture">
                      <pic:pic>
                        <pic:nvPicPr>
                          <pic:cNvPr descr="上を見上げている人の手&#10;&#10;低い精度で自動的に生成された説明" id="0" name="image5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9979" cy="10199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68"/>
              </w:tabs>
              <w:spacing w:after="0" w:before="0" w:line="276" w:lineRule="auto"/>
              <w:ind w:left="0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Waylet: Self-Contained Haptic Device for Park-Scale Interactions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tabs>
                <w:tab w:val="left" w:leader="none" w:pos="1701"/>
              </w:tabs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Contributors: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  <w:tab/>
              <w:t xml:space="preserve">Tomosuke Maeda (Toyota Central R&amp;D Labs.)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tabs>
                <w:tab w:val="left" w:leader="none" w:pos="1701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Junnosuke Yamamoto (Keio University)</w:t>
            </w:r>
          </w:p>
          <w:p w:rsidR="00000000" w:rsidDel="00000000" w:rsidP="00000000" w:rsidRDefault="00000000" w:rsidRPr="00000000" w14:paraId="00000036">
            <w:pPr>
              <w:tabs>
                <w:tab w:val="left" w:leader="none" w:pos="1701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 xml:space="preserve">Takayoshi Yoshimura (Toyota Central R&amp;D Labs.)</w:t>
            </w:r>
          </w:p>
          <w:p w:rsidR="00000000" w:rsidDel="00000000" w:rsidP="00000000" w:rsidRDefault="00000000" w:rsidRPr="00000000" w14:paraId="00000037">
            <w:pPr>
              <w:tabs>
                <w:tab w:val="left" w:leader="none" w:pos="1701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 xml:space="preserve">Hiroyuki Sakai (Toyota Central R&amp;D Labs.)</w:t>
            </w:r>
          </w:p>
          <w:p w:rsidR="00000000" w:rsidDel="00000000" w:rsidP="00000000" w:rsidRDefault="00000000" w:rsidRPr="00000000" w14:paraId="00000038">
            <w:pPr>
              <w:tabs>
                <w:tab w:val="left" w:leader="none" w:pos="1701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 xml:space="preserve">Kouta Minamizawa (Keio University)</w:t>
            </w:r>
          </w:p>
          <w:p w:rsidR="00000000" w:rsidDel="00000000" w:rsidP="00000000" w:rsidRDefault="00000000" w:rsidRPr="00000000" w14:paraId="00000039">
            <w:pPr>
              <w:tabs>
                <w:tab w:val="left" w:leader="none" w:pos="1843"/>
                <w:tab w:val="left" w:leader="none" w:pos="1985"/>
              </w:tabs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1" w:right="0" w:hanging="1701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Description: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Waylet is a self-contained haptic device that can provide translational and rotational pseudo-forces by asymmetric vibration for park-scale interactions. We demonstrate an intuitive haptic navigation system in a park-scale mixed-reality environment and haptic rendering to show the feasibility of our concept.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For Emerging Technologies Program highlights, please visit: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https://asia.siggraph.org/2023/attend/emerging-technologies/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D">
      <w:pPr>
        <w:spacing w:after="200" w:lineRule="auto"/>
        <w:rPr/>
      </w:pPr>
      <w:r w:rsidDel="00000000" w:rsidR="00000000" w:rsidRPr="00000000">
        <w:rPr>
          <w:rtl w:val="0"/>
        </w:rPr>
        <w:br w:type="textWrapping"/>
        <w:t xml:space="preserve">For the overall SIGGRAPH Asia 2023 program schedule, please visit </w:t>
      </w:r>
      <w:hyperlink r:id="rId12">
        <w:r w:rsidDel="00000000" w:rsidR="00000000" w:rsidRPr="00000000">
          <w:rPr>
            <w:color w:val="0000ff"/>
            <w:u w:val="single"/>
            <w:rtl w:val="0"/>
          </w:rPr>
          <w:t xml:space="preserve">https://asia.siggraph.org/2023/full-program/</w:t>
        </w:r>
      </w:hyperlink>
      <w:r w:rsidDel="00000000" w:rsidR="00000000" w:rsidRPr="00000000">
        <w:rPr>
          <w:rtl w:val="0"/>
        </w:rPr>
        <w:t xml:space="preserve">  </w:t>
      </w:r>
    </w:p>
    <w:sectPr>
      <w:headerReference r:id="rId13" w:type="default"/>
      <w:footerReference r:id="rId14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-962022</wp:posOffset>
          </wp:positionH>
          <wp:positionV relativeFrom="paragraph">
            <wp:posOffset>-457196</wp:posOffset>
          </wp:positionV>
          <wp:extent cx="7753350" cy="1550670"/>
          <wp:effectExtent b="0" l="0" r="0" t="0"/>
          <wp:wrapTopAndBottom distB="0" distT="0"/>
          <wp:docPr descr="Text&#10;&#10;Description automatically generated" id="1256251596" name="image1.png"/>
          <a:graphic>
            <a:graphicData uri="http://schemas.openxmlformats.org/drawingml/2006/picture">
              <pic:pic>
                <pic:nvPicPr>
                  <pic:cNvPr descr="Text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53350" cy="155067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6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character" w:styleId="a5">
    <w:name w:val="annotation reference"/>
    <w:basedOn w:val="a0"/>
    <w:uiPriority w:val="99"/>
    <w:semiHidden w:val="1"/>
    <w:unhideWhenUsed w:val="1"/>
    <w:rsid w:val="00CA1022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 w:val="1"/>
    <w:rsid w:val="00CA1022"/>
    <w:pPr>
      <w:spacing w:line="240" w:lineRule="auto"/>
    </w:pPr>
    <w:rPr>
      <w:sz w:val="20"/>
      <w:szCs w:val="20"/>
    </w:rPr>
  </w:style>
  <w:style w:type="character" w:styleId="a7" w:customStyle="1">
    <w:name w:val="コメント文字列 (文字)"/>
    <w:basedOn w:val="a0"/>
    <w:link w:val="a6"/>
    <w:uiPriority w:val="99"/>
    <w:rsid w:val="00CA102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 w:val="1"/>
    <w:unhideWhenUsed w:val="1"/>
    <w:rsid w:val="00CA1022"/>
    <w:rPr>
      <w:b w:val="1"/>
      <w:bCs w:val="1"/>
    </w:rPr>
  </w:style>
  <w:style w:type="character" w:styleId="a9" w:customStyle="1">
    <w:name w:val="コメント内容 (文字)"/>
    <w:basedOn w:val="a7"/>
    <w:link w:val="a8"/>
    <w:uiPriority w:val="99"/>
    <w:semiHidden w:val="1"/>
    <w:rsid w:val="00CA1022"/>
    <w:rPr>
      <w:b w:val="1"/>
      <w:bCs w:val="1"/>
      <w:sz w:val="20"/>
      <w:szCs w:val="20"/>
    </w:rPr>
  </w:style>
  <w:style w:type="paragraph" w:styleId="aa">
    <w:name w:val="List Paragraph"/>
    <w:basedOn w:val="a"/>
    <w:uiPriority w:val="34"/>
    <w:qFormat w:val="1"/>
    <w:rsid w:val="00DC367B"/>
    <w:pPr>
      <w:ind w:left="720"/>
      <w:contextualSpacing w:val="1"/>
    </w:pPr>
  </w:style>
  <w:style w:type="paragraph" w:styleId="p1" w:customStyle="1">
    <w:name w:val="p1"/>
    <w:basedOn w:val="a"/>
    <w:rsid w:val="00DC367B"/>
    <w:pPr>
      <w:spacing w:line="240" w:lineRule="auto"/>
    </w:pPr>
    <w:rPr>
      <w:rFonts w:ascii=".AppleSystemUIFont" w:cs="Times New Roman" w:hAnsi=".AppleSystemUIFont" w:eastAsiaTheme="minorEastAsia"/>
      <w:sz w:val="28"/>
      <w:szCs w:val="28"/>
      <w:lang w:eastAsia="ko-KR" w:val="en-US"/>
    </w:rPr>
  </w:style>
  <w:style w:type="character" w:styleId="s1" w:customStyle="1">
    <w:name w:val="s1"/>
    <w:basedOn w:val="a0"/>
    <w:rsid w:val="00DC367B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paragraph" w:styleId="ab">
    <w:name w:val="Revision"/>
    <w:hidden w:val="1"/>
    <w:uiPriority w:val="99"/>
    <w:semiHidden w:val="1"/>
    <w:rsid w:val="00B32542"/>
    <w:pPr>
      <w:spacing w:line="240" w:lineRule="auto"/>
    </w:pPr>
  </w:style>
  <w:style w:type="table" w:styleId="ac">
    <w:name w:val="Table Grid"/>
    <w:basedOn w:val="a1"/>
    <w:uiPriority w:val="39"/>
    <w:rsid w:val="00001550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asia.siggraph.org/2023/attend/emerging-technologies/" TargetMode="External"/><Relationship Id="rId10" Type="http://schemas.openxmlformats.org/officeDocument/2006/relationships/image" Target="media/image5.jpg"/><Relationship Id="rId13" Type="http://schemas.openxmlformats.org/officeDocument/2006/relationships/header" Target="header1.xml"/><Relationship Id="rId12" Type="http://schemas.openxmlformats.org/officeDocument/2006/relationships/hyperlink" Target="https://asia.siggraph.org/2023/full-program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jpg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jp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6VvsohyPp0Fb2IBhiyKzxX6LKA==">CgMxLjAyCGguZ2pkZ3hzOAByITE5bzBUTEJqNUxKN2xWU2JtU1o1Y3k1bVVyM1NzN3pjMg==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2023-09-13T09:27:00Z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81dbf3a0f090790c05f7f120f45a4fa92b0c133cea39b35917a81d87a825036d</vt:lpwstr>
  </property>
</Properties>
</file>