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Educator’s Forum Fact Sheet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Co- Chair:</w:t>
        <w:tab/>
        <w:tab/>
      </w:r>
      <w:r w:rsidDel="00000000" w:rsidR="00000000" w:rsidRPr="00000000">
        <w:rPr>
          <w:rtl w:val="0"/>
        </w:rPr>
        <w:t xml:space="preserve">Miho Aoki, Associate Professor, University of Alaska, USA</w:t>
      </w:r>
    </w:p>
    <w:p w:rsidR="00000000" w:rsidDel="00000000" w:rsidP="00000000" w:rsidRDefault="00000000" w:rsidRPr="00000000" w14:paraId="00000004">
      <w:pPr>
        <w:spacing w:line="240" w:lineRule="auto"/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Co-Chair:</w:t>
        <w:tab/>
      </w:r>
      <w:r w:rsidDel="00000000" w:rsidR="00000000" w:rsidRPr="00000000">
        <w:rPr>
          <w:rtl w:val="0"/>
        </w:rPr>
        <w:tab/>
        <w:t xml:space="preserve">Gregory Bennett, Associate Head of School – Research, School of Art </w:t>
      </w:r>
    </w:p>
    <w:p w:rsidR="00000000" w:rsidDel="00000000" w:rsidP="00000000" w:rsidRDefault="00000000" w:rsidRPr="00000000" w14:paraId="00000006">
      <w:pPr>
        <w:ind w:left="1440" w:firstLine="720"/>
        <w:rPr/>
      </w:pPr>
      <w:r w:rsidDel="00000000" w:rsidR="00000000" w:rsidRPr="00000000">
        <w:rPr>
          <w:rtl w:val="0"/>
        </w:rPr>
        <w:t xml:space="preserve">and Design, Auckland University of Technology (AUT), Australia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Program Schedule: </w:t>
        <w:tab/>
      </w:r>
      <w:r w:rsidDel="00000000" w:rsidR="00000000" w:rsidRPr="00000000">
        <w:rPr>
          <w:rtl w:val="0"/>
        </w:rPr>
        <w:t xml:space="preserve">Tuesday, 12 December – Friday, 15 December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Fast Facts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800" w:hanging="400"/>
        <w:jc w:val="both"/>
        <w:rPr/>
      </w:pPr>
      <w:r w:rsidDel="00000000" w:rsidR="00000000" w:rsidRPr="00000000">
        <w:rPr>
          <w:rtl w:val="0"/>
        </w:rPr>
        <w:t xml:space="preserve">The SIGGRAPH Asia Education program opens with a talk by Glenn Goldman, ACM SIGGRAPH Education Committee chair on 12 December Tuesday.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800" w:hanging="400"/>
        <w:jc w:val="both"/>
        <w:rPr/>
      </w:pPr>
      <w:r w:rsidDel="00000000" w:rsidR="00000000" w:rsidRPr="00000000">
        <w:rPr>
          <w:rtl w:val="0"/>
        </w:rPr>
        <w:t xml:space="preserve">The program received 28 submissions from various countries, including Australia, China, Japan, New Zealand, South Korea, as well as North America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800" w:hanging="400"/>
        <w:jc w:val="both"/>
        <w:rPr/>
      </w:pPr>
      <w:r w:rsidDel="00000000" w:rsidR="00000000" w:rsidRPr="00000000">
        <w:rPr>
          <w:rtl w:val="0"/>
        </w:rPr>
        <w:t xml:space="preserve">11 submissions were selected through the program committee’s review process. Of these, 7 full-papers, 4 short talks will be presented at the conference.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40" w:lineRule="auto"/>
        <w:ind w:left="800" w:hanging="400"/>
        <w:jc w:val="both"/>
        <w:rPr/>
      </w:pPr>
      <w:r w:rsidDel="00000000" w:rsidR="00000000" w:rsidRPr="00000000">
        <w:rPr>
          <w:rtl w:val="0"/>
        </w:rPr>
        <w:t xml:space="preserve">Presentations include curricula and courses for Graphics, VFX, XR, and Animation, industry and academia relationships, application of technology in teaching, and new topics, such as generative AI, virtual production, and V-tubers in education.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SIGGRAPH Asia 2023 The Educator’s Forum Highlights</w:t>
      </w:r>
    </w:p>
    <w:p w:rsidR="00000000" w:rsidDel="00000000" w:rsidP="00000000" w:rsidRDefault="00000000" w:rsidRPr="00000000" w14:paraId="00000011">
      <w:pPr>
        <w:tabs>
          <w:tab w:val="left" w:leader="none" w:pos="211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The last day of the program, 15 December Friday, features two curated sessions about industry and academia relations.</w:t>
      </w:r>
    </w:p>
    <w:p w:rsidR="00000000" w:rsidDel="00000000" w:rsidP="00000000" w:rsidRDefault="00000000" w:rsidRPr="00000000" w14:paraId="00000012">
      <w:pPr>
        <w:tabs>
          <w:tab w:val="left" w:leader="none" w:pos="2115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2115"/>
        </w:tabs>
        <w:spacing w:line="240" w:lineRule="auto"/>
        <w:ind w:left="54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Title:</w:t>
        <w:tab/>
      </w:r>
      <w:r w:rsidDel="00000000" w:rsidR="00000000" w:rsidRPr="00000000">
        <w:rPr>
          <w:rtl w:val="0"/>
        </w:rPr>
        <w:t xml:space="preserve">From Fledglings To Wise Owls: Nurturing Talent To New Heights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Contributors</w:t>
      </w:r>
      <w:r w:rsidDel="00000000" w:rsidR="00000000" w:rsidRPr="00000000">
        <w:rPr>
          <w:rtl w:val="0"/>
        </w:rPr>
        <w:t xml:space="preserve">:</w:t>
        <w:tab/>
        <w:t xml:space="preserve">Mark Flanagan, Animal Logic</w:t>
        <w:tab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Description:</w:t>
        <w:tab/>
      </w:r>
      <w:r w:rsidDel="00000000" w:rsidR="00000000" w:rsidRPr="00000000">
        <w:rPr>
          <w:rtl w:val="0"/>
        </w:rPr>
        <w:t xml:space="preserve">Over it's 32 year history Animal Logic has played an important role in </w:t>
        <w:br w:type="textWrapping"/>
        <w:tab/>
        <w:t xml:space="preserve">the growth of the Animation and Visual Effects industry in Sydney, and </w:t>
        <w:tab/>
        <w:t xml:space="preserve">the region as a whole. In this talk we will look at the breadth of </w:t>
        <w:tab/>
        <w:tab/>
        <w:t xml:space="preserve">initiatives, from hosting work experience student programs for high </w:t>
        <w:tab/>
        <w:t xml:space="preserve">schools, through partnering with universities and hosting trainees.</w:t>
      </w:r>
    </w:p>
    <w:p w:rsidR="00000000" w:rsidDel="00000000" w:rsidP="00000000" w:rsidRDefault="00000000" w:rsidRPr="00000000" w14:paraId="00000014">
      <w:pPr>
        <w:tabs>
          <w:tab w:val="left" w:leader="none" w:pos="2115"/>
        </w:tabs>
        <w:ind w:left="5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115"/>
        </w:tabs>
        <w:ind w:left="540" w:firstLine="0"/>
        <w:jc w:val="both"/>
        <w:rPr>
          <w:b w:val="1"/>
        </w:rPr>
      </w:pPr>
      <w:r w:rsidDel="00000000" w:rsidR="00000000" w:rsidRPr="00000000">
        <w:rPr>
          <w:rtl w:val="0"/>
        </w:rPr>
        <w:tab/>
        <w:t xml:space="preserve">We will explore how the companies values have been expressed </w:t>
        <w:tab/>
        <w:tab/>
        <w:t xml:space="preserve">through these.We intend to show that these have not just been good </w:t>
        <w:tab/>
        <w:t xml:space="preserve">for the community, but effective for the company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115"/>
        </w:tabs>
        <w:spacing w:line="240" w:lineRule="auto"/>
        <w:ind w:left="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2115"/>
        </w:tabs>
        <w:spacing w:line="240" w:lineRule="auto"/>
        <w:ind w:left="54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Title:</w:t>
        <w:tab/>
      </w:r>
      <w:r w:rsidDel="00000000" w:rsidR="00000000" w:rsidRPr="00000000">
        <w:rPr>
          <w:rtl w:val="0"/>
        </w:rPr>
        <w:t xml:space="preserve">Educators Forum Panel: “Framing The Future: How Collaboration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115"/>
        </w:tabs>
        <w:spacing w:line="240" w:lineRule="auto"/>
        <w:ind w:left="540" w:firstLine="0"/>
        <w:jc w:val="both"/>
        <w:rPr/>
      </w:pPr>
      <w:r w:rsidDel="00000000" w:rsidR="00000000" w:rsidRPr="00000000">
        <w:rPr>
          <w:rtl w:val="0"/>
        </w:rPr>
        <w:tab/>
        <w:t xml:space="preserve">Between Higher Education And Industry Is Empowering Graduates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Contributors:</w:t>
        <w:tab/>
      </w:r>
      <w:r w:rsidDel="00000000" w:rsidR="00000000" w:rsidRPr="00000000">
        <w:rPr>
          <w:rtl w:val="0"/>
        </w:rPr>
        <w:t xml:space="preserve">Industry and academia panellists from Australia and New Zealand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Australia has faced unique challenges in growing its VFX and </w:t>
      </w:r>
    </w:p>
    <w:p w:rsidR="00000000" w:rsidDel="00000000" w:rsidP="00000000" w:rsidRDefault="00000000" w:rsidRPr="00000000" w14:paraId="00000019">
      <w:pPr>
        <w:tabs>
          <w:tab w:val="left" w:leader="none" w:pos="2115"/>
        </w:tabs>
        <w:jc w:val="both"/>
        <w:rPr/>
      </w:pPr>
      <w:r w:rsidDel="00000000" w:rsidR="00000000" w:rsidRPr="00000000">
        <w:rPr>
          <w:rtl w:val="0"/>
        </w:rPr>
        <w:tab/>
        <w:t xml:space="preserve">Animation industries.</w:t>
        <w:tab/>
        <w:t xml:space="preserve">Not least of these are its geographical isolation </w:t>
      </w:r>
    </w:p>
    <w:p w:rsidR="00000000" w:rsidDel="00000000" w:rsidP="00000000" w:rsidRDefault="00000000" w:rsidRPr="00000000" w14:paraId="0000001A">
      <w:pPr>
        <w:tabs>
          <w:tab w:val="left" w:leader="none" w:pos="2115"/>
        </w:tabs>
        <w:jc w:val="both"/>
        <w:rPr/>
      </w:pPr>
      <w:r w:rsidDel="00000000" w:rsidR="00000000" w:rsidRPr="00000000">
        <w:rPr>
          <w:rtl w:val="0"/>
        </w:rPr>
        <w:tab/>
        <w:t xml:space="preserve">and a small talent pool from which to hire. In this panel, we will discuss </w:t>
      </w:r>
    </w:p>
    <w:p w:rsidR="00000000" w:rsidDel="00000000" w:rsidP="00000000" w:rsidRDefault="00000000" w:rsidRPr="00000000" w14:paraId="0000001B">
      <w:pPr>
        <w:tabs>
          <w:tab w:val="left" w:leader="none" w:pos="2115"/>
        </w:tabs>
        <w:jc w:val="both"/>
        <w:rPr/>
      </w:pPr>
      <w:r w:rsidDel="00000000" w:rsidR="00000000" w:rsidRPr="00000000">
        <w:rPr>
          <w:rtl w:val="0"/>
        </w:rPr>
        <w:tab/>
        <w:t xml:space="preserve">how companies across the continent have built courses in </w:t>
        <w:tab/>
        <w:tab/>
        <w:tab/>
        <w:t xml:space="preserve">collaboration with higher education in order to fill their needs for </w:t>
      </w:r>
    </w:p>
    <w:p w:rsidR="00000000" w:rsidDel="00000000" w:rsidP="00000000" w:rsidRDefault="00000000" w:rsidRPr="00000000" w14:paraId="0000001C">
      <w:pPr>
        <w:tabs>
          <w:tab w:val="left" w:leader="none" w:pos="2115"/>
        </w:tabs>
        <w:jc w:val="both"/>
        <w:rPr/>
      </w:pPr>
      <w:r w:rsidDel="00000000" w:rsidR="00000000" w:rsidRPr="00000000">
        <w:rPr>
          <w:rtl w:val="0"/>
        </w:rPr>
        <w:tab/>
        <w:t xml:space="preserve">production-ready graduates.</w:t>
        <w:tab/>
        <w:t xml:space="preserve">We will look at the different approaches </w:t>
        <w:tab/>
        <w:t xml:space="preserve">and analyze challenges, successes, and where we might still improve.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Full information about this year’s Educator’s Forum program can be found on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https://asia.siggraph.org/2023/attend/educators-forum/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rPr>
          <w:color w:val="1155cc"/>
        </w:rPr>
      </w:pPr>
      <w:r w:rsidDel="00000000" w:rsidR="00000000" w:rsidRPr="00000000">
        <w:rPr>
          <w:rtl w:val="0"/>
        </w:rPr>
        <w:t xml:space="preserve">For the overall SIGGRAPH Asia 2023 program schedule, please visit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https://asia.siggraph.org/2023/full-program/</w:t>
        </w:r>
      </w:hyperlink>
      <w:r w:rsidDel="00000000" w:rsidR="00000000" w:rsidRPr="00000000">
        <w:rPr>
          <w:color w:val="1155cc"/>
          <w:rtl w:val="0"/>
        </w:rPr>
        <w:t xml:space="preserve">  </w:t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-962021</wp:posOffset>
          </wp:positionH>
          <wp:positionV relativeFrom="paragraph">
            <wp:posOffset>-457194</wp:posOffset>
          </wp:positionV>
          <wp:extent cx="7753350" cy="1550670"/>
          <wp:effectExtent b="0" l="0" r="0" t="0"/>
          <wp:wrapTopAndBottom distB="0" distT="0"/>
          <wp:docPr descr="Text&#10;&#10;Description automatically generated" id="4" name="image1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350" cy="1550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4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4547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45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4547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4547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ia.siggraph.org/2023/attend/educators-forum/" TargetMode="External"/><Relationship Id="rId8" Type="http://schemas.openxmlformats.org/officeDocument/2006/relationships/hyperlink" Target="https://asia.siggraph.org/2023/full-progra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DAmP1CinnbFPD0Z2Y7KZOLaPw==">CgMxLjA4AHIhMW9FUER5LUZsbzJjLVlpMTJpUHBwNEF6Y2s3SkZIeDla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e68de09b4a0518fa49cc612e3c62f35cc06f5ebd3c2ea0cd63208b14b4c915cd</vt:lpwstr>
  </property>
</Properties>
</file>