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5B5B" w14:textId="77777777" w:rsidR="009E15BD" w:rsidRDefault="009E15BD">
      <w:pPr>
        <w:pBdr>
          <w:top w:val="none" w:sz="0" w:space="4" w:color="auto"/>
        </w:pBdr>
        <w:spacing w:after="0" w:line="275" w:lineRule="atLeast"/>
        <w:jc w:val="both"/>
      </w:pPr>
      <w:bookmarkStart w:id="0" w:name="I1793c6219c1f11d993e6d35cc61aab4a_Targe"/>
      <w:bookmarkStart w:id="1" w:name="co_document_1"/>
      <w:bookmarkEnd w:id="0"/>
    </w:p>
    <w:bookmarkStart w:id="2" w:name="co_readingModeCitatorFlag_1"/>
    <w:bookmarkStart w:id="3" w:name="co_readingModeKC_1"/>
    <w:bookmarkEnd w:id="1"/>
    <w:p w14:paraId="31BEAE11" w14:textId="77777777" w:rsidR="009E15BD" w:rsidRDefault="00000000">
      <w:pPr>
        <w:spacing w:after="0" w:line="235" w:lineRule="atLeast"/>
        <w:jc w:val="both"/>
      </w:pPr>
      <w:r>
        <w:fldChar w:fldCharType="begin"/>
      </w:r>
      <w:r>
        <w:instrText>HYPERLINK "https://1.next.westlaw.com/Link/RelatedInformation/Flag?documentGuid=I1793c6209c1f11d993e6d35cc61aab4a&amp;transitionType=Document&amp;originationContext=docHeaderFlag&amp;Rank=0&amp;ppcid=487e31ada66442978769440e42963d72&amp;contextData=(sc.Default)" \h</w:instrText>
      </w:r>
      <w:r>
        <w:fldChar w:fldCharType="separate"/>
      </w:r>
      <w:r>
        <w:rPr>
          <w:rFonts w:ascii="Times New Roman" w:hAnsi="Times New Roman"/>
          <w:noProof/>
          <w:color w:val="006FC4"/>
          <w:sz w:val="30"/>
        </w:rPr>
        <w:drawing>
          <wp:inline distT="0" distB="0" distL="0" distR="0" wp14:anchorId="4263C698" wp14:editId="08C68D6A">
            <wp:extent cx="161925" cy="1619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1" descr="KeyCite Yellow Flag"/>
                    <pic:cNvPicPr/>
                  </pic:nvPicPr>
                  <pic:blipFill>
                    <a:blip r:embed="rId7"/>
                    <a:srcRect/>
                    <a:stretch>
                      <a:fillRect/>
                    </a:stretch>
                  </pic:blipFill>
                  <pic:spPr>
                    <a:xfrm>
                      <a:off x="0" y="0"/>
                      <a:ext cx="161925" cy="161925"/>
                    </a:xfrm>
                    <a:prstGeom prst="rect">
                      <a:avLst/>
                    </a:prstGeom>
                  </pic:spPr>
                </pic:pic>
              </a:graphicData>
            </a:graphic>
          </wp:inline>
        </w:drawing>
      </w:r>
      <w:r>
        <w:fldChar w:fldCharType="end"/>
      </w:r>
      <w:r>
        <w:rPr>
          <w:rFonts w:ascii="Times New Roman" w:hAnsi="Times New Roman"/>
          <w:color w:val="1F1F1F"/>
          <w:sz w:val="16"/>
        </w:rPr>
        <w:t>KeyCite Yellow Flag</w:t>
      </w:r>
    </w:p>
    <w:p w14:paraId="7B288D53" w14:textId="77777777" w:rsidR="009E15BD" w:rsidRDefault="00000000">
      <w:pPr>
        <w:spacing w:after="0" w:line="235" w:lineRule="atLeast"/>
        <w:ind w:hanging="300"/>
        <w:jc w:val="both"/>
      </w:pPr>
      <w:bookmarkStart w:id="4" w:name="co_readingModeNegativeTreatment_1"/>
      <w:bookmarkEnd w:id="2"/>
      <w:bookmarkEnd w:id="3"/>
      <w:r>
        <w:rPr>
          <w:rFonts w:ascii="Times New Roman" w:hAnsi="Times New Roman"/>
          <w:color w:val="1F1F1F"/>
          <w:sz w:val="16"/>
        </w:rPr>
        <w:t> </w:t>
      </w:r>
      <w:r>
        <w:rPr>
          <w:rFonts w:ascii="Times New Roman" w:hAnsi="Times New Roman"/>
          <w:color w:val="1F1F1F"/>
          <w:sz w:val="16"/>
        </w:rPr>
        <w:tab/>
        <w:t xml:space="preserve">Supplemented by </w:t>
      </w:r>
      <w:hyperlink r:id="rId8">
        <w:r>
          <w:rPr>
            <w:rFonts w:ascii="Times New Roman" w:hAnsi="Times New Roman"/>
            <w:color w:val="006FC4"/>
            <w:sz w:val="16"/>
          </w:rPr>
          <w:t xml:space="preserve">Brown v. Board of Educ. of Topeka, Kan., </w:t>
        </w:r>
      </w:hyperlink>
      <w:r>
        <w:rPr>
          <w:rFonts w:ascii="Times New Roman" w:hAnsi="Times New Roman"/>
          <w:color w:val="1F1F1F"/>
          <w:sz w:val="16"/>
        </w:rPr>
        <w:t>U.S.Kan., May 31, 1955</w:t>
      </w:r>
    </w:p>
    <w:bookmarkEnd w:id="4"/>
    <w:p w14:paraId="5DC2B079" w14:textId="77777777" w:rsidR="009E15BD" w:rsidRDefault="00000000">
      <w:pPr>
        <w:spacing w:before="180" w:after="0" w:line="275" w:lineRule="atLeast"/>
        <w:jc w:val="center"/>
      </w:pPr>
      <w:r>
        <w:rPr>
          <w:rFonts w:ascii="Georgia" w:hAnsi="Georgia"/>
          <w:color w:val="1F1F1F"/>
          <w:sz w:val="20"/>
        </w:rPr>
        <w:t>74 S.Ct. 686</w:t>
      </w:r>
    </w:p>
    <w:p w14:paraId="10F8ED73" w14:textId="77777777" w:rsidR="009E15BD" w:rsidRDefault="00000000">
      <w:pPr>
        <w:spacing w:after="0" w:line="275" w:lineRule="atLeast"/>
        <w:jc w:val="center"/>
      </w:pPr>
      <w:r>
        <w:rPr>
          <w:rFonts w:ascii="Georgia" w:hAnsi="Georgia"/>
          <w:color w:val="1F1F1F"/>
          <w:sz w:val="20"/>
        </w:rPr>
        <w:t>Supreme Court of the United States</w:t>
      </w:r>
    </w:p>
    <w:p w14:paraId="38B9FFF0" w14:textId="77777777" w:rsidR="009E15BD" w:rsidRDefault="00000000">
      <w:pPr>
        <w:spacing w:before="200" w:after="0" w:line="312" w:lineRule="auto"/>
        <w:ind w:left="100" w:right="100"/>
        <w:jc w:val="center"/>
      </w:pPr>
      <w:r>
        <w:rPr>
          <w:rFonts w:ascii="Georgia" w:hAnsi="Georgia"/>
          <w:color w:val="212121"/>
          <w:sz w:val="20"/>
        </w:rPr>
        <w:t>BROWN et al.</w:t>
      </w:r>
    </w:p>
    <w:p w14:paraId="529C65A4" w14:textId="77777777" w:rsidR="009E15BD" w:rsidRDefault="00000000">
      <w:pPr>
        <w:spacing w:after="0" w:line="312" w:lineRule="auto"/>
        <w:ind w:left="100" w:right="100"/>
        <w:jc w:val="center"/>
      </w:pPr>
      <w:r>
        <w:rPr>
          <w:rFonts w:ascii="Georgia" w:hAnsi="Georgia"/>
          <w:color w:val="212121"/>
          <w:sz w:val="20"/>
        </w:rPr>
        <w:t>v.</w:t>
      </w:r>
    </w:p>
    <w:p w14:paraId="54F41B0B" w14:textId="77777777" w:rsidR="009E15BD" w:rsidRDefault="00000000">
      <w:pPr>
        <w:spacing w:after="0" w:line="312" w:lineRule="auto"/>
        <w:ind w:left="100" w:right="100"/>
        <w:jc w:val="center"/>
      </w:pPr>
      <w:r>
        <w:rPr>
          <w:rFonts w:ascii="Georgia" w:hAnsi="Georgia"/>
          <w:color w:val="212121"/>
          <w:sz w:val="20"/>
        </w:rPr>
        <w:t>BOARD OF EDUCATION OF TOPEKA, SHAWNEE COUNTY, KAN., et al.</w:t>
      </w:r>
    </w:p>
    <w:p w14:paraId="33BE665D" w14:textId="77777777" w:rsidR="009E15BD" w:rsidRDefault="00000000">
      <w:pPr>
        <w:spacing w:after="0" w:line="312" w:lineRule="auto"/>
        <w:ind w:left="100" w:right="100"/>
        <w:jc w:val="center"/>
      </w:pPr>
      <w:r>
        <w:rPr>
          <w:rFonts w:ascii="Georgia" w:hAnsi="Georgia"/>
          <w:color w:val="212121"/>
          <w:sz w:val="20"/>
        </w:rPr>
        <w:t>BRIGGS et al.</w:t>
      </w:r>
    </w:p>
    <w:p w14:paraId="2A69D0CF" w14:textId="77777777" w:rsidR="009E15BD" w:rsidRDefault="00000000">
      <w:pPr>
        <w:spacing w:after="0" w:line="312" w:lineRule="auto"/>
        <w:ind w:left="100" w:right="100"/>
        <w:jc w:val="center"/>
      </w:pPr>
      <w:r>
        <w:rPr>
          <w:rFonts w:ascii="Georgia" w:hAnsi="Georgia"/>
          <w:color w:val="212121"/>
          <w:sz w:val="20"/>
        </w:rPr>
        <w:t>v.</w:t>
      </w:r>
    </w:p>
    <w:p w14:paraId="387C5291" w14:textId="77777777" w:rsidR="009E15BD" w:rsidRDefault="00000000">
      <w:pPr>
        <w:spacing w:after="0" w:line="312" w:lineRule="auto"/>
        <w:ind w:left="100" w:right="100"/>
        <w:jc w:val="center"/>
      </w:pPr>
      <w:r>
        <w:rPr>
          <w:rFonts w:ascii="Georgia" w:hAnsi="Georgia"/>
          <w:color w:val="212121"/>
          <w:sz w:val="20"/>
        </w:rPr>
        <w:t>ELLIOTT et al.</w:t>
      </w:r>
    </w:p>
    <w:p w14:paraId="14785574" w14:textId="77777777" w:rsidR="009E15BD" w:rsidRDefault="00000000">
      <w:pPr>
        <w:spacing w:after="0" w:line="312" w:lineRule="auto"/>
        <w:ind w:left="100" w:right="100"/>
        <w:jc w:val="center"/>
      </w:pPr>
      <w:r>
        <w:rPr>
          <w:rFonts w:ascii="Georgia" w:hAnsi="Georgia"/>
          <w:color w:val="212121"/>
          <w:sz w:val="20"/>
        </w:rPr>
        <w:t>DAVIS et al.</w:t>
      </w:r>
    </w:p>
    <w:p w14:paraId="6772EF45" w14:textId="77777777" w:rsidR="009E15BD" w:rsidRDefault="00000000">
      <w:pPr>
        <w:spacing w:after="0" w:line="312" w:lineRule="auto"/>
        <w:ind w:left="100" w:right="100"/>
        <w:jc w:val="center"/>
      </w:pPr>
      <w:r>
        <w:rPr>
          <w:rFonts w:ascii="Georgia" w:hAnsi="Georgia"/>
          <w:color w:val="212121"/>
          <w:sz w:val="20"/>
        </w:rPr>
        <w:t>v.</w:t>
      </w:r>
    </w:p>
    <w:p w14:paraId="3F5229BF" w14:textId="77777777" w:rsidR="009E15BD" w:rsidRDefault="00000000">
      <w:pPr>
        <w:spacing w:after="0" w:line="312" w:lineRule="auto"/>
        <w:ind w:left="100" w:right="100"/>
        <w:jc w:val="center"/>
      </w:pPr>
      <w:r>
        <w:rPr>
          <w:rFonts w:ascii="Georgia" w:hAnsi="Georgia"/>
          <w:color w:val="212121"/>
          <w:sz w:val="20"/>
        </w:rPr>
        <w:t>COUNTY SCHOOL BOARD OF PRINCE EDWARD COUNTY, VA., et al.</w:t>
      </w:r>
    </w:p>
    <w:p w14:paraId="4E184BA5" w14:textId="77777777" w:rsidR="009E15BD" w:rsidRDefault="00000000">
      <w:pPr>
        <w:spacing w:after="0" w:line="312" w:lineRule="auto"/>
        <w:ind w:left="100" w:right="100"/>
        <w:jc w:val="center"/>
      </w:pPr>
      <w:r>
        <w:rPr>
          <w:rFonts w:ascii="Georgia" w:hAnsi="Georgia"/>
          <w:color w:val="212121"/>
          <w:sz w:val="20"/>
        </w:rPr>
        <w:t>GEBHART et al.</w:t>
      </w:r>
    </w:p>
    <w:p w14:paraId="151AC8D1" w14:textId="77777777" w:rsidR="009E15BD" w:rsidRDefault="00000000">
      <w:pPr>
        <w:spacing w:after="0" w:line="312" w:lineRule="auto"/>
        <w:ind w:left="100" w:right="100"/>
        <w:jc w:val="center"/>
      </w:pPr>
      <w:r>
        <w:rPr>
          <w:rFonts w:ascii="Georgia" w:hAnsi="Georgia"/>
          <w:color w:val="212121"/>
          <w:sz w:val="20"/>
        </w:rPr>
        <w:t>v.</w:t>
      </w:r>
    </w:p>
    <w:p w14:paraId="3F96C587" w14:textId="77777777" w:rsidR="009E15BD" w:rsidRDefault="00000000">
      <w:pPr>
        <w:spacing w:after="0" w:line="312" w:lineRule="auto"/>
        <w:ind w:left="100" w:right="100"/>
        <w:jc w:val="center"/>
      </w:pPr>
      <w:hyperlink r:id="rId9">
        <w:r>
          <w:rPr>
            <w:rFonts w:ascii="Georgia" w:hAnsi="Georgia"/>
            <w:color w:val="006FC4"/>
            <w:sz w:val="20"/>
          </w:rPr>
          <w:t>BELTON</w:t>
        </w:r>
      </w:hyperlink>
      <w:r>
        <w:rPr>
          <w:rFonts w:ascii="Georgia" w:hAnsi="Georgia"/>
          <w:color w:val="212121"/>
          <w:sz w:val="20"/>
        </w:rPr>
        <w:t xml:space="preserve"> et al.</w:t>
      </w:r>
    </w:p>
    <w:p w14:paraId="1624B073" w14:textId="77777777" w:rsidR="009E15BD" w:rsidRDefault="00000000">
      <w:pPr>
        <w:pBdr>
          <w:left w:val="none" w:sz="0" w:space="8" w:color="auto"/>
        </w:pBdr>
        <w:spacing w:before="200" w:after="0" w:line="275" w:lineRule="atLeast"/>
        <w:ind w:left="150"/>
        <w:jc w:val="center"/>
      </w:pPr>
      <w:r>
        <w:rPr>
          <w:rFonts w:ascii="Georgia" w:hAnsi="Georgia"/>
          <w:color w:val="1F1F1F"/>
          <w:sz w:val="20"/>
        </w:rPr>
        <w:t>Nos. 1, 2, 4, 10.</w:t>
      </w:r>
    </w:p>
    <w:p w14:paraId="1891EE8B" w14:textId="77777777" w:rsidR="009E15BD" w:rsidRDefault="00000000">
      <w:pPr>
        <w:pBdr>
          <w:left w:val="none" w:sz="0" w:space="8" w:color="auto"/>
        </w:pBdr>
        <w:spacing w:after="0" w:line="275" w:lineRule="atLeast"/>
        <w:ind w:left="150"/>
        <w:jc w:val="center"/>
      </w:pPr>
      <w:r>
        <w:rPr>
          <w:rFonts w:ascii="Georgia" w:hAnsi="Georgia"/>
          <w:color w:val="1F1F1F"/>
          <w:sz w:val="20"/>
        </w:rPr>
        <w:t>|</w:t>
      </w:r>
    </w:p>
    <w:p w14:paraId="3178F7E7" w14:textId="77777777" w:rsidR="009E15BD" w:rsidRDefault="00000000">
      <w:pPr>
        <w:pBdr>
          <w:left w:val="none" w:sz="0" w:space="8" w:color="auto"/>
        </w:pBdr>
        <w:spacing w:after="0" w:line="275" w:lineRule="atLeast"/>
        <w:ind w:left="150"/>
        <w:jc w:val="center"/>
      </w:pPr>
      <w:r>
        <w:rPr>
          <w:rFonts w:ascii="Georgia" w:hAnsi="Georgia"/>
          <w:color w:val="1F1F1F"/>
          <w:sz w:val="20"/>
        </w:rPr>
        <w:t>Reargued Dec. 7, 8, 9, 1953.</w:t>
      </w:r>
    </w:p>
    <w:p w14:paraId="08CB359C" w14:textId="77777777" w:rsidR="009E15BD" w:rsidRDefault="00000000">
      <w:pPr>
        <w:pBdr>
          <w:left w:val="none" w:sz="0" w:space="8" w:color="auto"/>
        </w:pBdr>
        <w:spacing w:after="0" w:line="275" w:lineRule="atLeast"/>
        <w:ind w:left="150"/>
        <w:jc w:val="center"/>
      </w:pPr>
      <w:r>
        <w:rPr>
          <w:rFonts w:ascii="Georgia" w:hAnsi="Georgia"/>
          <w:color w:val="1F1F1F"/>
          <w:sz w:val="20"/>
        </w:rPr>
        <w:t>|</w:t>
      </w:r>
    </w:p>
    <w:p w14:paraId="76D4493B" w14:textId="77777777" w:rsidR="009E15BD" w:rsidRDefault="00000000">
      <w:pPr>
        <w:pBdr>
          <w:left w:val="none" w:sz="0" w:space="8" w:color="auto"/>
        </w:pBdr>
        <w:spacing w:after="0" w:line="275" w:lineRule="atLeast"/>
        <w:ind w:left="150"/>
        <w:jc w:val="center"/>
      </w:pPr>
      <w:r>
        <w:rPr>
          <w:rFonts w:ascii="Georgia" w:hAnsi="Georgia"/>
          <w:color w:val="1F1F1F"/>
          <w:sz w:val="20"/>
        </w:rPr>
        <w:t>Decided May 17, 1954.</w:t>
      </w:r>
    </w:p>
    <w:p w14:paraId="74C7A4F8" w14:textId="77777777" w:rsidR="009E15BD" w:rsidRDefault="00000000">
      <w:pPr>
        <w:spacing w:after="0" w:line="275" w:lineRule="atLeast"/>
        <w:jc w:val="both"/>
      </w:pPr>
      <w:r>
        <w:rPr>
          <w:rFonts w:ascii="Times New Roman" w:hAnsi="Times New Roman"/>
          <w:color w:val="1F1F1F"/>
          <w:sz w:val="20"/>
        </w:rPr>
        <w:t> </w:t>
      </w:r>
    </w:p>
    <w:p w14:paraId="40A3FCF1" w14:textId="77777777" w:rsidR="009E15BD" w:rsidRDefault="00000000">
      <w:pPr>
        <w:keepNext/>
        <w:keepLines/>
        <w:spacing w:before="200" w:after="0" w:line="275" w:lineRule="atLeast"/>
        <w:jc w:val="both"/>
      </w:pPr>
      <w:bookmarkStart w:id="5" w:name="co_opinion_1"/>
      <w:r>
        <w:rPr>
          <w:rFonts w:ascii="Times New Roman" w:hAnsi="Times New Roman"/>
          <w:b/>
          <w:color w:val="212121"/>
          <w:sz w:val="20"/>
        </w:rPr>
        <w:t>Opinion</w:t>
      </w:r>
    </w:p>
    <w:p w14:paraId="6E2B7FA4" w14:textId="0CCEA273" w:rsidR="009E15BD" w:rsidRDefault="00000000">
      <w:pPr>
        <w:spacing w:before="200" w:after="0" w:line="275" w:lineRule="atLeast"/>
        <w:jc w:val="both"/>
      </w:pPr>
      <w:bookmarkStart w:id="6" w:name="co_pp_sp_780_486_1"/>
      <w:bookmarkStart w:id="7" w:name="co_anchor_Ie12b8e15130111e498db8b09b4f0"/>
      <w:bookmarkEnd w:id="5"/>
      <w:r>
        <w:rPr>
          <w:rFonts w:ascii="Times New Roman" w:hAnsi="Times New Roman"/>
          <w:b/>
          <w:color w:val="000000"/>
          <w:sz w:val="20"/>
        </w:rPr>
        <w:t>*486</w:t>
      </w:r>
      <w:bookmarkEnd w:id="6"/>
      <w:r>
        <w:rPr>
          <w:rFonts w:ascii="Times New Roman" w:hAnsi="Times New Roman"/>
          <w:color w:val="1F1F1F"/>
          <w:sz w:val="20"/>
        </w:rPr>
        <w:t xml:space="preserve"> Mr. Chief Justice WARREN delivered the opinion of the </w:t>
      </w:r>
      <w:commentRangeStart w:id="8"/>
      <w:r>
        <w:rPr>
          <w:rFonts w:ascii="Times New Roman" w:hAnsi="Times New Roman"/>
          <w:color w:val="1F1F1F"/>
          <w:sz w:val="20"/>
        </w:rPr>
        <w:t>Court</w:t>
      </w:r>
      <w:commentRangeEnd w:id="8"/>
      <w:r w:rsidR="0081191B">
        <w:rPr>
          <w:rStyle w:val="CommentReference"/>
          <w:rFonts w:ascii="Times New Roman" w:hAnsi="Times New Roman"/>
          <w:color w:val="1F1F1F"/>
          <w:sz w:val="20"/>
          <w:szCs w:val="24"/>
        </w:rPr>
        <w:commentReference w:id="8"/>
      </w:r>
      <w:r>
        <w:rPr>
          <w:rFonts w:ascii="Times New Roman" w:hAnsi="Times New Roman"/>
          <w:color w:val="1F1F1F"/>
          <w:sz w:val="20"/>
        </w:rPr>
        <w:t>.</w:t>
      </w:r>
    </w:p>
    <w:p w14:paraId="15CCAB78" w14:textId="77777777" w:rsidR="009E15BD" w:rsidRDefault="00000000">
      <w:pPr>
        <w:spacing w:before="400" w:after="0" w:line="275" w:lineRule="atLeast"/>
        <w:jc w:val="both"/>
      </w:pPr>
      <w:bookmarkStart w:id="9" w:name="co_anchor_Ie12b8e17130111e498db8b09b4f0"/>
      <w:bookmarkEnd w:id="7"/>
      <w:r w:rsidRPr="0052317A">
        <w:rPr>
          <w:rFonts w:ascii="Times New Roman" w:hAnsi="Times New Roman"/>
          <w:color w:val="1F1F1F"/>
          <w:sz w:val="20"/>
          <w:highlight w:val="cyan"/>
        </w:rPr>
        <w:t>These cases come to us from the States of Kansas, South Carolina, Virginia, and Delaware. They are premised on different facts and different local conditions, but a common legal question justifies their consideration together in this consolidated opinion.</w:t>
      </w:r>
      <w:bookmarkStart w:id="10" w:name="co_fnRef_B00111954121869_ID0E1PAE_1"/>
      <w:r w:rsidRPr="0052317A">
        <w:rPr>
          <w:highlight w:val="cyan"/>
        </w:rPr>
        <w:fldChar w:fldCharType="begin"/>
      </w:r>
      <w:r w:rsidRPr="0052317A">
        <w:rPr>
          <w:highlight w:val="cyan"/>
        </w:rPr>
        <w:instrText>HYPERLINK \l "co_footnote_B00111954121869_1" \h</w:instrText>
      </w:r>
      <w:r w:rsidRPr="0052317A">
        <w:rPr>
          <w:highlight w:val="cyan"/>
        </w:rPr>
      </w:r>
      <w:r w:rsidRPr="0052317A">
        <w:rPr>
          <w:highlight w:val="cyan"/>
        </w:rPr>
        <w:fldChar w:fldCharType="separate"/>
      </w:r>
      <w:r w:rsidRPr="0052317A">
        <w:rPr>
          <w:rFonts w:ascii="Times New Roman" w:hAnsi="Times New Roman"/>
          <w:color w:val="006FC4"/>
          <w:sz w:val="16"/>
          <w:highlight w:val="cyan"/>
          <w:vertAlign w:val="superscript"/>
        </w:rPr>
        <w:t>1</w:t>
      </w:r>
      <w:r w:rsidRPr="0052317A">
        <w:rPr>
          <w:highlight w:val="cyan"/>
        </w:rPr>
        <w:fldChar w:fldCharType="end"/>
      </w:r>
      <w:bookmarkEnd w:id="10"/>
    </w:p>
    <w:p w14:paraId="67DADBDB" w14:textId="77777777" w:rsidR="009E15BD" w:rsidRDefault="00000000">
      <w:pPr>
        <w:spacing w:before="200" w:after="0" w:line="275" w:lineRule="atLeast"/>
        <w:jc w:val="both"/>
      </w:pPr>
      <w:bookmarkStart w:id="11" w:name="co_pp_sp_780_487_1"/>
      <w:bookmarkEnd w:id="9"/>
      <w:r>
        <w:rPr>
          <w:rFonts w:ascii="Times New Roman" w:hAnsi="Times New Roman"/>
          <w:b/>
          <w:color w:val="000000"/>
          <w:sz w:val="20"/>
        </w:rPr>
        <w:t>*487</w:t>
      </w:r>
      <w:bookmarkEnd w:id="11"/>
      <w:r>
        <w:rPr>
          <w:rFonts w:ascii="Times New Roman" w:hAnsi="Times New Roman"/>
          <w:color w:val="1F1F1F"/>
          <w:sz w:val="20"/>
        </w:rPr>
        <w:t xml:space="preserve"> </w:t>
      </w:r>
      <w:bookmarkStart w:id="12" w:name="co_pp_sp_708_688_1"/>
      <w:r>
        <w:rPr>
          <w:rFonts w:ascii="Times New Roman" w:hAnsi="Times New Roman"/>
          <w:b/>
          <w:color w:val="000000"/>
          <w:sz w:val="20"/>
        </w:rPr>
        <w:t>**688</w:t>
      </w:r>
      <w:bookmarkEnd w:id="12"/>
      <w:r>
        <w:rPr>
          <w:rFonts w:ascii="Times New Roman" w:hAnsi="Times New Roman"/>
          <w:color w:val="1F1F1F"/>
          <w:sz w:val="20"/>
        </w:rPr>
        <w:t xml:space="preserve"> In each of the cases, minors of the Negro race, through their legal representatives, seek the aid of the courts in obtaining admission to the public schools of their community on a nonsegregated basis. In each instance, </w:t>
      </w:r>
      <w:bookmarkStart w:id="13" w:name="co_pp_sp_780_488_1"/>
      <w:r>
        <w:rPr>
          <w:rFonts w:ascii="Times New Roman" w:hAnsi="Times New Roman"/>
          <w:b/>
          <w:color w:val="000000"/>
          <w:sz w:val="20"/>
        </w:rPr>
        <w:t>*488</w:t>
      </w:r>
      <w:bookmarkEnd w:id="13"/>
      <w:r>
        <w:rPr>
          <w:rFonts w:ascii="Times New Roman" w:hAnsi="Times New Roman"/>
          <w:color w:val="1F1F1F"/>
          <w:sz w:val="20"/>
        </w:rPr>
        <w:t xml:space="preserve"> they have been denied admission to schools attended by white children under laws requiring or permitting segregation according to race. </w:t>
      </w:r>
      <w:r w:rsidRPr="0052317A">
        <w:rPr>
          <w:rFonts w:ascii="Times New Roman" w:hAnsi="Times New Roman"/>
          <w:color w:val="1F1F1F"/>
          <w:sz w:val="20"/>
          <w:highlight w:val="yellow"/>
        </w:rPr>
        <w:t xml:space="preserve">This segregation was alleged to deprive the plaintiffs of the equal protection of the laws under the </w:t>
      </w:r>
      <w:r w:rsidRPr="0052317A">
        <w:rPr>
          <w:rFonts w:ascii="Times New Roman" w:hAnsi="Times New Roman"/>
          <w:color w:val="1F1F1F"/>
          <w:sz w:val="20"/>
          <w:highlight w:val="yellow"/>
        </w:rPr>
        <w:t xml:space="preserve">Fourteenth Amendment. In each of the cases other than the Delaware case, a three-judge federal district court denied relief to the plaintiffs on the so-called ‘separate but equal’ doctrine announced by this Court in </w:t>
      </w:r>
      <w:hyperlink r:id="rId14">
        <w:r w:rsidRPr="0052317A">
          <w:rPr>
            <w:rFonts w:ascii="Times New Roman" w:hAnsi="Times New Roman"/>
            <w:color w:val="006FC4"/>
            <w:sz w:val="20"/>
            <w:highlight w:val="yellow"/>
          </w:rPr>
          <w:t>Plessy v. Ferguson, 163 U.S. 537, 16 S.Ct. 1138, 41 L.Ed. 256.</w:t>
        </w:r>
      </w:hyperlink>
      <w:r>
        <w:rPr>
          <w:rFonts w:ascii="Times New Roman" w:hAnsi="Times New Roman"/>
          <w:color w:val="1F1F1F"/>
          <w:sz w:val="20"/>
        </w:rPr>
        <w:t xml:space="preserve"> </w:t>
      </w:r>
      <w:r w:rsidRPr="0052317A">
        <w:rPr>
          <w:rFonts w:ascii="Times New Roman" w:hAnsi="Times New Roman"/>
          <w:color w:val="1F1F1F"/>
          <w:sz w:val="20"/>
          <w:highlight w:val="yellow"/>
        </w:rPr>
        <w:t>Under that doctrine, equality of treatment is accorded when the races are provided substantially equal facilities, even though these facilities be separate.</w:t>
      </w:r>
      <w:r>
        <w:rPr>
          <w:rFonts w:ascii="Times New Roman" w:hAnsi="Times New Roman"/>
          <w:color w:val="1F1F1F"/>
          <w:sz w:val="20"/>
        </w:rPr>
        <w:t xml:space="preserve"> In the Delaware case, the Supreme Court of Delaware adhered to that doctrine, but ordered that the plaintiffs be admitted to the white schools because of their superiority to the Negro schools.</w:t>
      </w:r>
    </w:p>
    <w:p w14:paraId="5231426A" w14:textId="77777777" w:rsidR="009E15BD" w:rsidRDefault="00000000">
      <w:pPr>
        <w:spacing w:before="200" w:after="0" w:line="275" w:lineRule="atLeast"/>
        <w:jc w:val="both"/>
      </w:pPr>
      <w:r>
        <w:rPr>
          <w:rFonts w:ascii="Times New Roman" w:hAnsi="Times New Roman"/>
          <w:color w:val="1F1F1F"/>
          <w:sz w:val="20"/>
        </w:rPr>
        <w:t xml:space="preserve">The plaintiffs contend that segregated public schools are not ‘equal’ and cannot be made ‘equal,’ and that hence they are deprived of the equal protection of the laws. </w:t>
      </w:r>
      <w:r w:rsidRPr="0052317A">
        <w:rPr>
          <w:rFonts w:ascii="Times New Roman" w:hAnsi="Times New Roman"/>
          <w:color w:val="1F1F1F"/>
          <w:sz w:val="20"/>
          <w:highlight w:val="cyan"/>
        </w:rPr>
        <w:t>Because of the obvious importance of the question presented, the Court took jurisdiction.</w:t>
      </w:r>
      <w:bookmarkStart w:id="14" w:name="co_fnRef_B00221954121869_ID0E65AE_1"/>
      <w:r w:rsidRPr="0052317A">
        <w:rPr>
          <w:highlight w:val="cyan"/>
        </w:rPr>
        <w:fldChar w:fldCharType="begin"/>
      </w:r>
      <w:r w:rsidRPr="0052317A">
        <w:rPr>
          <w:highlight w:val="cyan"/>
        </w:rPr>
        <w:instrText>HYPERLINK \l "co_footnote_B00221954121869_1" \h</w:instrText>
      </w:r>
      <w:r w:rsidRPr="0052317A">
        <w:rPr>
          <w:highlight w:val="cyan"/>
        </w:rPr>
      </w:r>
      <w:r w:rsidRPr="0052317A">
        <w:rPr>
          <w:highlight w:val="cyan"/>
        </w:rPr>
        <w:fldChar w:fldCharType="separate"/>
      </w:r>
      <w:r w:rsidRPr="0052317A">
        <w:rPr>
          <w:rFonts w:ascii="Times New Roman" w:hAnsi="Times New Roman"/>
          <w:color w:val="006FC4"/>
          <w:sz w:val="16"/>
          <w:highlight w:val="cyan"/>
          <w:vertAlign w:val="superscript"/>
        </w:rPr>
        <w:t>2</w:t>
      </w:r>
      <w:r w:rsidRPr="0052317A">
        <w:rPr>
          <w:highlight w:val="cyan"/>
        </w:rPr>
        <w:fldChar w:fldCharType="end"/>
      </w:r>
      <w:bookmarkEnd w:id="14"/>
      <w:r>
        <w:rPr>
          <w:rFonts w:ascii="Times New Roman" w:hAnsi="Times New Roman"/>
          <w:color w:val="1F1F1F"/>
          <w:sz w:val="20"/>
        </w:rPr>
        <w:t xml:space="preserve"> Argument was heard in the 1952 Term, and reargument was heard this Term on certain questions propounded by the Court.</w:t>
      </w:r>
      <w:bookmarkStart w:id="15" w:name="co_fnRef_B00331954121869_ID0EJ6AE_1"/>
      <w:r>
        <w:fldChar w:fldCharType="begin"/>
      </w:r>
      <w:r>
        <w:instrText>HYPERLINK \l "co_footnote_B00331954121869_1" \h</w:instrText>
      </w:r>
      <w:r>
        <w:fldChar w:fldCharType="separate"/>
      </w:r>
      <w:r>
        <w:rPr>
          <w:rFonts w:ascii="Times New Roman" w:hAnsi="Times New Roman"/>
          <w:color w:val="006FC4"/>
          <w:sz w:val="16"/>
          <w:vertAlign w:val="superscript"/>
        </w:rPr>
        <w:t>3</w:t>
      </w:r>
      <w:r>
        <w:fldChar w:fldCharType="end"/>
      </w:r>
      <w:bookmarkEnd w:id="15"/>
    </w:p>
    <w:p w14:paraId="46CDBEE3" w14:textId="77777777" w:rsidR="009E15BD" w:rsidRDefault="00000000">
      <w:pPr>
        <w:spacing w:before="200" w:after="0" w:line="275" w:lineRule="atLeast"/>
        <w:jc w:val="both"/>
      </w:pPr>
      <w:bookmarkStart w:id="16" w:name="co_pp_sp_780_489_1"/>
      <w:r>
        <w:rPr>
          <w:rFonts w:ascii="Times New Roman" w:hAnsi="Times New Roman"/>
          <w:b/>
          <w:color w:val="000000"/>
          <w:sz w:val="20"/>
        </w:rPr>
        <w:t>*489</w:t>
      </w:r>
      <w:bookmarkEnd w:id="16"/>
      <w:r>
        <w:rPr>
          <w:rFonts w:ascii="Times New Roman" w:hAnsi="Times New Roman"/>
          <w:color w:val="1F1F1F"/>
          <w:sz w:val="20"/>
        </w:rPr>
        <w:t xml:space="preserve"> Reargument was largely devoted to the circumstances surrounding the adoption of the Fourteenth Amendment in 1868. </w:t>
      </w:r>
      <w:r w:rsidRPr="0052317A">
        <w:rPr>
          <w:rFonts w:ascii="Times New Roman" w:hAnsi="Times New Roman"/>
          <w:color w:val="1F1F1F"/>
          <w:sz w:val="20"/>
          <w:highlight w:val="yellow"/>
        </w:rPr>
        <w:t xml:space="preserve">It covered exhaustively consideration of the Amendment in Congress, ratification by the states, then existing practices in racial segregation, and the views of proponents and opponents of the Amendment. This discussion and our own investigation convince us that, although these sources cast some light, it </w:t>
      </w:r>
      <w:bookmarkStart w:id="17" w:name="co_pp_sp_708_689_1"/>
      <w:r w:rsidRPr="0052317A">
        <w:rPr>
          <w:rFonts w:ascii="Times New Roman" w:hAnsi="Times New Roman"/>
          <w:b/>
          <w:color w:val="000000"/>
          <w:sz w:val="20"/>
          <w:highlight w:val="yellow"/>
        </w:rPr>
        <w:t>**689</w:t>
      </w:r>
      <w:bookmarkEnd w:id="17"/>
      <w:r w:rsidRPr="0052317A">
        <w:rPr>
          <w:rFonts w:ascii="Times New Roman" w:hAnsi="Times New Roman"/>
          <w:color w:val="1F1F1F"/>
          <w:sz w:val="20"/>
          <w:highlight w:val="yellow"/>
        </w:rPr>
        <w:t xml:space="preserve"> is not enough to resolve the problem with which we are faced. At best, they are inconclusive. The most avid proponents of the post-War Amendments undoubtedly intended them to remove all legal distinctions among ‘all persons born or naturalized in the United States.’ Their opponents, just as certainly, were antagonistic to both the letter and the spirit of the Amendments and wished them to have the most limited effect. What others in Congress and the state legislatures had in mind cannot be determined with any degree of certainty.</w:t>
      </w:r>
    </w:p>
    <w:p w14:paraId="5E20F742" w14:textId="77777777" w:rsidR="009E15BD" w:rsidRDefault="00000000">
      <w:pPr>
        <w:spacing w:before="200" w:after="0" w:line="275" w:lineRule="atLeast"/>
        <w:jc w:val="both"/>
      </w:pPr>
      <w:r w:rsidRPr="0052317A">
        <w:rPr>
          <w:rFonts w:ascii="Times New Roman" w:hAnsi="Times New Roman"/>
          <w:color w:val="1F1F1F"/>
          <w:sz w:val="20"/>
          <w:highlight w:val="yellow"/>
        </w:rPr>
        <w:t>An additional reason for the inconclusive nature of the Amendment's history, with respect to segregated schools, is the status of public education at that time.</w:t>
      </w:r>
      <w:bookmarkStart w:id="18" w:name="co_fnRef_B00441954121869_ID0EFDAG_1"/>
      <w:r w:rsidRPr="0052317A">
        <w:rPr>
          <w:highlight w:val="yellow"/>
        </w:rPr>
        <w:fldChar w:fldCharType="begin"/>
      </w:r>
      <w:r w:rsidRPr="0052317A">
        <w:rPr>
          <w:highlight w:val="yellow"/>
        </w:rPr>
        <w:instrText>HYPERLINK \l "co_footnote_B00441954121869_1" \h</w:instrText>
      </w:r>
      <w:r w:rsidRPr="0052317A">
        <w:rPr>
          <w:highlight w:val="yellow"/>
        </w:rPr>
      </w:r>
      <w:r w:rsidRPr="0052317A">
        <w:rPr>
          <w:highlight w:val="yellow"/>
        </w:rPr>
        <w:fldChar w:fldCharType="separate"/>
      </w:r>
      <w:r w:rsidRPr="0052317A">
        <w:rPr>
          <w:rFonts w:ascii="Times New Roman" w:hAnsi="Times New Roman"/>
          <w:color w:val="006FC4"/>
          <w:sz w:val="16"/>
          <w:highlight w:val="yellow"/>
          <w:vertAlign w:val="superscript"/>
        </w:rPr>
        <w:t>4</w:t>
      </w:r>
      <w:r w:rsidRPr="0052317A">
        <w:rPr>
          <w:highlight w:val="yellow"/>
        </w:rPr>
        <w:fldChar w:fldCharType="end"/>
      </w:r>
      <w:bookmarkEnd w:id="18"/>
      <w:r>
        <w:rPr>
          <w:rFonts w:ascii="Times New Roman" w:hAnsi="Times New Roman"/>
          <w:color w:val="1F1F1F"/>
          <w:sz w:val="20"/>
        </w:rPr>
        <w:t xml:space="preserve"> In the South, the movement toward free common schools, supported </w:t>
      </w:r>
      <w:bookmarkStart w:id="19" w:name="co_pp_sp_780_490_1"/>
      <w:r>
        <w:rPr>
          <w:rFonts w:ascii="Times New Roman" w:hAnsi="Times New Roman"/>
          <w:b/>
          <w:color w:val="000000"/>
          <w:sz w:val="20"/>
        </w:rPr>
        <w:t>*490</w:t>
      </w:r>
      <w:bookmarkEnd w:id="19"/>
      <w:r>
        <w:rPr>
          <w:rFonts w:ascii="Times New Roman" w:hAnsi="Times New Roman"/>
          <w:color w:val="1F1F1F"/>
          <w:sz w:val="20"/>
        </w:rPr>
        <w:t xml:space="preserve"> by general taxation, had not yet taken hold. Education of white children was largely in the hands of private groups. Education of Negroes was almost nonexistent, and practically all of the race were illiterate. In fact, any education of Negroes was forbidden by law in some states. Today, in contrast, many Negroes have achieved outstanding success in the arts and sciences as well as in the business and professional world. It is true that public school education at the time of the </w:t>
      </w:r>
      <w:r>
        <w:rPr>
          <w:rFonts w:ascii="Times New Roman" w:hAnsi="Times New Roman"/>
          <w:color w:val="1F1F1F"/>
          <w:sz w:val="20"/>
        </w:rPr>
        <w:lastRenderedPageBreak/>
        <w:t>Amendment had advanced further in the North, but the effect of the Amendment on Northern States was generally ignored in the congressional debates. Even in the North, the conditions of public education did not approximate those existing today. The curriculum was usually rudimentary; ungraded schools were common in rural areas; the school term was but three months a year in many states; and compulsory school attendance was virtually unknown. As a consequence, it is not surprising that there should be so little in the history of the Fourteenth Amendment relating to its intended effect on public education.</w:t>
      </w:r>
    </w:p>
    <w:p w14:paraId="31BA954A" w14:textId="77777777" w:rsidR="009E15BD" w:rsidRDefault="00000000">
      <w:pPr>
        <w:spacing w:before="200" w:after="0" w:line="275" w:lineRule="atLeast"/>
        <w:jc w:val="both"/>
      </w:pPr>
      <w:r w:rsidRPr="0052317A">
        <w:rPr>
          <w:rFonts w:ascii="Times New Roman" w:hAnsi="Times New Roman"/>
          <w:color w:val="1F1F1F"/>
          <w:sz w:val="20"/>
          <w:highlight w:val="yellow"/>
        </w:rPr>
        <w:t>In the first cases in this Court construing the Fourteenth Amendment, decided shortly after its adoption, the Court interpreted it as proscribing all state-imposed discriminations against the Negro race.</w:t>
      </w:r>
      <w:bookmarkStart w:id="20" w:name="co_fnRef_B00551954121869_ID0EDHAG_1"/>
      <w:r w:rsidRPr="0052317A">
        <w:rPr>
          <w:highlight w:val="yellow"/>
        </w:rPr>
        <w:fldChar w:fldCharType="begin"/>
      </w:r>
      <w:r w:rsidRPr="0052317A">
        <w:rPr>
          <w:highlight w:val="yellow"/>
        </w:rPr>
        <w:instrText>HYPERLINK \l "co_footnote_B00551954121869_1" \h</w:instrText>
      </w:r>
      <w:r w:rsidRPr="0052317A">
        <w:rPr>
          <w:highlight w:val="yellow"/>
        </w:rPr>
      </w:r>
      <w:r w:rsidRPr="0052317A">
        <w:rPr>
          <w:highlight w:val="yellow"/>
        </w:rPr>
        <w:fldChar w:fldCharType="separate"/>
      </w:r>
      <w:r w:rsidRPr="0052317A">
        <w:rPr>
          <w:rFonts w:ascii="Times New Roman" w:hAnsi="Times New Roman"/>
          <w:color w:val="006FC4"/>
          <w:sz w:val="16"/>
          <w:highlight w:val="yellow"/>
          <w:vertAlign w:val="superscript"/>
        </w:rPr>
        <w:t>5</w:t>
      </w:r>
      <w:r w:rsidRPr="0052317A">
        <w:rPr>
          <w:highlight w:val="yellow"/>
        </w:rPr>
        <w:fldChar w:fldCharType="end"/>
      </w:r>
      <w:bookmarkEnd w:id="20"/>
      <w:r w:rsidRPr="0052317A">
        <w:rPr>
          <w:rFonts w:ascii="Times New Roman" w:hAnsi="Times New Roman"/>
          <w:color w:val="1F1F1F"/>
          <w:sz w:val="20"/>
          <w:highlight w:val="yellow"/>
        </w:rPr>
        <w:t xml:space="preserve"> The doctrine of </w:t>
      </w:r>
      <w:bookmarkStart w:id="21" w:name="co_pp_sp_780_491_1"/>
      <w:r w:rsidRPr="0052317A">
        <w:rPr>
          <w:rFonts w:ascii="Times New Roman" w:hAnsi="Times New Roman"/>
          <w:b/>
          <w:color w:val="000000"/>
          <w:sz w:val="20"/>
          <w:highlight w:val="yellow"/>
        </w:rPr>
        <w:t>*491</w:t>
      </w:r>
      <w:bookmarkEnd w:id="21"/>
      <w:r w:rsidRPr="0052317A">
        <w:rPr>
          <w:rFonts w:ascii="Times New Roman" w:hAnsi="Times New Roman"/>
          <w:color w:val="1F1F1F"/>
          <w:sz w:val="20"/>
          <w:highlight w:val="yellow"/>
        </w:rPr>
        <w:t xml:space="preserve"> “separate but </w:t>
      </w:r>
      <w:bookmarkStart w:id="22" w:name="co_pp_sp_708_690_1"/>
      <w:r w:rsidRPr="0052317A">
        <w:rPr>
          <w:rFonts w:ascii="Times New Roman" w:hAnsi="Times New Roman"/>
          <w:b/>
          <w:color w:val="000000"/>
          <w:sz w:val="20"/>
          <w:highlight w:val="yellow"/>
        </w:rPr>
        <w:t>**690</w:t>
      </w:r>
      <w:bookmarkEnd w:id="22"/>
      <w:r w:rsidRPr="0052317A">
        <w:rPr>
          <w:rFonts w:ascii="Times New Roman" w:hAnsi="Times New Roman"/>
          <w:color w:val="1F1F1F"/>
          <w:sz w:val="20"/>
          <w:highlight w:val="yellow"/>
        </w:rPr>
        <w:t xml:space="preserve"> equal” did not make its appearance in this court until 1896 in the case of Plessy v. Ferguson, supra, involving not education but transportation.</w:t>
      </w:r>
      <w:bookmarkStart w:id="23" w:name="co_fnRef_B00661954121869_ID0EXHAG_1"/>
      <w:r w:rsidRPr="0052317A">
        <w:rPr>
          <w:highlight w:val="yellow"/>
        </w:rPr>
        <w:fldChar w:fldCharType="begin"/>
      </w:r>
      <w:r w:rsidRPr="0052317A">
        <w:rPr>
          <w:highlight w:val="yellow"/>
        </w:rPr>
        <w:instrText>HYPERLINK \l "co_footnote_B00661954121869_1" \h</w:instrText>
      </w:r>
      <w:r w:rsidRPr="0052317A">
        <w:rPr>
          <w:highlight w:val="yellow"/>
        </w:rPr>
      </w:r>
      <w:r w:rsidRPr="0052317A">
        <w:rPr>
          <w:highlight w:val="yellow"/>
        </w:rPr>
        <w:fldChar w:fldCharType="separate"/>
      </w:r>
      <w:r w:rsidRPr="0052317A">
        <w:rPr>
          <w:rFonts w:ascii="Times New Roman" w:hAnsi="Times New Roman"/>
          <w:color w:val="006FC4"/>
          <w:sz w:val="16"/>
          <w:highlight w:val="yellow"/>
          <w:vertAlign w:val="superscript"/>
        </w:rPr>
        <w:t>6</w:t>
      </w:r>
      <w:r w:rsidRPr="0052317A">
        <w:rPr>
          <w:highlight w:val="yellow"/>
        </w:rPr>
        <w:fldChar w:fldCharType="end"/>
      </w:r>
      <w:bookmarkEnd w:id="23"/>
      <w:r w:rsidRPr="0052317A">
        <w:rPr>
          <w:rFonts w:ascii="Times New Roman" w:hAnsi="Times New Roman"/>
          <w:color w:val="1F1F1F"/>
          <w:sz w:val="20"/>
          <w:highlight w:val="yellow"/>
        </w:rPr>
        <w:t xml:space="preserve"> American courts have since labored with the doctrine for over half a century.</w:t>
      </w:r>
      <w:r>
        <w:rPr>
          <w:rFonts w:ascii="Times New Roman" w:hAnsi="Times New Roman"/>
          <w:color w:val="1F1F1F"/>
          <w:sz w:val="20"/>
        </w:rPr>
        <w:t xml:space="preserve"> In this Court, there have been six cases involving the ‘separate but equal’ doctrine in the field of public education.</w:t>
      </w:r>
      <w:bookmarkStart w:id="24" w:name="co_fnRef_B00771954121869_ID0EHIAG_1"/>
      <w:r>
        <w:fldChar w:fldCharType="begin"/>
      </w:r>
      <w:r>
        <w:instrText>HYPERLINK \l "co_footnote_B00771954121869_1" \h</w:instrText>
      </w:r>
      <w:r>
        <w:fldChar w:fldCharType="separate"/>
      </w:r>
      <w:r>
        <w:rPr>
          <w:rFonts w:ascii="Times New Roman" w:hAnsi="Times New Roman"/>
          <w:color w:val="006FC4"/>
          <w:sz w:val="16"/>
          <w:vertAlign w:val="superscript"/>
        </w:rPr>
        <w:t>7</w:t>
      </w:r>
      <w:r>
        <w:fldChar w:fldCharType="end"/>
      </w:r>
      <w:bookmarkEnd w:id="24"/>
      <w:r>
        <w:rPr>
          <w:rFonts w:ascii="Times New Roman" w:hAnsi="Times New Roman"/>
          <w:color w:val="1F1F1F"/>
          <w:sz w:val="20"/>
        </w:rPr>
        <w:t xml:space="preserve"> In </w:t>
      </w:r>
      <w:hyperlink r:id="rId15">
        <w:r>
          <w:rPr>
            <w:rFonts w:ascii="Times New Roman" w:hAnsi="Times New Roman"/>
            <w:color w:val="006FC4"/>
            <w:sz w:val="20"/>
          </w:rPr>
          <w:t>Cumming v. Board of Education of Richmond County, 175 U.S. 528, 20 S.Ct. 197, 44 L.Ed. 262,</w:t>
        </w:r>
      </w:hyperlink>
      <w:r>
        <w:rPr>
          <w:rFonts w:ascii="Times New Roman" w:hAnsi="Times New Roman"/>
          <w:color w:val="1F1F1F"/>
          <w:sz w:val="20"/>
        </w:rPr>
        <w:t xml:space="preserve"> and </w:t>
      </w:r>
      <w:hyperlink r:id="rId16">
        <w:r>
          <w:rPr>
            <w:rFonts w:ascii="Times New Roman" w:hAnsi="Times New Roman"/>
            <w:color w:val="006FC4"/>
            <w:sz w:val="20"/>
          </w:rPr>
          <w:t>Gong Lum v. Rice, 275 U.S. 78, 48 S.Ct. 91, 72 L.Ed. 172,</w:t>
        </w:r>
      </w:hyperlink>
      <w:r>
        <w:rPr>
          <w:rFonts w:ascii="Times New Roman" w:hAnsi="Times New Roman"/>
          <w:color w:val="1F1F1F"/>
          <w:sz w:val="20"/>
        </w:rPr>
        <w:t xml:space="preserve"> the validity of the doctrine itself was not challenged.</w:t>
      </w:r>
      <w:bookmarkStart w:id="25" w:name="co_fnRef_B00881954121869_ID0E5IAG_1"/>
      <w:r>
        <w:fldChar w:fldCharType="begin"/>
      </w:r>
      <w:r>
        <w:instrText>HYPERLINK \l "co_footnote_B00881954121869_1" \h</w:instrText>
      </w:r>
      <w:r>
        <w:fldChar w:fldCharType="separate"/>
      </w:r>
      <w:r>
        <w:rPr>
          <w:rFonts w:ascii="Times New Roman" w:hAnsi="Times New Roman"/>
          <w:color w:val="006FC4"/>
          <w:sz w:val="16"/>
          <w:vertAlign w:val="superscript"/>
        </w:rPr>
        <w:t>8</w:t>
      </w:r>
      <w:r>
        <w:fldChar w:fldCharType="end"/>
      </w:r>
      <w:bookmarkEnd w:id="25"/>
      <w:r>
        <w:rPr>
          <w:rFonts w:ascii="Times New Roman" w:hAnsi="Times New Roman"/>
          <w:color w:val="1F1F1F"/>
          <w:sz w:val="20"/>
        </w:rPr>
        <w:t xml:space="preserve"> In more recent cases, all on the graduate school </w:t>
      </w:r>
      <w:bookmarkStart w:id="26" w:name="co_pp_sp_780_492_1"/>
      <w:r>
        <w:rPr>
          <w:rFonts w:ascii="Times New Roman" w:hAnsi="Times New Roman"/>
          <w:b/>
          <w:color w:val="000000"/>
          <w:sz w:val="20"/>
        </w:rPr>
        <w:t>*492</w:t>
      </w:r>
      <w:bookmarkEnd w:id="26"/>
      <w:r>
        <w:rPr>
          <w:rFonts w:ascii="Times New Roman" w:hAnsi="Times New Roman"/>
          <w:color w:val="1F1F1F"/>
          <w:sz w:val="20"/>
        </w:rPr>
        <w:t xml:space="preserve"> level, inequality was found in that specific benefits enjoyed by white students were denied to Negro students of the same educational qualifications. </w:t>
      </w:r>
      <w:hyperlink r:id="rId17">
        <w:r>
          <w:rPr>
            <w:rFonts w:ascii="Times New Roman" w:hAnsi="Times New Roman"/>
            <w:color w:val="006FC4"/>
            <w:sz w:val="20"/>
          </w:rPr>
          <w:t>State of Missouri ex rel. Gaines v. Canada, 305 U.S. 337, 59 S.Ct. 232, 83 L.Ed. 208;</w:t>
        </w:r>
      </w:hyperlink>
      <w:r>
        <w:rPr>
          <w:rFonts w:ascii="Times New Roman" w:hAnsi="Times New Roman"/>
          <w:color w:val="1F1F1F"/>
          <w:sz w:val="20"/>
        </w:rPr>
        <w:t xml:space="preserve"> </w:t>
      </w:r>
      <w:hyperlink r:id="rId18">
        <w:r>
          <w:rPr>
            <w:rFonts w:ascii="Times New Roman" w:hAnsi="Times New Roman"/>
            <w:color w:val="006FC4"/>
            <w:sz w:val="20"/>
          </w:rPr>
          <w:t>Sipuel v. Board of Regents of University of Oklahoma, 332 U.S. 631, 68 S.Ct. 299, 92 L.Ed. 247;</w:t>
        </w:r>
      </w:hyperlink>
      <w:r>
        <w:rPr>
          <w:rFonts w:ascii="Times New Roman" w:hAnsi="Times New Roman"/>
          <w:color w:val="1F1F1F"/>
          <w:sz w:val="20"/>
        </w:rPr>
        <w:t xml:space="preserve"> </w:t>
      </w:r>
      <w:hyperlink r:id="rId19">
        <w:r>
          <w:rPr>
            <w:rFonts w:ascii="Times New Roman" w:hAnsi="Times New Roman"/>
            <w:color w:val="006FC4"/>
            <w:sz w:val="20"/>
          </w:rPr>
          <w:t>Sweatt v. Painter, 339 U.S. 629, 70 s.Ct. 848, 94 L.Ed. 1114</w:t>
        </w:r>
      </w:hyperlink>
      <w:r>
        <w:rPr>
          <w:rFonts w:ascii="Times New Roman" w:hAnsi="Times New Roman"/>
          <w:color w:val="1F1F1F"/>
          <w:sz w:val="20"/>
        </w:rPr>
        <w:t xml:space="preserve">; </w:t>
      </w:r>
      <w:hyperlink r:id="rId20">
        <w:r>
          <w:rPr>
            <w:rFonts w:ascii="Times New Roman" w:hAnsi="Times New Roman"/>
            <w:color w:val="006FC4"/>
            <w:sz w:val="20"/>
          </w:rPr>
          <w:t>McLaurin v. Oklahoma State Regents, 339 U.S. 637, 70 S.Ct. 851, 94 L.Ed. 1149.</w:t>
        </w:r>
      </w:hyperlink>
      <w:r>
        <w:rPr>
          <w:rFonts w:ascii="Times New Roman" w:hAnsi="Times New Roman"/>
          <w:color w:val="1F1F1F"/>
          <w:sz w:val="20"/>
        </w:rPr>
        <w:t xml:space="preserve"> In none of these cases was it necessary to re-examine the doctrine to grant relief to the Negro plaintiff. And in Sweatt v. Painter, supra, the Court expressly reserved decision on the question whether Plessy v. Ferguson should be held inapplicable to public education.</w:t>
      </w:r>
    </w:p>
    <w:p w14:paraId="5DFE0A74" w14:textId="77777777" w:rsidR="009E15BD" w:rsidRPr="0052317A" w:rsidRDefault="00000000">
      <w:pPr>
        <w:spacing w:before="200" w:after="0" w:line="275" w:lineRule="atLeast"/>
        <w:jc w:val="both"/>
        <w:rPr>
          <w:highlight w:val="yellow"/>
        </w:rPr>
      </w:pPr>
      <w:r>
        <w:rPr>
          <w:rFonts w:ascii="Times New Roman" w:hAnsi="Times New Roman"/>
          <w:color w:val="1F1F1F"/>
          <w:sz w:val="20"/>
        </w:rPr>
        <w:t xml:space="preserve">In the instant cases, that question is directly presented. </w:t>
      </w:r>
      <w:r w:rsidRPr="0052317A">
        <w:rPr>
          <w:rFonts w:ascii="Times New Roman" w:hAnsi="Times New Roman"/>
          <w:color w:val="1F1F1F"/>
          <w:sz w:val="20"/>
          <w:highlight w:val="yellow"/>
        </w:rPr>
        <w:t>Here, unlike Sweatt v. Painter, there are findings below that the Negro and white schools involved have been equalized, or are being equalized, with respect to buildings, curricula, qualifications and salaries of teachers, and other ‘tangible’ factors.</w:t>
      </w:r>
      <w:bookmarkStart w:id="27" w:name="co_fnRef_B00991954121869_ID0EARAG_1"/>
      <w:r w:rsidRPr="0052317A">
        <w:rPr>
          <w:highlight w:val="yellow"/>
        </w:rPr>
        <w:fldChar w:fldCharType="begin"/>
      </w:r>
      <w:r w:rsidRPr="0052317A">
        <w:rPr>
          <w:highlight w:val="yellow"/>
        </w:rPr>
        <w:instrText>HYPERLINK \l "co_footnote_B00991954121869_1" \h</w:instrText>
      </w:r>
      <w:r w:rsidRPr="0052317A">
        <w:rPr>
          <w:highlight w:val="yellow"/>
        </w:rPr>
      </w:r>
      <w:r w:rsidRPr="0052317A">
        <w:rPr>
          <w:highlight w:val="yellow"/>
        </w:rPr>
        <w:fldChar w:fldCharType="separate"/>
      </w:r>
      <w:r w:rsidRPr="0052317A">
        <w:rPr>
          <w:rFonts w:ascii="Times New Roman" w:hAnsi="Times New Roman"/>
          <w:color w:val="006FC4"/>
          <w:sz w:val="16"/>
          <w:highlight w:val="yellow"/>
          <w:vertAlign w:val="superscript"/>
        </w:rPr>
        <w:t>9</w:t>
      </w:r>
      <w:r w:rsidRPr="0052317A">
        <w:rPr>
          <w:highlight w:val="yellow"/>
        </w:rPr>
        <w:fldChar w:fldCharType="end"/>
      </w:r>
      <w:bookmarkEnd w:id="27"/>
      <w:r w:rsidRPr="0052317A">
        <w:rPr>
          <w:rFonts w:ascii="Times New Roman" w:hAnsi="Times New Roman"/>
          <w:color w:val="1F1F1F"/>
          <w:sz w:val="20"/>
          <w:highlight w:val="yellow"/>
        </w:rPr>
        <w:t xml:space="preserve"> Our decision, therefore, cannot turn on merely a comparison of these tangible factors </w:t>
      </w:r>
      <w:bookmarkStart w:id="28" w:name="co_pp_sp_708_691_1"/>
      <w:r w:rsidRPr="0052317A">
        <w:rPr>
          <w:rFonts w:ascii="Times New Roman" w:hAnsi="Times New Roman"/>
          <w:b/>
          <w:color w:val="000000"/>
          <w:sz w:val="20"/>
          <w:highlight w:val="yellow"/>
        </w:rPr>
        <w:t>**691</w:t>
      </w:r>
      <w:bookmarkEnd w:id="28"/>
      <w:r w:rsidRPr="0052317A">
        <w:rPr>
          <w:rFonts w:ascii="Times New Roman" w:hAnsi="Times New Roman"/>
          <w:color w:val="1F1F1F"/>
          <w:sz w:val="20"/>
          <w:highlight w:val="yellow"/>
        </w:rPr>
        <w:t xml:space="preserve"> in the Negro and white schools involved in each of the cases. We must look instead to the effect of segregation itself on public education.</w:t>
      </w:r>
    </w:p>
    <w:p w14:paraId="75E3E46C" w14:textId="77777777" w:rsidR="009E15BD" w:rsidRDefault="00000000">
      <w:pPr>
        <w:spacing w:after="0" w:line="275" w:lineRule="atLeast"/>
        <w:jc w:val="both"/>
      </w:pPr>
      <w:hyperlink w:anchor="co_hn_anchor_F11954121869_1">
        <w:r w:rsidRPr="0052317A">
          <w:rPr>
            <w:rFonts w:ascii="Times New Roman" w:hAnsi="Times New Roman"/>
            <w:b/>
            <w:color w:val="252525"/>
            <w:sz w:val="20"/>
            <w:highlight w:val="yellow"/>
            <w:bdr w:val="none" w:sz="0" w:space="2" w:color="auto"/>
            <w:vertAlign w:val="superscript"/>
          </w:rPr>
          <w:t>[1]</w:t>
        </w:r>
      </w:hyperlink>
      <w:r w:rsidRPr="0052317A">
        <w:rPr>
          <w:rFonts w:ascii="Times New Roman" w:hAnsi="Times New Roman"/>
          <w:color w:val="1F1F1F"/>
          <w:sz w:val="20"/>
          <w:highlight w:val="yellow"/>
        </w:rPr>
        <w:t xml:space="preserve"> In approaching this problem, we cannot turn the clock back to 1868 when the Amendment was adopted, or even to 1896 when Plessy v. Ferguson was </w:t>
      </w:r>
      <w:commentRangeStart w:id="29"/>
      <w:r w:rsidRPr="0052317A">
        <w:rPr>
          <w:rFonts w:ascii="Times New Roman" w:hAnsi="Times New Roman"/>
          <w:color w:val="1F1F1F"/>
          <w:sz w:val="20"/>
          <w:highlight w:val="yellow"/>
        </w:rPr>
        <w:t>written</w:t>
      </w:r>
      <w:commentRangeEnd w:id="29"/>
      <w:r w:rsidR="0052317A" w:rsidRPr="0052317A">
        <w:rPr>
          <w:rStyle w:val="CommentReference"/>
          <w:rFonts w:ascii="Times New Roman" w:hAnsi="Times New Roman"/>
          <w:color w:val="1F1F1F"/>
          <w:sz w:val="20"/>
          <w:szCs w:val="24"/>
          <w:highlight w:val="yellow"/>
        </w:rPr>
        <w:commentReference w:id="29"/>
      </w:r>
      <w:r w:rsidRPr="0052317A">
        <w:rPr>
          <w:rFonts w:ascii="Times New Roman" w:hAnsi="Times New Roman"/>
          <w:color w:val="1F1F1F"/>
          <w:sz w:val="20"/>
          <w:highlight w:val="yellow"/>
        </w:rPr>
        <w:t xml:space="preserve">. We must consider public education in the light of its full development and its present place in American life throughout  </w:t>
      </w:r>
      <w:bookmarkStart w:id="30" w:name="co_pp_sp_780_493_1"/>
      <w:r w:rsidRPr="0052317A">
        <w:rPr>
          <w:rFonts w:ascii="Times New Roman" w:hAnsi="Times New Roman"/>
          <w:b/>
          <w:color w:val="000000"/>
          <w:sz w:val="20"/>
          <w:highlight w:val="yellow"/>
        </w:rPr>
        <w:t>*493</w:t>
      </w:r>
      <w:bookmarkEnd w:id="30"/>
      <w:r w:rsidRPr="0052317A">
        <w:rPr>
          <w:rFonts w:ascii="Times New Roman" w:hAnsi="Times New Roman"/>
          <w:color w:val="1F1F1F"/>
          <w:sz w:val="20"/>
          <w:highlight w:val="yellow"/>
        </w:rPr>
        <w:t xml:space="preserve"> the Nation. Only in this way can it be determined if segregation in public schools deprives these plaintiffs of the equal protection of the laws</w:t>
      </w:r>
      <w:r>
        <w:rPr>
          <w:rFonts w:ascii="Times New Roman" w:hAnsi="Times New Roman"/>
          <w:color w:val="1F1F1F"/>
          <w:sz w:val="20"/>
        </w:rPr>
        <w:t>.</w:t>
      </w:r>
    </w:p>
    <w:p w14:paraId="42BEECBC" w14:textId="77777777" w:rsidR="009E15BD" w:rsidRDefault="00000000">
      <w:pPr>
        <w:spacing w:after="0" w:line="275" w:lineRule="atLeast"/>
        <w:jc w:val="both"/>
      </w:pPr>
      <w:r>
        <w:rPr>
          <w:rFonts w:ascii="Times New Roman" w:hAnsi="Times New Roman"/>
          <w:color w:val="1F1F1F"/>
          <w:sz w:val="20"/>
        </w:rPr>
        <w:t> </w:t>
      </w:r>
    </w:p>
    <w:p w14:paraId="318CB88C" w14:textId="77777777" w:rsidR="009E15BD" w:rsidRDefault="00000000">
      <w:pPr>
        <w:spacing w:after="0" w:line="275" w:lineRule="atLeast"/>
        <w:jc w:val="both"/>
      </w:pPr>
      <w:hyperlink w:anchor="co_hn_anchor_F21954121869_1">
        <w:r>
          <w:rPr>
            <w:rFonts w:ascii="Times New Roman" w:hAnsi="Times New Roman"/>
            <w:b/>
            <w:color w:val="252525"/>
            <w:sz w:val="20"/>
            <w:bdr w:val="none" w:sz="0" w:space="2" w:color="auto"/>
            <w:vertAlign w:val="superscript"/>
          </w:rPr>
          <w:t>[2]</w:t>
        </w:r>
      </w:hyperlink>
      <w:r>
        <w:rPr>
          <w:rFonts w:ascii="Times New Roman" w:hAnsi="Times New Roman"/>
          <w:color w:val="1F1F1F"/>
          <w:sz w:val="20"/>
        </w:rPr>
        <w:t xml:space="preserve"> Today, education is perhaps the most important function of state and local governments. Compulsory school attendance laws and the great expenditures for education both demonstrate our recognition of the importance of education to our democratic society. It is required in the performance of our most basic public responsibilities, even service in the armed forces. It is the very foundation of good citizenship. Today it is a principal instrument in awakening the child to cultural values, in preparing him for later professional training, and in helping him to adjust normally to his environment. In these days, it is doubtful that any child may reasonably be expected to succeed in life if he is denied the opportunity of an education. Such an opportunity, where the state has undertaken to provide it, is a right which must be made available to all on equal terms.</w:t>
      </w:r>
    </w:p>
    <w:p w14:paraId="7E909AF0" w14:textId="77777777" w:rsidR="009E15BD" w:rsidRDefault="00000000">
      <w:pPr>
        <w:spacing w:after="0" w:line="275" w:lineRule="atLeast"/>
        <w:jc w:val="both"/>
      </w:pPr>
      <w:r>
        <w:rPr>
          <w:rFonts w:ascii="Times New Roman" w:hAnsi="Times New Roman"/>
          <w:color w:val="1F1F1F"/>
          <w:sz w:val="20"/>
        </w:rPr>
        <w:t> </w:t>
      </w:r>
    </w:p>
    <w:p w14:paraId="0C94DF5A" w14:textId="77777777" w:rsidR="009E15BD" w:rsidRDefault="00000000">
      <w:pPr>
        <w:spacing w:after="0" w:line="275" w:lineRule="atLeast"/>
        <w:jc w:val="both"/>
      </w:pPr>
      <w:hyperlink w:anchor="co_hn_anchor_F31954121869_1">
        <w:r>
          <w:rPr>
            <w:rFonts w:ascii="Times New Roman" w:hAnsi="Times New Roman"/>
            <w:b/>
            <w:color w:val="252525"/>
            <w:sz w:val="20"/>
            <w:bdr w:val="none" w:sz="0" w:space="2" w:color="auto"/>
            <w:vertAlign w:val="superscript"/>
          </w:rPr>
          <w:t>[3]</w:t>
        </w:r>
      </w:hyperlink>
      <w:r>
        <w:rPr>
          <w:rFonts w:ascii="Times New Roman" w:hAnsi="Times New Roman"/>
          <w:color w:val="1F1F1F"/>
          <w:sz w:val="20"/>
        </w:rPr>
        <w:t xml:space="preserve"> We come then to the question presented: </w:t>
      </w:r>
      <w:r w:rsidRPr="0052317A">
        <w:rPr>
          <w:rFonts w:ascii="Times New Roman" w:hAnsi="Times New Roman"/>
          <w:color w:val="1F1F1F"/>
          <w:sz w:val="20"/>
          <w:highlight w:val="yellow"/>
        </w:rPr>
        <w:t xml:space="preserve">Does segregation of children in public schools solely on the basis of race, even though the physical facilities and other ‘tangible’ factors may be equal, deprive the children of the minority group of equal educational opportunities? We believe that it </w:t>
      </w:r>
      <w:commentRangeStart w:id="31"/>
      <w:r w:rsidRPr="0052317A">
        <w:rPr>
          <w:rFonts w:ascii="Times New Roman" w:hAnsi="Times New Roman"/>
          <w:color w:val="1F1F1F"/>
          <w:sz w:val="20"/>
          <w:highlight w:val="yellow"/>
        </w:rPr>
        <w:t>does</w:t>
      </w:r>
      <w:commentRangeEnd w:id="31"/>
      <w:r w:rsidR="0052317A" w:rsidRPr="0052317A">
        <w:rPr>
          <w:rStyle w:val="CommentReference"/>
          <w:rFonts w:ascii="Times New Roman" w:hAnsi="Times New Roman"/>
          <w:color w:val="1F1F1F"/>
          <w:sz w:val="20"/>
          <w:szCs w:val="24"/>
          <w:highlight w:val="yellow"/>
        </w:rPr>
        <w:commentReference w:id="31"/>
      </w:r>
      <w:r w:rsidRPr="0052317A">
        <w:rPr>
          <w:rFonts w:ascii="Times New Roman" w:hAnsi="Times New Roman"/>
          <w:color w:val="1F1F1F"/>
          <w:sz w:val="20"/>
          <w:highlight w:val="yellow"/>
        </w:rPr>
        <w:t>.</w:t>
      </w:r>
    </w:p>
    <w:p w14:paraId="46494468" w14:textId="77777777" w:rsidR="009E15BD" w:rsidRDefault="00000000">
      <w:pPr>
        <w:spacing w:after="0" w:line="275" w:lineRule="atLeast"/>
        <w:jc w:val="both"/>
      </w:pPr>
      <w:r>
        <w:rPr>
          <w:rFonts w:ascii="Times New Roman" w:hAnsi="Times New Roman"/>
          <w:color w:val="1F1F1F"/>
          <w:sz w:val="20"/>
        </w:rPr>
        <w:t> </w:t>
      </w:r>
    </w:p>
    <w:p w14:paraId="03D212EA" w14:textId="77777777" w:rsidR="009E15BD" w:rsidRDefault="00000000">
      <w:pPr>
        <w:spacing w:before="200" w:after="0" w:line="275" w:lineRule="atLeast"/>
        <w:jc w:val="both"/>
      </w:pPr>
      <w:r>
        <w:rPr>
          <w:rFonts w:ascii="Times New Roman" w:hAnsi="Times New Roman"/>
          <w:color w:val="1F1F1F"/>
          <w:sz w:val="20"/>
        </w:rPr>
        <w:t xml:space="preserve">In </w:t>
      </w:r>
      <w:hyperlink r:id="rId21">
        <w:r>
          <w:rPr>
            <w:rFonts w:ascii="Times New Roman" w:hAnsi="Times New Roman"/>
            <w:color w:val="006FC4"/>
            <w:sz w:val="20"/>
          </w:rPr>
          <w:t>Sweatt v. Painter, supra (339 U.S. 629, 70 S.Ct. 850),</w:t>
        </w:r>
      </w:hyperlink>
      <w:r>
        <w:rPr>
          <w:rFonts w:ascii="Times New Roman" w:hAnsi="Times New Roman"/>
          <w:color w:val="1F1F1F"/>
          <w:sz w:val="20"/>
        </w:rPr>
        <w:t xml:space="preserve"> in finding that a segregated law school for Negroes could not provide them equal educational opportunities, this Court relied in large part on ‘those qualities which are incapable of objective measurement but which make for greatness in a law school.’ In </w:t>
      </w:r>
      <w:hyperlink r:id="rId22">
        <w:r>
          <w:rPr>
            <w:rFonts w:ascii="Times New Roman" w:hAnsi="Times New Roman"/>
            <w:color w:val="006FC4"/>
            <w:sz w:val="20"/>
          </w:rPr>
          <w:t>McLaurin v. Oklahoma State Regents, supra (339 U.S. 637, 70 S.Ct. 853),</w:t>
        </w:r>
      </w:hyperlink>
      <w:r>
        <w:rPr>
          <w:rFonts w:ascii="Times New Roman" w:hAnsi="Times New Roman"/>
          <w:color w:val="1F1F1F"/>
          <w:sz w:val="20"/>
        </w:rPr>
        <w:t xml:space="preserve"> the Court, in requiring that a Negro admitted to a white graduate school be treated like all other students, again resorted to intangible considerations: ‘* * * his ability to study, to engage in discussions and exchange views with other students, and, in general, to learn his profession.’ </w:t>
      </w:r>
      <w:bookmarkStart w:id="32" w:name="co_pp_sp_780_494_1"/>
      <w:r>
        <w:rPr>
          <w:rFonts w:ascii="Times New Roman" w:hAnsi="Times New Roman"/>
          <w:b/>
          <w:color w:val="000000"/>
          <w:sz w:val="20"/>
        </w:rPr>
        <w:t>*494</w:t>
      </w:r>
      <w:bookmarkEnd w:id="32"/>
      <w:r>
        <w:rPr>
          <w:rFonts w:ascii="Times New Roman" w:hAnsi="Times New Roman"/>
          <w:color w:val="1F1F1F"/>
          <w:sz w:val="20"/>
        </w:rPr>
        <w:t xml:space="preserve"> Such considerations apply with added force to children in grade and high schools. </w:t>
      </w:r>
      <w:r w:rsidRPr="0052317A">
        <w:rPr>
          <w:rFonts w:ascii="Times New Roman" w:hAnsi="Times New Roman"/>
          <w:color w:val="1F1F1F"/>
          <w:sz w:val="20"/>
          <w:highlight w:val="yellow"/>
        </w:rPr>
        <w:t>To separate them from others of similar age and qualifications solely because of their race generates a feeling of inferiority as to their status in the community that may affect their hearts and minds in a way unlikely ever to be undone.</w:t>
      </w:r>
      <w:r>
        <w:rPr>
          <w:rFonts w:ascii="Times New Roman" w:hAnsi="Times New Roman"/>
          <w:color w:val="1F1F1F"/>
          <w:sz w:val="20"/>
        </w:rPr>
        <w:t xml:space="preserve"> The effect of this separation on their educational opportunities was well stated by a finding in </w:t>
      </w:r>
      <w:r>
        <w:rPr>
          <w:rFonts w:ascii="Times New Roman" w:hAnsi="Times New Roman"/>
          <w:color w:val="1F1F1F"/>
          <w:sz w:val="20"/>
        </w:rPr>
        <w:lastRenderedPageBreak/>
        <w:t>the Kansas case by a court which nevertheless felt compelled to rule against the Negro plaintiffs:</w:t>
      </w:r>
    </w:p>
    <w:p w14:paraId="2D2C5946" w14:textId="77777777" w:rsidR="009E15BD" w:rsidRDefault="00000000">
      <w:pPr>
        <w:spacing w:after="0" w:line="275" w:lineRule="atLeast"/>
        <w:jc w:val="both"/>
      </w:pPr>
      <w:r>
        <w:rPr>
          <w:rFonts w:ascii="Times New Roman" w:hAnsi="Times New Roman"/>
          <w:color w:val="1F1F1F"/>
          <w:sz w:val="20"/>
        </w:rPr>
        <w:t>'Segregation of white and colored children in public schools has a detrimental effect upon the colored children. The impact is greater when it has the sanction of the law; for the policy of separating the races is usually interpreted as denoting the inferiority of the negro group. A sense of inferiority affects the motivation of a child to learn. Segregation with the sanction of law, therefore, has a tendency to (retard) the educational and mental development of Negro children and to deprive them of some of the benefits they would receive in a racial(ly) integrated school system.'</w:t>
      </w:r>
      <w:bookmarkStart w:id="33" w:name="co_fnRef_B010101954121869_ID0EUYAG_1"/>
      <w:r>
        <w:fldChar w:fldCharType="begin"/>
      </w:r>
      <w:r>
        <w:instrText>HYPERLINK \l "co_footnote_B010101954121869_1" \h</w:instrText>
      </w:r>
      <w:r>
        <w:fldChar w:fldCharType="separate"/>
      </w:r>
      <w:r>
        <w:rPr>
          <w:rFonts w:ascii="Times New Roman" w:hAnsi="Times New Roman"/>
          <w:color w:val="006FC4"/>
          <w:sz w:val="16"/>
          <w:vertAlign w:val="superscript"/>
        </w:rPr>
        <w:t>10</w:t>
      </w:r>
      <w:r>
        <w:fldChar w:fldCharType="end"/>
      </w:r>
      <w:bookmarkEnd w:id="33"/>
    </w:p>
    <w:p w14:paraId="1969AA19" w14:textId="77777777" w:rsidR="009E15BD" w:rsidRDefault="00000000">
      <w:pPr>
        <w:spacing w:after="0" w:line="275" w:lineRule="atLeast"/>
        <w:jc w:val="both"/>
      </w:pPr>
      <w:r>
        <w:rPr>
          <w:rFonts w:ascii="Times New Roman" w:hAnsi="Times New Roman"/>
          <w:color w:val="1F1F1F"/>
          <w:sz w:val="20"/>
        </w:rPr>
        <w:t> </w:t>
      </w:r>
    </w:p>
    <w:p w14:paraId="05AF487E" w14:textId="77777777" w:rsidR="009E15BD" w:rsidRDefault="00000000">
      <w:pPr>
        <w:spacing w:after="0" w:line="275" w:lineRule="atLeast"/>
        <w:jc w:val="both"/>
      </w:pPr>
      <w:bookmarkStart w:id="34" w:name="co_pp_sp_708_692_1"/>
      <w:r>
        <w:rPr>
          <w:rFonts w:ascii="Times New Roman" w:hAnsi="Times New Roman"/>
          <w:b/>
          <w:color w:val="000000"/>
          <w:sz w:val="20"/>
        </w:rPr>
        <w:t>**692</w:t>
      </w:r>
      <w:bookmarkEnd w:id="34"/>
      <w:r>
        <w:rPr>
          <w:rFonts w:ascii="Times New Roman" w:hAnsi="Times New Roman"/>
          <w:color w:val="1F1F1F"/>
          <w:sz w:val="20"/>
        </w:rPr>
        <w:t xml:space="preserve"> </w:t>
      </w:r>
      <w:r w:rsidRPr="0052317A">
        <w:rPr>
          <w:rFonts w:ascii="Times New Roman" w:hAnsi="Times New Roman"/>
          <w:color w:val="1F1F1F"/>
          <w:sz w:val="20"/>
          <w:highlight w:val="yellow"/>
        </w:rPr>
        <w:t>Whatever may have been the extent of psychological knowledge at the time of Plessy v. Ferguson, this finding is amply supported by modern authority.</w:t>
      </w:r>
      <w:bookmarkStart w:id="35" w:name="co_fnRef_B011111954121869_ID0EO1AG_1"/>
      <w:r w:rsidRPr="0052317A">
        <w:rPr>
          <w:highlight w:val="yellow"/>
        </w:rPr>
        <w:fldChar w:fldCharType="begin"/>
      </w:r>
      <w:r w:rsidRPr="0052317A">
        <w:rPr>
          <w:highlight w:val="yellow"/>
        </w:rPr>
        <w:instrText>HYPERLINK \l "co_footnote_B011111954121869_1" \h</w:instrText>
      </w:r>
      <w:r w:rsidRPr="0052317A">
        <w:rPr>
          <w:highlight w:val="yellow"/>
        </w:rPr>
      </w:r>
      <w:r w:rsidRPr="0052317A">
        <w:rPr>
          <w:highlight w:val="yellow"/>
        </w:rPr>
        <w:fldChar w:fldCharType="separate"/>
      </w:r>
      <w:r w:rsidRPr="0052317A">
        <w:rPr>
          <w:rFonts w:ascii="Times New Roman" w:hAnsi="Times New Roman"/>
          <w:color w:val="006FC4"/>
          <w:sz w:val="16"/>
          <w:highlight w:val="yellow"/>
          <w:vertAlign w:val="superscript"/>
        </w:rPr>
        <w:t>11</w:t>
      </w:r>
      <w:r w:rsidRPr="0052317A">
        <w:rPr>
          <w:highlight w:val="yellow"/>
        </w:rPr>
        <w:fldChar w:fldCharType="end"/>
      </w:r>
      <w:bookmarkEnd w:id="35"/>
      <w:r w:rsidRPr="0052317A">
        <w:rPr>
          <w:rFonts w:ascii="Times New Roman" w:hAnsi="Times New Roman"/>
          <w:color w:val="1F1F1F"/>
          <w:sz w:val="20"/>
          <w:highlight w:val="yellow"/>
        </w:rPr>
        <w:t xml:space="preserve"> Any language </w:t>
      </w:r>
      <w:bookmarkStart w:id="36" w:name="co_pp_sp_780_495_1"/>
      <w:r w:rsidRPr="0052317A">
        <w:rPr>
          <w:rFonts w:ascii="Times New Roman" w:hAnsi="Times New Roman"/>
          <w:b/>
          <w:color w:val="000000"/>
          <w:sz w:val="20"/>
          <w:highlight w:val="yellow"/>
        </w:rPr>
        <w:t>*495</w:t>
      </w:r>
      <w:bookmarkEnd w:id="36"/>
      <w:r w:rsidRPr="0052317A">
        <w:rPr>
          <w:rFonts w:ascii="Times New Roman" w:hAnsi="Times New Roman"/>
          <w:color w:val="1F1F1F"/>
          <w:sz w:val="20"/>
          <w:highlight w:val="yellow"/>
        </w:rPr>
        <w:t xml:space="preserve"> in Plessy v. Ferguson contrary to this finding is rejected.</w:t>
      </w:r>
    </w:p>
    <w:p w14:paraId="307CC139" w14:textId="77777777" w:rsidR="009E15BD" w:rsidRDefault="00000000">
      <w:pPr>
        <w:spacing w:after="0" w:line="275" w:lineRule="atLeast"/>
        <w:jc w:val="both"/>
      </w:pPr>
      <w:r>
        <w:rPr>
          <w:rFonts w:ascii="Times New Roman" w:hAnsi="Times New Roman"/>
          <w:color w:val="1F1F1F"/>
          <w:sz w:val="20"/>
        </w:rPr>
        <w:t> </w:t>
      </w:r>
    </w:p>
    <w:p w14:paraId="3D0D6B11" w14:textId="77777777" w:rsidR="009E15BD" w:rsidRDefault="00000000">
      <w:pPr>
        <w:spacing w:after="0" w:line="275" w:lineRule="atLeast"/>
        <w:jc w:val="both"/>
      </w:pPr>
      <w:hyperlink w:anchor="co_hn_anchor_F41954121869_1">
        <w:r>
          <w:rPr>
            <w:rFonts w:ascii="Times New Roman" w:hAnsi="Times New Roman"/>
            <w:b/>
            <w:color w:val="252525"/>
            <w:sz w:val="20"/>
            <w:bdr w:val="none" w:sz="0" w:space="2" w:color="auto"/>
            <w:vertAlign w:val="superscript"/>
          </w:rPr>
          <w:t>[4]</w:t>
        </w:r>
      </w:hyperlink>
      <w:r>
        <w:rPr>
          <w:rFonts w:ascii="Times New Roman" w:hAnsi="Times New Roman"/>
          <w:color w:val="1F1F1F"/>
          <w:sz w:val="20"/>
        </w:rPr>
        <w:t xml:space="preserve"> We conclude that in the field of public education the doctrine of ‘separate but equal’ has no place. Separate educational facilities are inherently unequal. </w:t>
      </w:r>
      <w:r w:rsidRPr="0052317A">
        <w:rPr>
          <w:rFonts w:ascii="Times New Roman" w:hAnsi="Times New Roman"/>
          <w:color w:val="1F1F1F"/>
          <w:sz w:val="20"/>
          <w:highlight w:val="yellow"/>
        </w:rPr>
        <w:t xml:space="preserve">Therefore, we hold that the plaintiffs and others similarly situated for whom the actions have been brought are, by reason of the segregation complained of, deprived of the equal protection of the laws guaranteed by the Fourteenth </w:t>
      </w:r>
      <w:commentRangeStart w:id="37"/>
      <w:r w:rsidRPr="0052317A">
        <w:rPr>
          <w:rFonts w:ascii="Times New Roman" w:hAnsi="Times New Roman"/>
          <w:color w:val="1F1F1F"/>
          <w:sz w:val="20"/>
          <w:highlight w:val="yellow"/>
        </w:rPr>
        <w:t>Amendment</w:t>
      </w:r>
      <w:commentRangeEnd w:id="37"/>
      <w:r w:rsidR="0052317A" w:rsidRPr="0052317A">
        <w:rPr>
          <w:rStyle w:val="CommentReference"/>
          <w:rFonts w:ascii="Times New Roman" w:hAnsi="Times New Roman"/>
          <w:color w:val="1F1F1F"/>
          <w:sz w:val="20"/>
          <w:szCs w:val="24"/>
          <w:highlight w:val="yellow"/>
        </w:rPr>
        <w:commentReference w:id="37"/>
      </w:r>
      <w:r w:rsidRPr="0052317A">
        <w:rPr>
          <w:rFonts w:ascii="Times New Roman" w:hAnsi="Times New Roman"/>
          <w:color w:val="1F1F1F"/>
          <w:sz w:val="20"/>
          <w:highlight w:val="yellow"/>
        </w:rPr>
        <w:t>.</w:t>
      </w:r>
      <w:r>
        <w:rPr>
          <w:rFonts w:ascii="Times New Roman" w:hAnsi="Times New Roman"/>
          <w:color w:val="1F1F1F"/>
          <w:sz w:val="20"/>
        </w:rPr>
        <w:t xml:space="preserve"> This disposition makes unnecessary any discussion whether such segregation also violates the Due Process Clause of the Fourteenth Amendment.</w:t>
      </w:r>
      <w:bookmarkStart w:id="38" w:name="co_fnRef_B012121954121869_ID0EL3AG_1"/>
      <w:r>
        <w:fldChar w:fldCharType="begin"/>
      </w:r>
      <w:r>
        <w:instrText>HYPERLINK \l "co_footnote_B012121954121869_1" \h</w:instrText>
      </w:r>
      <w:r>
        <w:fldChar w:fldCharType="separate"/>
      </w:r>
      <w:r>
        <w:rPr>
          <w:rFonts w:ascii="Times New Roman" w:hAnsi="Times New Roman"/>
          <w:color w:val="006FC4"/>
          <w:sz w:val="16"/>
          <w:vertAlign w:val="superscript"/>
        </w:rPr>
        <w:t>12</w:t>
      </w:r>
      <w:r>
        <w:fldChar w:fldCharType="end"/>
      </w:r>
      <w:bookmarkEnd w:id="38"/>
    </w:p>
    <w:p w14:paraId="46D15054" w14:textId="77777777" w:rsidR="009E15BD" w:rsidRDefault="00000000">
      <w:pPr>
        <w:spacing w:after="0" w:line="275" w:lineRule="atLeast"/>
        <w:jc w:val="both"/>
      </w:pPr>
      <w:r>
        <w:rPr>
          <w:rFonts w:ascii="Times New Roman" w:hAnsi="Times New Roman"/>
          <w:color w:val="1F1F1F"/>
          <w:sz w:val="20"/>
        </w:rPr>
        <w:t> </w:t>
      </w:r>
    </w:p>
    <w:p w14:paraId="67038898" w14:textId="77777777" w:rsidR="009E15BD" w:rsidRDefault="00000000">
      <w:pPr>
        <w:spacing w:after="0" w:line="275" w:lineRule="atLeast"/>
        <w:jc w:val="both"/>
      </w:pPr>
      <w:hyperlink w:anchor="co_hn_anchor_F51954121869_1">
        <w:r>
          <w:rPr>
            <w:rFonts w:ascii="Times New Roman" w:hAnsi="Times New Roman"/>
            <w:b/>
            <w:color w:val="252525"/>
            <w:sz w:val="20"/>
            <w:bdr w:val="none" w:sz="0" w:space="2" w:color="auto"/>
            <w:vertAlign w:val="superscript"/>
          </w:rPr>
          <w:t>[5]</w:t>
        </w:r>
      </w:hyperlink>
      <w:r>
        <w:rPr>
          <w:rFonts w:ascii="Times New Roman" w:hAnsi="Times New Roman"/>
          <w:color w:val="1F1F1F"/>
          <w:sz w:val="20"/>
        </w:rPr>
        <w:t xml:space="preserve"> </w:t>
      </w:r>
      <w:r w:rsidRPr="0052317A">
        <w:rPr>
          <w:rFonts w:ascii="Times New Roman" w:hAnsi="Times New Roman"/>
          <w:color w:val="1F1F1F"/>
          <w:sz w:val="20"/>
          <w:highlight w:val="yellow"/>
        </w:rPr>
        <w:t>Because these are class actions, because of the wide applicability of this decision, and because of the great variety of local conditions, the formulation of decrees in these cases presents problems of considerable complexity. On reargument, the consideration</w:t>
      </w:r>
      <w:r>
        <w:rPr>
          <w:rFonts w:ascii="Times New Roman" w:hAnsi="Times New Roman"/>
          <w:color w:val="1F1F1F"/>
          <w:sz w:val="20"/>
        </w:rPr>
        <w:t xml:space="preserve"> of appropriate relief was necessarily subordinated to the primary question—the constitutionality of segregation in public education. We have now announced that such segregation is a denial of the equal protection of the laws. In order that we may have the full assistance of the parties in formulating decrees, the cases will be restored to the docket, and the parties are requested to present further argument on Questions 4 and 5 previously propounded by the Court for the reargument this Term.</w:t>
      </w:r>
      <w:bookmarkStart w:id="39" w:name="co_fnRef_B013131954121869_ID0E44AG_1"/>
      <w:r>
        <w:fldChar w:fldCharType="begin"/>
      </w:r>
      <w:r>
        <w:instrText>HYPERLINK \l "co_footnote_B013131954121869_1" \h</w:instrText>
      </w:r>
      <w:r>
        <w:fldChar w:fldCharType="separate"/>
      </w:r>
      <w:r>
        <w:rPr>
          <w:rFonts w:ascii="Times New Roman" w:hAnsi="Times New Roman"/>
          <w:color w:val="006FC4"/>
          <w:sz w:val="16"/>
          <w:vertAlign w:val="superscript"/>
        </w:rPr>
        <w:t>13</w:t>
      </w:r>
      <w:r>
        <w:fldChar w:fldCharType="end"/>
      </w:r>
      <w:bookmarkEnd w:id="39"/>
      <w:r>
        <w:rPr>
          <w:rFonts w:ascii="Times New Roman" w:hAnsi="Times New Roman"/>
          <w:color w:val="1F1F1F"/>
          <w:sz w:val="20"/>
        </w:rPr>
        <w:t xml:space="preserve"> The Attorney General </w:t>
      </w:r>
      <w:bookmarkStart w:id="40" w:name="co_pp_sp_780_496_1"/>
      <w:r>
        <w:rPr>
          <w:rFonts w:ascii="Times New Roman" w:hAnsi="Times New Roman"/>
          <w:b/>
          <w:color w:val="000000"/>
          <w:sz w:val="20"/>
        </w:rPr>
        <w:t>*496</w:t>
      </w:r>
      <w:bookmarkEnd w:id="40"/>
      <w:r>
        <w:rPr>
          <w:rFonts w:ascii="Times New Roman" w:hAnsi="Times New Roman"/>
          <w:color w:val="1F1F1F"/>
          <w:sz w:val="20"/>
        </w:rPr>
        <w:t xml:space="preserve"> of the United States is again invited to participate. The Attorneys General of the states requiring or permitting segregation in public education will also be permitted to appear as amici curiae upon request to do so by September 15, 1954, and submission of briefs by October 1, 1954.</w:t>
      </w:r>
      <w:bookmarkStart w:id="41" w:name="co_fnRef_B014141954121869_ID0EP5AG_1"/>
      <w:r>
        <w:fldChar w:fldCharType="begin"/>
      </w:r>
      <w:r>
        <w:instrText>HYPERLINK \l "co_footnote_B014141954121869_1" \h</w:instrText>
      </w:r>
      <w:r>
        <w:fldChar w:fldCharType="separate"/>
      </w:r>
      <w:r>
        <w:rPr>
          <w:rFonts w:ascii="Times New Roman" w:hAnsi="Times New Roman"/>
          <w:color w:val="006FC4"/>
          <w:sz w:val="16"/>
          <w:vertAlign w:val="superscript"/>
        </w:rPr>
        <w:t>14</w:t>
      </w:r>
      <w:r>
        <w:fldChar w:fldCharType="end"/>
      </w:r>
      <w:bookmarkEnd w:id="41"/>
    </w:p>
    <w:p w14:paraId="0D9C2682" w14:textId="77777777" w:rsidR="009E15BD" w:rsidRDefault="00000000">
      <w:pPr>
        <w:spacing w:after="0" w:line="275" w:lineRule="atLeast"/>
        <w:jc w:val="both"/>
      </w:pPr>
      <w:r>
        <w:rPr>
          <w:rFonts w:ascii="Times New Roman" w:hAnsi="Times New Roman"/>
          <w:color w:val="1F1F1F"/>
          <w:sz w:val="20"/>
        </w:rPr>
        <w:t> </w:t>
      </w:r>
    </w:p>
    <w:p w14:paraId="29A61220" w14:textId="412C8B40" w:rsidR="009E15BD" w:rsidRDefault="00000000" w:rsidP="0081191B">
      <w:pPr>
        <w:spacing w:before="200" w:after="0" w:line="275" w:lineRule="atLeast"/>
        <w:jc w:val="both"/>
        <w:sectPr w:rsidR="009E15BD">
          <w:headerReference w:type="even" r:id="rId23"/>
          <w:headerReference w:type="default" r:id="rId24"/>
          <w:footerReference w:type="even" r:id="rId25"/>
          <w:footerReference w:type="default" r:id="rId26"/>
          <w:pgSz w:w="12240" w:h="15840"/>
          <w:pgMar w:top="1080" w:right="1080" w:bottom="1080" w:left="1080" w:header="0" w:footer="0" w:gutter="0"/>
          <w:pgNumType w:start="1"/>
          <w:cols w:num="2" w:space="240"/>
        </w:sectPr>
      </w:pPr>
      <w:r>
        <w:rPr>
          <w:rFonts w:ascii="Times New Roman" w:hAnsi="Times New Roman"/>
          <w:color w:val="1F1F1F"/>
          <w:sz w:val="20"/>
        </w:rPr>
        <w:t>It is so ordered.</w:t>
      </w:r>
    </w:p>
    <w:p w14:paraId="63121769" w14:textId="77777777" w:rsidR="009E15BD" w:rsidRDefault="009E15BD">
      <w:pPr>
        <w:spacing w:after="0" w:line="240" w:lineRule="auto"/>
        <w:rPr>
          <w:sz w:val="60"/>
        </w:rPr>
      </w:pPr>
    </w:p>
    <w:tbl>
      <w:tblPr>
        <w:tblW w:w="0" w:type="auto"/>
        <w:tblInd w:w="10" w:type="dxa"/>
        <w:tblLayout w:type="fixed"/>
        <w:tblCellMar>
          <w:left w:w="10" w:type="dxa"/>
          <w:right w:w="10" w:type="dxa"/>
        </w:tblCellMar>
        <w:tblLook w:val="0000" w:firstRow="0" w:lastRow="0" w:firstColumn="0" w:lastColumn="0" w:noHBand="0" w:noVBand="0"/>
      </w:tblPr>
      <w:tblGrid>
        <w:gridCol w:w="450"/>
        <w:gridCol w:w="9600"/>
      </w:tblGrid>
      <w:tr w:rsidR="0052317A" w14:paraId="0B018FD7" w14:textId="77777777" w:rsidTr="0052317A">
        <w:tblPrEx>
          <w:tblCellMar>
            <w:top w:w="0" w:type="dxa"/>
            <w:bottom w:w="0" w:type="dxa"/>
          </w:tblCellMar>
        </w:tblPrEx>
        <w:tc>
          <w:tcPr>
            <w:tcW w:w="10050" w:type="dxa"/>
            <w:gridSpan w:val="2"/>
            <w:tcBorders>
              <w:top w:val="single" w:sz="18" w:space="0" w:color="DADADA"/>
            </w:tcBorders>
            <w:tcMar>
              <w:bottom w:w="300" w:type="dxa"/>
            </w:tcMar>
          </w:tcPr>
          <w:p w14:paraId="4819036A" w14:textId="77777777" w:rsidR="009E15BD" w:rsidRDefault="00000000">
            <w:pPr>
              <w:spacing w:after="0" w:line="275" w:lineRule="atLeast"/>
              <w:jc w:val="center"/>
            </w:pPr>
            <w:r>
              <w:rPr>
                <w:rFonts w:ascii="Times New Roman" w:hAnsi="Times New Roman"/>
                <w:b/>
                <w:color w:val="000000"/>
                <w:sz w:val="22"/>
              </w:rPr>
              <w:t>Footnotes</w:t>
            </w:r>
          </w:p>
        </w:tc>
      </w:tr>
      <w:bookmarkStart w:id="42" w:name="co_footnote_B00111954121869_1"/>
      <w:tr w:rsidR="009E15BD" w14:paraId="26C15289" w14:textId="77777777" w:rsidTr="0052317A">
        <w:tblPrEx>
          <w:tblCellMar>
            <w:top w:w="0" w:type="dxa"/>
            <w:bottom w:w="0" w:type="dxa"/>
          </w:tblCellMar>
        </w:tblPrEx>
        <w:tc>
          <w:tcPr>
            <w:tcW w:w="450" w:type="dxa"/>
          </w:tcPr>
          <w:p w14:paraId="55F7E267" w14:textId="77777777" w:rsidR="009E15BD" w:rsidRDefault="00000000">
            <w:pPr>
              <w:spacing w:after="0" w:line="275" w:lineRule="atLeast"/>
            </w:pPr>
            <w:r>
              <w:fldChar w:fldCharType="begin"/>
            </w:r>
            <w:r>
              <w:instrText>HYPERLINK \l "co_fnRef_B00111954121869_ID0E1PAE_1" \h</w:instrText>
            </w:r>
            <w:r>
              <w:fldChar w:fldCharType="separate"/>
            </w:r>
            <w:r>
              <w:rPr>
                <w:rFonts w:ascii="Times New Roman" w:hAnsi="Times New Roman"/>
                <w:color w:val="006FC4"/>
                <w:sz w:val="20"/>
                <w:vertAlign w:val="superscript"/>
              </w:rPr>
              <w:t>1</w:t>
            </w:r>
            <w:r>
              <w:fldChar w:fldCharType="end"/>
            </w:r>
            <w:bookmarkEnd w:id="42"/>
          </w:p>
        </w:tc>
        <w:tc>
          <w:tcPr>
            <w:tcW w:w="9600" w:type="dxa"/>
          </w:tcPr>
          <w:p w14:paraId="6C2A1DAC" w14:textId="36C9E831" w:rsidR="009E15BD" w:rsidRPr="0052317A" w:rsidRDefault="0052317A">
            <w:pPr>
              <w:pBdr>
                <w:bottom w:val="none" w:sz="0" w:space="8" w:color="auto"/>
              </w:pBdr>
              <w:spacing w:after="0" w:line="275" w:lineRule="atLeast"/>
              <w:jc w:val="both"/>
            </w:pPr>
            <w:r w:rsidRPr="0052317A">
              <w:t>DESCRIPTION OF HOLDINGS OF EACH CASE ON APPEAL REMOVED</w:t>
            </w:r>
          </w:p>
        </w:tc>
      </w:tr>
      <w:bookmarkStart w:id="43" w:name="co_footnote_B00221954121869_1"/>
      <w:tr w:rsidR="009E15BD" w14:paraId="77DF9BA1" w14:textId="77777777" w:rsidTr="0052317A">
        <w:tblPrEx>
          <w:tblCellMar>
            <w:top w:w="0" w:type="dxa"/>
            <w:bottom w:w="0" w:type="dxa"/>
          </w:tblCellMar>
        </w:tblPrEx>
        <w:tc>
          <w:tcPr>
            <w:tcW w:w="450" w:type="dxa"/>
          </w:tcPr>
          <w:p w14:paraId="61881FC5" w14:textId="77777777" w:rsidR="009E15BD" w:rsidRDefault="00000000">
            <w:pPr>
              <w:spacing w:after="0" w:line="275" w:lineRule="atLeast"/>
            </w:pPr>
            <w:r>
              <w:fldChar w:fldCharType="begin"/>
            </w:r>
            <w:r>
              <w:instrText>HYPERLINK \l "co_fnRef_B00221954121869_ID0E65AE_1" \h</w:instrText>
            </w:r>
            <w:r>
              <w:fldChar w:fldCharType="separate"/>
            </w:r>
            <w:r>
              <w:rPr>
                <w:rFonts w:ascii="Times New Roman" w:hAnsi="Times New Roman"/>
                <w:color w:val="006FC4"/>
                <w:sz w:val="20"/>
                <w:vertAlign w:val="superscript"/>
              </w:rPr>
              <w:t>2</w:t>
            </w:r>
            <w:r>
              <w:fldChar w:fldCharType="end"/>
            </w:r>
            <w:bookmarkEnd w:id="43"/>
          </w:p>
        </w:tc>
        <w:tc>
          <w:tcPr>
            <w:tcW w:w="9600" w:type="dxa"/>
          </w:tcPr>
          <w:p w14:paraId="3E37A5C7" w14:textId="23A31EE5" w:rsidR="009E15BD" w:rsidRDefault="009E15BD">
            <w:pPr>
              <w:pBdr>
                <w:bottom w:val="none" w:sz="0" w:space="8" w:color="auto"/>
              </w:pBdr>
              <w:spacing w:after="0" w:line="275" w:lineRule="atLeast"/>
              <w:jc w:val="both"/>
            </w:pPr>
          </w:p>
        </w:tc>
      </w:tr>
      <w:bookmarkStart w:id="44" w:name="co_footnote_B00331954121869_1"/>
      <w:tr w:rsidR="009E15BD" w14:paraId="395D9936" w14:textId="77777777" w:rsidTr="0052317A">
        <w:tblPrEx>
          <w:tblCellMar>
            <w:top w:w="0" w:type="dxa"/>
            <w:bottom w:w="0" w:type="dxa"/>
          </w:tblCellMar>
        </w:tblPrEx>
        <w:tc>
          <w:tcPr>
            <w:tcW w:w="450" w:type="dxa"/>
          </w:tcPr>
          <w:p w14:paraId="5862759C" w14:textId="77777777" w:rsidR="009E15BD" w:rsidRDefault="00000000">
            <w:pPr>
              <w:spacing w:after="0" w:line="275" w:lineRule="atLeast"/>
            </w:pPr>
            <w:r>
              <w:fldChar w:fldCharType="begin"/>
            </w:r>
            <w:r>
              <w:instrText>HYPERLINK \l "co_fnRef_B00331954121869_ID0EJ6AE_1" \h</w:instrText>
            </w:r>
            <w:r>
              <w:fldChar w:fldCharType="separate"/>
            </w:r>
            <w:r>
              <w:rPr>
                <w:rFonts w:ascii="Times New Roman" w:hAnsi="Times New Roman"/>
                <w:color w:val="006FC4"/>
                <w:sz w:val="20"/>
                <w:vertAlign w:val="superscript"/>
              </w:rPr>
              <w:t>3</w:t>
            </w:r>
            <w:r>
              <w:fldChar w:fldCharType="end"/>
            </w:r>
            <w:bookmarkEnd w:id="44"/>
          </w:p>
        </w:tc>
        <w:tc>
          <w:tcPr>
            <w:tcW w:w="9600" w:type="dxa"/>
          </w:tcPr>
          <w:p w14:paraId="5446C0C1" w14:textId="673BD4A3" w:rsidR="009E15BD" w:rsidRDefault="0081191B">
            <w:pPr>
              <w:pBdr>
                <w:bottom w:val="none" w:sz="0" w:space="8" w:color="auto"/>
              </w:pBdr>
              <w:spacing w:after="0" w:line="275" w:lineRule="atLeast"/>
              <w:jc w:val="both"/>
            </w:pPr>
            <w:r>
              <w:t>DESCRIPTION OF EDUCATION IN THE US WHEN 14</w:t>
            </w:r>
            <w:r w:rsidRPr="0081191B">
              <w:rPr>
                <w:vertAlign w:val="superscript"/>
              </w:rPr>
              <w:t>TH</w:t>
            </w:r>
            <w:r>
              <w:t xml:space="preserve"> AMENDMENT ENACTED</w:t>
            </w:r>
          </w:p>
        </w:tc>
      </w:tr>
      <w:bookmarkStart w:id="45" w:name="co_footnote_B00441954121869_1"/>
      <w:tr w:rsidR="009E15BD" w14:paraId="2D5FFD7A" w14:textId="77777777" w:rsidTr="0052317A">
        <w:tblPrEx>
          <w:tblCellMar>
            <w:top w:w="0" w:type="dxa"/>
            <w:bottom w:w="0" w:type="dxa"/>
          </w:tblCellMar>
        </w:tblPrEx>
        <w:tc>
          <w:tcPr>
            <w:tcW w:w="450" w:type="dxa"/>
          </w:tcPr>
          <w:p w14:paraId="56CB7213" w14:textId="77777777" w:rsidR="009E15BD" w:rsidRDefault="00000000">
            <w:pPr>
              <w:spacing w:after="0" w:line="275" w:lineRule="atLeast"/>
            </w:pPr>
            <w:r>
              <w:fldChar w:fldCharType="begin"/>
            </w:r>
            <w:r>
              <w:instrText>HYPERLINK \l "co_fnRef_B00441954121869_ID0EFDAG_1" \h</w:instrText>
            </w:r>
            <w:r>
              <w:fldChar w:fldCharType="separate"/>
            </w:r>
            <w:r>
              <w:rPr>
                <w:rFonts w:ascii="Times New Roman" w:hAnsi="Times New Roman"/>
                <w:color w:val="006FC4"/>
                <w:sz w:val="20"/>
                <w:vertAlign w:val="superscript"/>
              </w:rPr>
              <w:t>4</w:t>
            </w:r>
            <w:r>
              <w:fldChar w:fldCharType="end"/>
            </w:r>
            <w:bookmarkEnd w:id="45"/>
          </w:p>
        </w:tc>
        <w:tc>
          <w:tcPr>
            <w:tcW w:w="9600" w:type="dxa"/>
          </w:tcPr>
          <w:p w14:paraId="55E42B5A" w14:textId="77777777" w:rsidR="009E15BD" w:rsidRPr="0052317A" w:rsidRDefault="00000000">
            <w:pPr>
              <w:pBdr>
                <w:bottom w:val="none" w:sz="0" w:space="8" w:color="auto"/>
              </w:pBdr>
              <w:spacing w:after="0" w:line="275" w:lineRule="atLeast"/>
              <w:jc w:val="both"/>
              <w:rPr>
                <w:highlight w:val="yellow"/>
              </w:rPr>
            </w:pPr>
            <w:r w:rsidRPr="0081191B">
              <w:rPr>
                <w:rFonts w:ascii="Times New Roman" w:hAnsi="Times New Roman"/>
                <w:color w:val="000000"/>
                <w:sz w:val="20"/>
              </w:rPr>
              <w:t xml:space="preserve">For a general study of the development of public education prior to the Amendment, see Butts and Cremin, A History of Education in American Culture (1953), Pts. I, II: Cubberley, Public Education in the United States (1934 ed.), cc. II—XII. School practices current at the time of the adoption of the Fourteenth Amendment are described in Butts and Cremin, supra, at 269—275; Cubberley, supra, at 288—339, 408—431; Knight, Public Education in the South (1922), cc. VIII, IX. See also H. Ex. Doc. No. 315, 41st Cong., 2d Sess. (1871). Although the demand for free public schools followed substantially the same pattern in both the North and the South, the development in the South did not begin to gain momentum until about 1850, some twenty years after that in the North. The reasons for the somewhat slower development in the South (e.g., the rural character of the South and the different regional attitudes toward state assistance) are well explained in Cubberley, supra, at 408—423. In the country as a whole, but particularly in the South, the War virtually stopped all progress in public education. Id., at 427—428. The low status of Negro education in all sections of the country, both before and immediately after the War, is described in Beale, A History of Freedom of Teaching in American Schools (1941), 112—132, 175—195. Compulsory school attendance laws were not generally adopted until after the ratification of the Fourteenth Amendment, and it was not until 1918 that such laws were in force in all the states. Cubberley, </w:t>
            </w:r>
            <w:hyperlink r:id="rId27">
              <w:r w:rsidRPr="0081191B">
                <w:rPr>
                  <w:rFonts w:ascii="Times New Roman" w:hAnsi="Times New Roman"/>
                  <w:color w:val="006FC4"/>
                  <w:sz w:val="20"/>
                </w:rPr>
                <w:t>supra, at 563—565</w:t>
              </w:r>
            </w:hyperlink>
            <w:r w:rsidRPr="0081191B">
              <w:rPr>
                <w:rFonts w:ascii="Times New Roman" w:hAnsi="Times New Roman"/>
                <w:color w:val="000000"/>
                <w:sz w:val="20"/>
              </w:rPr>
              <w:t>.</w:t>
            </w:r>
          </w:p>
        </w:tc>
      </w:tr>
      <w:bookmarkStart w:id="46" w:name="co_footnote_B00551954121869_1"/>
      <w:tr w:rsidR="009E15BD" w14:paraId="7DF894EA" w14:textId="77777777" w:rsidTr="0052317A">
        <w:tblPrEx>
          <w:tblCellMar>
            <w:top w:w="0" w:type="dxa"/>
            <w:bottom w:w="0" w:type="dxa"/>
          </w:tblCellMar>
        </w:tblPrEx>
        <w:tc>
          <w:tcPr>
            <w:tcW w:w="450" w:type="dxa"/>
          </w:tcPr>
          <w:p w14:paraId="568C0CBB" w14:textId="77777777" w:rsidR="009E15BD" w:rsidRDefault="00000000">
            <w:pPr>
              <w:spacing w:after="0" w:line="275" w:lineRule="atLeast"/>
            </w:pPr>
            <w:r>
              <w:fldChar w:fldCharType="begin"/>
            </w:r>
            <w:r>
              <w:instrText>HYPERLINK \l "co_fnRef_B00551954121869_ID0EDHAG_1" \h</w:instrText>
            </w:r>
            <w:r>
              <w:fldChar w:fldCharType="separate"/>
            </w:r>
            <w:r>
              <w:rPr>
                <w:rFonts w:ascii="Times New Roman" w:hAnsi="Times New Roman"/>
                <w:color w:val="006FC4"/>
                <w:sz w:val="20"/>
                <w:vertAlign w:val="superscript"/>
              </w:rPr>
              <w:t>5</w:t>
            </w:r>
            <w:r>
              <w:fldChar w:fldCharType="end"/>
            </w:r>
            <w:bookmarkEnd w:id="46"/>
          </w:p>
        </w:tc>
        <w:tc>
          <w:tcPr>
            <w:tcW w:w="9600" w:type="dxa"/>
          </w:tcPr>
          <w:p w14:paraId="53AF0FA8" w14:textId="4E249736" w:rsidR="009E15BD" w:rsidRDefault="009E15BD">
            <w:pPr>
              <w:pBdr>
                <w:bottom w:val="none" w:sz="0" w:space="8" w:color="auto"/>
              </w:pBdr>
              <w:spacing w:after="0" w:line="275" w:lineRule="atLeast"/>
              <w:jc w:val="both"/>
            </w:pPr>
          </w:p>
        </w:tc>
      </w:tr>
      <w:bookmarkStart w:id="47" w:name="co_footnote_B00661954121869_1"/>
      <w:tr w:rsidR="009E15BD" w14:paraId="78AACE06" w14:textId="77777777" w:rsidTr="0052317A">
        <w:tblPrEx>
          <w:tblCellMar>
            <w:top w:w="0" w:type="dxa"/>
            <w:bottom w:w="0" w:type="dxa"/>
          </w:tblCellMar>
        </w:tblPrEx>
        <w:tc>
          <w:tcPr>
            <w:tcW w:w="450" w:type="dxa"/>
          </w:tcPr>
          <w:p w14:paraId="4475E2FF" w14:textId="77777777" w:rsidR="009E15BD" w:rsidRDefault="00000000">
            <w:pPr>
              <w:spacing w:after="0" w:line="275" w:lineRule="atLeast"/>
            </w:pPr>
            <w:r>
              <w:fldChar w:fldCharType="begin"/>
            </w:r>
            <w:r>
              <w:instrText>HYPERLINK \l "co_fnRef_B00661954121869_ID0EXHAG_1" \h</w:instrText>
            </w:r>
            <w:r>
              <w:fldChar w:fldCharType="separate"/>
            </w:r>
            <w:r>
              <w:rPr>
                <w:rFonts w:ascii="Times New Roman" w:hAnsi="Times New Roman"/>
                <w:color w:val="006FC4"/>
                <w:sz w:val="20"/>
                <w:vertAlign w:val="superscript"/>
              </w:rPr>
              <w:t>6</w:t>
            </w:r>
            <w:r>
              <w:fldChar w:fldCharType="end"/>
            </w:r>
            <w:bookmarkEnd w:id="47"/>
          </w:p>
        </w:tc>
        <w:tc>
          <w:tcPr>
            <w:tcW w:w="9600" w:type="dxa"/>
          </w:tcPr>
          <w:p w14:paraId="79923291" w14:textId="7853ABEB" w:rsidR="009E15BD" w:rsidRDefault="0052317A">
            <w:pPr>
              <w:pBdr>
                <w:bottom w:val="none" w:sz="0" w:space="8" w:color="auto"/>
              </w:pBdr>
              <w:spacing w:after="0" w:line="275" w:lineRule="atLeast"/>
              <w:jc w:val="both"/>
            </w:pPr>
            <w:r>
              <w:t>DESCRIPTION OF OTHER PRIOR CASE HOLDINGS REMOVED</w:t>
            </w:r>
          </w:p>
        </w:tc>
      </w:tr>
      <w:bookmarkStart w:id="48" w:name="co_footnote_B00771954121869_1"/>
      <w:tr w:rsidR="009E15BD" w14:paraId="77DDCE05" w14:textId="77777777" w:rsidTr="0052317A">
        <w:tblPrEx>
          <w:tblCellMar>
            <w:top w:w="0" w:type="dxa"/>
            <w:bottom w:w="0" w:type="dxa"/>
          </w:tblCellMar>
        </w:tblPrEx>
        <w:tc>
          <w:tcPr>
            <w:tcW w:w="450" w:type="dxa"/>
          </w:tcPr>
          <w:p w14:paraId="4BAEA4DB" w14:textId="77777777" w:rsidR="009E15BD" w:rsidRDefault="00000000">
            <w:pPr>
              <w:spacing w:after="0" w:line="275" w:lineRule="atLeast"/>
            </w:pPr>
            <w:r>
              <w:fldChar w:fldCharType="begin"/>
            </w:r>
            <w:r>
              <w:instrText>HYPERLINK \l "co_fnRef_B00771954121869_ID0EHIAG_1" \h</w:instrText>
            </w:r>
            <w:r>
              <w:fldChar w:fldCharType="separate"/>
            </w:r>
            <w:r>
              <w:rPr>
                <w:rFonts w:ascii="Times New Roman" w:hAnsi="Times New Roman"/>
                <w:color w:val="006FC4"/>
                <w:sz w:val="20"/>
                <w:vertAlign w:val="superscript"/>
              </w:rPr>
              <w:t>7</w:t>
            </w:r>
            <w:r>
              <w:fldChar w:fldCharType="end"/>
            </w:r>
            <w:bookmarkEnd w:id="48"/>
          </w:p>
        </w:tc>
        <w:tc>
          <w:tcPr>
            <w:tcW w:w="9600" w:type="dxa"/>
          </w:tcPr>
          <w:p w14:paraId="05F735F6" w14:textId="178135FA" w:rsidR="009E15BD" w:rsidRDefault="009E15BD">
            <w:pPr>
              <w:pBdr>
                <w:bottom w:val="none" w:sz="0" w:space="8" w:color="auto"/>
              </w:pBdr>
              <w:spacing w:after="0" w:line="275" w:lineRule="atLeast"/>
              <w:jc w:val="both"/>
            </w:pPr>
          </w:p>
        </w:tc>
      </w:tr>
      <w:bookmarkStart w:id="49" w:name="co_footnote_B00881954121869_1"/>
      <w:tr w:rsidR="009E15BD" w14:paraId="6649FA59" w14:textId="77777777" w:rsidTr="0052317A">
        <w:tblPrEx>
          <w:tblCellMar>
            <w:top w:w="0" w:type="dxa"/>
            <w:bottom w:w="0" w:type="dxa"/>
          </w:tblCellMar>
        </w:tblPrEx>
        <w:tc>
          <w:tcPr>
            <w:tcW w:w="450" w:type="dxa"/>
          </w:tcPr>
          <w:p w14:paraId="133583BD" w14:textId="77777777" w:rsidR="009E15BD" w:rsidRDefault="00000000">
            <w:pPr>
              <w:spacing w:after="0" w:line="275" w:lineRule="atLeast"/>
            </w:pPr>
            <w:r>
              <w:fldChar w:fldCharType="begin"/>
            </w:r>
            <w:r>
              <w:instrText>HYPERLINK \l "co_fnRef_B00881954121869_ID0E5IAG_1" \h</w:instrText>
            </w:r>
            <w:r>
              <w:fldChar w:fldCharType="separate"/>
            </w:r>
            <w:r>
              <w:rPr>
                <w:rFonts w:ascii="Times New Roman" w:hAnsi="Times New Roman"/>
                <w:color w:val="006FC4"/>
                <w:sz w:val="20"/>
                <w:vertAlign w:val="superscript"/>
              </w:rPr>
              <w:t>8</w:t>
            </w:r>
            <w:r>
              <w:fldChar w:fldCharType="end"/>
            </w:r>
            <w:bookmarkEnd w:id="49"/>
          </w:p>
        </w:tc>
        <w:tc>
          <w:tcPr>
            <w:tcW w:w="9600" w:type="dxa"/>
          </w:tcPr>
          <w:p w14:paraId="070BAF1F" w14:textId="77777777" w:rsidR="009E15BD" w:rsidRDefault="00000000">
            <w:pPr>
              <w:pBdr>
                <w:bottom w:val="none" w:sz="0" w:space="8" w:color="auto"/>
              </w:pBdr>
              <w:spacing w:after="0" w:line="275" w:lineRule="atLeast"/>
              <w:jc w:val="both"/>
            </w:pPr>
            <w:r w:rsidRPr="0052317A">
              <w:rPr>
                <w:rFonts w:ascii="Times New Roman" w:hAnsi="Times New Roman"/>
                <w:color w:val="000000"/>
                <w:sz w:val="20"/>
                <w:highlight w:val="magenta"/>
              </w:rPr>
              <w:t xml:space="preserve">In the Cumming case, Negro taxpayers sought an injunction requiring the defendant school board to discontinue the operation of a high school for white children until the board resumed operation of a high school for Negro children. Similarly, in the Gong Lum case, the plaintiff, a child of Chinese descent, contended only that state authorities had misapplied the doctrine by classifying him with Negro children and requiring him to attend a Negro </w:t>
            </w:r>
            <w:commentRangeStart w:id="50"/>
            <w:r w:rsidRPr="0052317A">
              <w:rPr>
                <w:rFonts w:ascii="Times New Roman" w:hAnsi="Times New Roman"/>
                <w:color w:val="000000"/>
                <w:sz w:val="20"/>
                <w:highlight w:val="magenta"/>
              </w:rPr>
              <w:t>school</w:t>
            </w:r>
            <w:commentRangeEnd w:id="50"/>
            <w:r w:rsidR="0052317A" w:rsidRPr="0052317A">
              <w:rPr>
                <w:rStyle w:val="CommentReference"/>
                <w:rFonts w:ascii="Times New Roman" w:hAnsi="Times New Roman"/>
                <w:color w:val="000000"/>
                <w:sz w:val="20"/>
                <w:szCs w:val="24"/>
                <w:highlight w:val="magenta"/>
              </w:rPr>
              <w:commentReference w:id="50"/>
            </w:r>
            <w:r w:rsidRPr="0052317A">
              <w:rPr>
                <w:rFonts w:ascii="Times New Roman" w:hAnsi="Times New Roman"/>
                <w:color w:val="000000"/>
                <w:sz w:val="20"/>
                <w:highlight w:val="magenta"/>
              </w:rPr>
              <w:t>.</w:t>
            </w:r>
          </w:p>
        </w:tc>
      </w:tr>
      <w:bookmarkStart w:id="51" w:name="co_footnote_B00991954121869_1"/>
      <w:tr w:rsidR="009E15BD" w14:paraId="41B295D5" w14:textId="77777777" w:rsidTr="0052317A">
        <w:tblPrEx>
          <w:tblCellMar>
            <w:top w:w="0" w:type="dxa"/>
            <w:bottom w:w="0" w:type="dxa"/>
          </w:tblCellMar>
        </w:tblPrEx>
        <w:tc>
          <w:tcPr>
            <w:tcW w:w="450" w:type="dxa"/>
          </w:tcPr>
          <w:p w14:paraId="3F160A1D" w14:textId="77777777" w:rsidR="009E15BD" w:rsidRDefault="00000000">
            <w:pPr>
              <w:spacing w:after="0" w:line="275" w:lineRule="atLeast"/>
            </w:pPr>
            <w:r>
              <w:fldChar w:fldCharType="begin"/>
            </w:r>
            <w:r>
              <w:instrText>HYPERLINK \l "co_fnRef_B00991954121869_ID0EARAG_1" \h</w:instrText>
            </w:r>
            <w:r>
              <w:fldChar w:fldCharType="separate"/>
            </w:r>
            <w:r>
              <w:rPr>
                <w:rFonts w:ascii="Times New Roman" w:hAnsi="Times New Roman"/>
                <w:color w:val="006FC4"/>
                <w:sz w:val="20"/>
                <w:vertAlign w:val="superscript"/>
              </w:rPr>
              <w:t>9</w:t>
            </w:r>
            <w:r>
              <w:fldChar w:fldCharType="end"/>
            </w:r>
            <w:bookmarkEnd w:id="51"/>
          </w:p>
        </w:tc>
        <w:tc>
          <w:tcPr>
            <w:tcW w:w="9600" w:type="dxa"/>
          </w:tcPr>
          <w:p w14:paraId="4B8ED5F3" w14:textId="74A6C0D1" w:rsidR="009E15BD" w:rsidRDefault="009E15BD">
            <w:pPr>
              <w:pBdr>
                <w:bottom w:val="none" w:sz="0" w:space="8" w:color="auto"/>
              </w:pBdr>
              <w:spacing w:after="0" w:line="275" w:lineRule="atLeast"/>
              <w:jc w:val="both"/>
            </w:pPr>
          </w:p>
        </w:tc>
      </w:tr>
      <w:bookmarkStart w:id="52" w:name="co_footnote_B010101954121869_1"/>
      <w:tr w:rsidR="009E15BD" w14:paraId="0E93FBE6" w14:textId="77777777" w:rsidTr="0052317A">
        <w:tblPrEx>
          <w:tblCellMar>
            <w:top w:w="0" w:type="dxa"/>
            <w:bottom w:w="0" w:type="dxa"/>
          </w:tblCellMar>
        </w:tblPrEx>
        <w:tc>
          <w:tcPr>
            <w:tcW w:w="450" w:type="dxa"/>
          </w:tcPr>
          <w:p w14:paraId="7B2ADBF3" w14:textId="77777777" w:rsidR="009E15BD" w:rsidRDefault="00000000">
            <w:pPr>
              <w:spacing w:after="0" w:line="275" w:lineRule="atLeast"/>
            </w:pPr>
            <w:r>
              <w:fldChar w:fldCharType="begin"/>
            </w:r>
            <w:r>
              <w:instrText>HYPERLINK \l "co_fnRef_B010101954121869_ID0EUYAG_1" \h</w:instrText>
            </w:r>
            <w:r>
              <w:fldChar w:fldCharType="separate"/>
            </w:r>
            <w:r>
              <w:rPr>
                <w:rFonts w:ascii="Times New Roman" w:hAnsi="Times New Roman"/>
                <w:color w:val="006FC4"/>
                <w:sz w:val="20"/>
                <w:vertAlign w:val="superscript"/>
              </w:rPr>
              <w:t>10</w:t>
            </w:r>
            <w:r>
              <w:fldChar w:fldCharType="end"/>
            </w:r>
            <w:bookmarkEnd w:id="52"/>
          </w:p>
        </w:tc>
        <w:tc>
          <w:tcPr>
            <w:tcW w:w="9600" w:type="dxa"/>
          </w:tcPr>
          <w:p w14:paraId="3644F5BC" w14:textId="3739D0C9" w:rsidR="009E15BD" w:rsidRDefault="0052317A">
            <w:pPr>
              <w:pBdr>
                <w:bottom w:val="none" w:sz="0" w:space="8" w:color="auto"/>
              </w:pBdr>
              <w:spacing w:after="0" w:line="275" w:lineRule="atLeast"/>
              <w:jc w:val="both"/>
            </w:pPr>
            <w:r>
              <w:t>DESCRIPTION OF PRIOR CASE HOLDINGS REMOVED</w:t>
            </w:r>
          </w:p>
        </w:tc>
      </w:tr>
      <w:bookmarkStart w:id="53" w:name="co_footnote_B011111954121869_1"/>
      <w:tr w:rsidR="009E15BD" w14:paraId="5BC6B8DE" w14:textId="77777777" w:rsidTr="0052317A">
        <w:tblPrEx>
          <w:tblCellMar>
            <w:top w:w="0" w:type="dxa"/>
            <w:bottom w:w="0" w:type="dxa"/>
          </w:tblCellMar>
        </w:tblPrEx>
        <w:tc>
          <w:tcPr>
            <w:tcW w:w="450" w:type="dxa"/>
          </w:tcPr>
          <w:p w14:paraId="5E336EC9" w14:textId="77777777" w:rsidR="009E15BD" w:rsidRDefault="00000000">
            <w:pPr>
              <w:spacing w:after="0" w:line="275" w:lineRule="atLeast"/>
            </w:pPr>
            <w:r>
              <w:fldChar w:fldCharType="begin"/>
            </w:r>
            <w:r>
              <w:instrText>HYPERLINK \l "co_fnRef_B011111954121869_ID0EO1AG_1" \h</w:instrText>
            </w:r>
            <w:r>
              <w:fldChar w:fldCharType="separate"/>
            </w:r>
            <w:r>
              <w:rPr>
                <w:rFonts w:ascii="Times New Roman" w:hAnsi="Times New Roman"/>
                <w:color w:val="006FC4"/>
                <w:sz w:val="20"/>
                <w:vertAlign w:val="superscript"/>
              </w:rPr>
              <w:t>11</w:t>
            </w:r>
            <w:r>
              <w:fldChar w:fldCharType="end"/>
            </w:r>
            <w:bookmarkEnd w:id="53"/>
          </w:p>
        </w:tc>
        <w:tc>
          <w:tcPr>
            <w:tcW w:w="9600" w:type="dxa"/>
          </w:tcPr>
          <w:p w14:paraId="762DF2C0" w14:textId="77777777" w:rsidR="009E15BD" w:rsidRDefault="00000000">
            <w:pPr>
              <w:pBdr>
                <w:bottom w:val="none" w:sz="0" w:space="8" w:color="auto"/>
              </w:pBdr>
              <w:spacing w:after="0" w:line="275" w:lineRule="atLeast"/>
              <w:jc w:val="both"/>
            </w:pPr>
            <w:r w:rsidRPr="0052317A">
              <w:rPr>
                <w:rFonts w:ascii="Times New Roman" w:hAnsi="Times New Roman"/>
                <w:color w:val="000000"/>
                <w:sz w:val="20"/>
                <w:highlight w:val="yellow"/>
              </w:rPr>
              <w:t>K. B. Clark, Effect of Prejudice and Discrimination on Personality Development (Midcentury White House Conference on Children and Youth, 1950); Witmer and Kotinsky, Personality in the Making (1952), c. VI; Deutscher and Chein, The Psychological Effects of Enforced Segregation: A Survey of Social Science Opinion, 26 J.Psychol. 259 (1948); Chein, What are the Psychological Effects of Segregation Under Conditions of Equal Facilities?, 3 Int. J. Opinion and Attitude Res. 229 (1949); Brameld, Educational Costs, in Discrimination and National Welfare (MacIver, ed., 1949), 44—48; Frazier, The Negro in the United States (1949), 674—681. And see generally Myrdal, An American Dilemma (</w:t>
            </w:r>
            <w:commentRangeStart w:id="54"/>
            <w:r w:rsidRPr="0052317A">
              <w:rPr>
                <w:rFonts w:ascii="Times New Roman" w:hAnsi="Times New Roman"/>
                <w:color w:val="000000"/>
                <w:sz w:val="20"/>
                <w:highlight w:val="yellow"/>
              </w:rPr>
              <w:t>1944</w:t>
            </w:r>
            <w:commentRangeEnd w:id="54"/>
            <w:r w:rsidR="0081191B" w:rsidRPr="0052317A">
              <w:rPr>
                <w:rStyle w:val="CommentReference"/>
                <w:rFonts w:ascii="Times New Roman" w:hAnsi="Times New Roman"/>
                <w:color w:val="000000"/>
                <w:sz w:val="20"/>
                <w:szCs w:val="24"/>
                <w:highlight w:val="yellow"/>
              </w:rPr>
              <w:commentReference w:id="54"/>
            </w:r>
            <w:r w:rsidRPr="0052317A">
              <w:rPr>
                <w:rFonts w:ascii="Times New Roman" w:hAnsi="Times New Roman"/>
                <w:color w:val="000000"/>
                <w:sz w:val="20"/>
                <w:highlight w:val="yellow"/>
              </w:rPr>
              <w:t>).</w:t>
            </w:r>
          </w:p>
        </w:tc>
      </w:tr>
      <w:tr w:rsidR="009E15BD" w14:paraId="591A937E" w14:textId="77777777" w:rsidTr="0052317A">
        <w:tblPrEx>
          <w:tblCellMar>
            <w:top w:w="0" w:type="dxa"/>
            <w:bottom w:w="0" w:type="dxa"/>
          </w:tblCellMar>
        </w:tblPrEx>
        <w:tc>
          <w:tcPr>
            <w:tcW w:w="450" w:type="dxa"/>
          </w:tcPr>
          <w:p w14:paraId="71AF05EC" w14:textId="096016AE" w:rsidR="009E15BD" w:rsidRDefault="009E15BD">
            <w:pPr>
              <w:spacing w:after="0" w:line="275" w:lineRule="atLeast"/>
            </w:pPr>
          </w:p>
        </w:tc>
        <w:tc>
          <w:tcPr>
            <w:tcW w:w="9600" w:type="dxa"/>
          </w:tcPr>
          <w:p w14:paraId="62831070" w14:textId="1FBFCF7A" w:rsidR="009E15BD" w:rsidRDefault="009E15BD">
            <w:pPr>
              <w:pBdr>
                <w:bottom w:val="none" w:sz="0" w:space="8" w:color="auto"/>
              </w:pBdr>
              <w:spacing w:after="0" w:line="275" w:lineRule="atLeast"/>
              <w:jc w:val="both"/>
            </w:pPr>
          </w:p>
        </w:tc>
      </w:tr>
      <w:tr w:rsidR="009E15BD" w14:paraId="2ABFD0FD" w14:textId="77777777" w:rsidTr="0052317A">
        <w:tblPrEx>
          <w:tblCellMar>
            <w:top w:w="0" w:type="dxa"/>
            <w:bottom w:w="0" w:type="dxa"/>
          </w:tblCellMar>
        </w:tblPrEx>
        <w:tc>
          <w:tcPr>
            <w:tcW w:w="450" w:type="dxa"/>
          </w:tcPr>
          <w:p w14:paraId="6B993DCF" w14:textId="33792E13" w:rsidR="009E15BD" w:rsidRDefault="009E15BD">
            <w:pPr>
              <w:spacing w:after="0" w:line="275" w:lineRule="atLeast"/>
            </w:pPr>
          </w:p>
        </w:tc>
        <w:tc>
          <w:tcPr>
            <w:tcW w:w="9600" w:type="dxa"/>
          </w:tcPr>
          <w:p w14:paraId="2957DCD6" w14:textId="1C873099" w:rsidR="009E15BD" w:rsidRDefault="009E15BD">
            <w:pPr>
              <w:pBdr>
                <w:bottom w:val="none" w:sz="0" w:space="8" w:color="auto"/>
              </w:pBdr>
              <w:spacing w:after="0" w:line="275" w:lineRule="atLeast"/>
              <w:jc w:val="both"/>
            </w:pPr>
          </w:p>
        </w:tc>
      </w:tr>
    </w:tbl>
    <w:p w14:paraId="4C7512EC" w14:textId="77777777" w:rsidR="00D72A47" w:rsidRDefault="00D72A47"/>
    <w:sectPr w:rsidR="00D72A47">
      <w:pgSz w:w="12240" w:h="15840"/>
      <w:pgMar w:top="1080" w:right="1080" w:bottom="1080" w:left="108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ndrew Soven" w:date="2026-03-07T14:24:00Z" w:initials="AS">
    <w:p w14:paraId="6E3AC2A8" w14:textId="77777777" w:rsidR="0081191B" w:rsidRDefault="0081191B" w:rsidP="0081191B">
      <w:r>
        <w:rPr>
          <w:rStyle w:val="CommentReference"/>
        </w:rPr>
        <w:annotationRef/>
      </w:r>
      <w:r>
        <w:rPr>
          <w:sz w:val="20"/>
          <w:szCs w:val="20"/>
        </w:rPr>
        <w:t>The decision was 9-0 (no dissents).</w:t>
      </w:r>
    </w:p>
  </w:comment>
  <w:comment w:id="29" w:author="Andrew Soven" w:date="2026-03-07T14:04:00Z" w:initials="AS">
    <w:p w14:paraId="37C8E65A" w14:textId="77777777" w:rsidR="0052317A" w:rsidRDefault="0052317A" w:rsidP="0052317A">
      <w:r>
        <w:rPr>
          <w:rStyle w:val="CommentReference"/>
        </w:rPr>
        <w:annotationRef/>
      </w:r>
      <w:r>
        <w:rPr>
          <w:sz w:val="20"/>
          <w:szCs w:val="20"/>
        </w:rPr>
        <w:t>The Constitution must be interpreted based on how we perceive society and rights today, not in 1787 or 1896</w:t>
      </w:r>
    </w:p>
  </w:comment>
  <w:comment w:id="31" w:author="Andrew Soven" w:date="2026-03-07T14:00:00Z" w:initials="AS">
    <w:p w14:paraId="432D718B" w14:textId="77777777" w:rsidR="0052317A" w:rsidRDefault="0052317A" w:rsidP="0052317A">
      <w:r>
        <w:rPr>
          <w:rStyle w:val="CommentReference"/>
        </w:rPr>
        <w:annotationRef/>
      </w:r>
      <w:r>
        <w:rPr>
          <w:sz w:val="20"/>
          <w:szCs w:val="20"/>
        </w:rPr>
        <w:t>Who is "we"?  9 Justices</w:t>
      </w:r>
    </w:p>
  </w:comment>
  <w:comment w:id="37" w:author="Andrew Soven" w:date="2026-03-07T14:06:00Z" w:initials="AS">
    <w:p w14:paraId="2A0FB251" w14:textId="77777777" w:rsidR="0052317A" w:rsidRDefault="0052317A" w:rsidP="0052317A">
      <w:r>
        <w:rPr>
          <w:rStyle w:val="CommentReference"/>
        </w:rPr>
        <w:annotationRef/>
      </w:r>
      <w:r>
        <w:rPr>
          <w:sz w:val="20"/>
          <w:szCs w:val="20"/>
        </w:rPr>
        <w:t xml:space="preserve">Equal Protection Clause (14th Am.): No State shall "deny to any person within its jurisdiction the equal protection of the law."  </w:t>
      </w:r>
    </w:p>
  </w:comment>
  <w:comment w:id="50" w:author="Andrew Soven" w:date="2026-03-07T14:11:00Z" w:initials="AS">
    <w:p w14:paraId="1CFE8EB6" w14:textId="77777777" w:rsidR="0081191B" w:rsidRDefault="0052317A" w:rsidP="0081191B">
      <w:r>
        <w:rPr>
          <w:rStyle w:val="CommentReference"/>
        </w:rPr>
        <w:annotationRef/>
      </w:r>
      <w:r w:rsidR="0081191B">
        <w:rPr>
          <w:sz w:val="20"/>
          <w:szCs w:val="20"/>
        </w:rPr>
        <w:t>Not directly relevant to discussion but I thought you might be interested in a dispute about how a Chinese child was "classified."</w:t>
      </w:r>
    </w:p>
  </w:comment>
  <w:comment w:id="54" w:author="Andrew Soven" w:date="2026-03-07T14:22:00Z" w:initials="AS">
    <w:p w14:paraId="7D5956F7" w14:textId="5DC5A647" w:rsidR="0081191B" w:rsidRDefault="0081191B" w:rsidP="0081191B">
      <w:r>
        <w:rPr>
          <w:rStyle w:val="CommentReference"/>
        </w:rPr>
        <w:annotationRef/>
      </w:r>
      <w:r>
        <w:rPr>
          <w:sz w:val="20"/>
          <w:szCs w:val="20"/>
        </w:rPr>
        <w:t>Should the Supreme Court rely on these studies by educators, social scientists and psychologists?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3AC2A8" w15:done="0"/>
  <w15:commentEx w15:paraId="37C8E65A" w15:done="0"/>
  <w15:commentEx w15:paraId="432D718B" w15:done="0"/>
  <w15:commentEx w15:paraId="2A0FB251" w15:done="0"/>
  <w15:commentEx w15:paraId="1CFE8EB6" w15:done="0"/>
  <w15:commentEx w15:paraId="7D5956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982DA1" w16cex:dateUtc="2026-03-07T19:24:00Z"/>
  <w16cex:commentExtensible w16cex:durableId="6EC72E6C" w16cex:dateUtc="2026-03-07T19:04:00Z"/>
  <w16cex:commentExtensible w16cex:durableId="7D23209B" w16cex:dateUtc="2026-03-07T19:00:00Z"/>
  <w16cex:commentExtensible w16cex:durableId="1F2F63B6" w16cex:dateUtc="2026-03-07T19:06:00Z"/>
  <w16cex:commentExtensible w16cex:durableId="188D8117" w16cex:dateUtc="2026-03-07T19:11:00Z"/>
  <w16cex:commentExtensible w16cex:durableId="05190705" w16cex:dateUtc="2026-03-0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3AC2A8" w16cid:durableId="64982DA1"/>
  <w16cid:commentId w16cid:paraId="37C8E65A" w16cid:durableId="6EC72E6C"/>
  <w16cid:commentId w16cid:paraId="432D718B" w16cid:durableId="7D23209B"/>
  <w16cid:commentId w16cid:paraId="2A0FB251" w16cid:durableId="1F2F63B6"/>
  <w16cid:commentId w16cid:paraId="1CFE8EB6" w16cid:durableId="188D8117"/>
  <w16cid:commentId w16cid:paraId="7D5956F7" w16cid:durableId="051907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F517" w14:textId="77777777" w:rsidR="00D72A47" w:rsidRDefault="00D72A47">
      <w:pPr>
        <w:spacing w:after="0" w:line="240" w:lineRule="auto"/>
      </w:pPr>
      <w:r>
        <w:separator/>
      </w:r>
    </w:p>
  </w:endnote>
  <w:endnote w:type="continuationSeparator" w:id="0">
    <w:p w14:paraId="3178A61F" w14:textId="77777777" w:rsidR="00D72A47" w:rsidRDefault="00D7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000" w:firstRow="0" w:lastRow="0" w:firstColumn="0" w:lastColumn="0" w:noHBand="0" w:noVBand="0"/>
    </w:tblPr>
    <w:tblGrid>
      <w:gridCol w:w="9270"/>
      <w:gridCol w:w="690"/>
    </w:tblGrid>
    <w:tr w:rsidR="009E15BD" w14:paraId="7A71C40E" w14:textId="77777777">
      <w:tblPrEx>
        <w:tblCellMar>
          <w:top w:w="0" w:type="dxa"/>
          <w:bottom w:w="0" w:type="dxa"/>
        </w:tblCellMar>
      </w:tblPrEx>
      <w:tc>
        <w:tcPr>
          <w:tcW w:w="9270" w:type="dxa"/>
          <w:tcBorders>
            <w:top w:val="single" w:sz="6" w:space="0" w:color="AAAAAA"/>
          </w:tcBorders>
          <w:tcMar>
            <w:top w:w="60" w:type="dxa"/>
          </w:tcMar>
          <w:vAlign w:val="bottom"/>
        </w:tcPr>
        <w:p w14:paraId="2B73E732" w14:textId="77777777" w:rsidR="009E15BD" w:rsidRDefault="00000000">
          <w:pPr>
            <w:spacing w:after="0" w:line="240" w:lineRule="auto"/>
          </w:pPr>
          <w:r>
            <w:rPr>
              <w:rFonts w:ascii="Arial" w:hAnsi="Arial"/>
              <w:noProof/>
              <w:color w:val="AAAAAA"/>
              <w:sz w:val="20"/>
            </w:rPr>
            <w:drawing>
              <wp:inline distT="0" distB="0" distL="0" distR="0" wp14:anchorId="576ED138" wp14:editId="515D2C4E">
                <wp:extent cx="742950" cy="95250"/>
                <wp:effectExtent l="0" t="0" r="0" b="0"/>
                <wp:docPr id="755001347" name="Picture 0"/>
                <wp:cNvGraphicFramePr/>
                <a:graphic xmlns:a="http://schemas.openxmlformats.org/drawingml/2006/main">
                  <a:graphicData uri="http://schemas.openxmlformats.org/drawingml/2006/picture">
                    <pic:pic xmlns:pic="http://schemas.openxmlformats.org/drawingml/2006/picture">
                      <pic:nvPicPr>
                        <pic:cNvPr id="16"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2026 Thomson Reuters. No claim to original U.S. Government Works.</w:t>
          </w:r>
        </w:p>
      </w:tc>
      <w:tc>
        <w:tcPr>
          <w:tcW w:w="690" w:type="dxa"/>
          <w:tcBorders>
            <w:top w:val="single" w:sz="6" w:space="0" w:color="AAAAAA"/>
          </w:tcBorders>
          <w:tcMar>
            <w:top w:w="60" w:type="dxa"/>
          </w:tcMar>
        </w:tcPr>
        <w:p w14:paraId="18792449" w14:textId="77777777" w:rsidR="009E15BD" w:rsidRDefault="00000000">
          <w:pPr>
            <w:spacing w:after="0" w:line="240" w:lineRule="auto"/>
            <w:jc w:val="right"/>
          </w:pPr>
          <w:r>
            <w:rPr>
              <w:rFonts w:ascii="Arial" w:hAnsi="Arial"/>
              <w:color w:val="AAAAAA"/>
              <w:sz w:val="20"/>
            </w:rPr>
            <w:pgNum/>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000" w:firstRow="0" w:lastRow="0" w:firstColumn="0" w:lastColumn="0" w:noHBand="0" w:noVBand="0"/>
    </w:tblPr>
    <w:tblGrid>
      <w:gridCol w:w="9270"/>
      <w:gridCol w:w="690"/>
    </w:tblGrid>
    <w:tr w:rsidR="009E15BD" w14:paraId="5903DB0D" w14:textId="77777777">
      <w:tblPrEx>
        <w:tblCellMar>
          <w:top w:w="0" w:type="dxa"/>
          <w:bottom w:w="0" w:type="dxa"/>
        </w:tblCellMar>
      </w:tblPrEx>
      <w:tc>
        <w:tcPr>
          <w:tcW w:w="9270" w:type="dxa"/>
          <w:tcBorders>
            <w:top w:val="single" w:sz="6" w:space="0" w:color="AAAAAA"/>
          </w:tcBorders>
          <w:tcMar>
            <w:top w:w="60" w:type="dxa"/>
          </w:tcMar>
          <w:vAlign w:val="bottom"/>
        </w:tcPr>
        <w:p w14:paraId="0A7EDF90" w14:textId="77777777" w:rsidR="009E15BD" w:rsidRDefault="00000000">
          <w:pPr>
            <w:spacing w:after="0" w:line="240" w:lineRule="auto"/>
          </w:pPr>
          <w:r>
            <w:rPr>
              <w:rFonts w:ascii="Arial" w:hAnsi="Arial"/>
              <w:noProof/>
              <w:color w:val="AAAAAA"/>
              <w:sz w:val="20"/>
            </w:rPr>
            <w:drawing>
              <wp:inline distT="0" distB="0" distL="0" distR="0" wp14:anchorId="7E7999CD" wp14:editId="1A0E5C24">
                <wp:extent cx="742950" cy="95250"/>
                <wp:effectExtent l="0" t="0" r="0" b="0"/>
                <wp:docPr id="15" name="Picture 0"/>
                <wp:cNvGraphicFramePr/>
                <a:graphic xmlns:a="http://schemas.openxmlformats.org/drawingml/2006/main">
                  <a:graphicData uri="http://schemas.openxmlformats.org/drawingml/2006/picture">
                    <pic:pic xmlns:pic="http://schemas.openxmlformats.org/drawingml/2006/picture">
                      <pic:nvPicPr>
                        <pic:cNvPr id="16"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2026 Thomson Reuters. No claim to original U.S. Government Works.</w:t>
          </w:r>
        </w:p>
      </w:tc>
      <w:tc>
        <w:tcPr>
          <w:tcW w:w="690" w:type="dxa"/>
          <w:tcBorders>
            <w:top w:val="single" w:sz="6" w:space="0" w:color="AAAAAA"/>
          </w:tcBorders>
          <w:tcMar>
            <w:top w:w="60" w:type="dxa"/>
          </w:tcMar>
        </w:tcPr>
        <w:p w14:paraId="40535C2C" w14:textId="77777777" w:rsidR="009E15BD" w:rsidRDefault="00000000">
          <w:pPr>
            <w:spacing w:after="0" w:line="240" w:lineRule="auto"/>
            <w:jc w:val="right"/>
          </w:pPr>
          <w:r>
            <w:rPr>
              <w:rFonts w:ascii="Arial" w:hAnsi="Arial"/>
              <w:color w:val="AAAAAA"/>
              <w:sz w:val="20"/>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D2CF" w14:textId="77777777" w:rsidR="00D72A47" w:rsidRDefault="00D72A47">
      <w:pPr>
        <w:spacing w:after="0" w:line="240" w:lineRule="auto"/>
      </w:pPr>
      <w:r>
        <w:separator/>
      </w:r>
    </w:p>
  </w:footnote>
  <w:footnote w:type="continuationSeparator" w:id="0">
    <w:p w14:paraId="11FA3749" w14:textId="77777777" w:rsidR="00D72A47" w:rsidRDefault="00D7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000" w:firstRow="0" w:lastRow="0" w:firstColumn="0" w:lastColumn="0" w:noHBand="0" w:noVBand="0"/>
    </w:tblPr>
    <w:tblGrid>
      <w:gridCol w:w="9360"/>
      <w:gridCol w:w="705"/>
    </w:tblGrid>
    <w:tr w:rsidR="009E15BD" w14:paraId="0D8721B6"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78F72AF1" w14:textId="77777777" w:rsidR="009E15BD" w:rsidRDefault="00000000">
          <w:pPr>
            <w:spacing w:after="0" w:line="240" w:lineRule="auto"/>
          </w:pPr>
          <w:r>
            <w:rPr>
              <w:rFonts w:ascii="Arial" w:hAnsi="Arial"/>
              <w:b/>
              <w:color w:val="555555"/>
              <w:sz w:val="18"/>
            </w:rPr>
            <w:t>Brown v. Board of Ed. of Topeka, Shawnee County, Kan., 347 U.S. 483 (1954)</w:t>
          </w:r>
        </w:p>
      </w:tc>
      <w:tc>
        <w:tcPr>
          <w:tcW w:w="705" w:type="dxa"/>
          <w:tcBorders>
            <w:bottom w:val="single" w:sz="6" w:space="0" w:color="AAAAAA"/>
          </w:tcBorders>
          <w:tcMar>
            <w:top w:w="390" w:type="dxa"/>
            <w:bottom w:w="60" w:type="dxa"/>
          </w:tcMar>
        </w:tcPr>
        <w:p w14:paraId="3D374CB9" w14:textId="77777777" w:rsidR="009E15BD" w:rsidRDefault="009E15BD">
          <w:pPr>
            <w:spacing w:after="0" w:line="240" w:lineRule="auto"/>
            <w:rPr>
              <w:rFonts w:ascii="Arial" w:hAnsi="Arial"/>
              <w:color w:val="000000"/>
              <w:sz w:val="18"/>
            </w:rPr>
          </w:pPr>
        </w:p>
      </w:tc>
    </w:tr>
    <w:tr w:rsidR="0052317A" w14:paraId="4266C2BE" w14:textId="77777777" w:rsidTr="0052317A">
      <w:tblPrEx>
        <w:tblCellMar>
          <w:top w:w="0" w:type="dxa"/>
          <w:bottom w:w="0" w:type="dxa"/>
        </w:tblCellMar>
      </w:tblPrEx>
      <w:tc>
        <w:tcPr>
          <w:tcW w:w="10065" w:type="dxa"/>
          <w:gridSpan w:val="2"/>
        </w:tcPr>
        <w:p w14:paraId="1425080E" w14:textId="77777777" w:rsidR="009E15BD" w:rsidRDefault="00000000">
          <w:pPr>
            <w:spacing w:after="0" w:line="240" w:lineRule="auto"/>
          </w:pPr>
          <w:r>
            <w:rPr>
              <w:rFonts w:ascii="Arial" w:hAnsi="Arial"/>
              <w:color w:val="000000"/>
              <w:sz w:val="18"/>
            </w:rPr>
            <w:t>74 S.Ct. 686, 38 A.L.R.2d 1180, 98 L.Ed. 873, 53 O.O. 326</w:t>
          </w:r>
        </w:p>
      </w:tc>
    </w:tr>
  </w:tbl>
  <w:p w14:paraId="7B49CBCF" w14:textId="77777777" w:rsidR="009E15BD"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000" w:firstRow="0" w:lastRow="0" w:firstColumn="0" w:lastColumn="0" w:noHBand="0" w:noVBand="0"/>
    </w:tblPr>
    <w:tblGrid>
      <w:gridCol w:w="9360"/>
      <w:gridCol w:w="705"/>
    </w:tblGrid>
    <w:tr w:rsidR="009E15BD" w14:paraId="5E55B2F5"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410EC4ED" w14:textId="77777777" w:rsidR="009E15BD" w:rsidRDefault="00000000">
          <w:pPr>
            <w:spacing w:after="0" w:line="240" w:lineRule="auto"/>
          </w:pPr>
          <w:r>
            <w:rPr>
              <w:rFonts w:ascii="Arial" w:hAnsi="Arial"/>
              <w:b/>
              <w:color w:val="555555"/>
              <w:sz w:val="18"/>
            </w:rPr>
            <w:t>Brown v. Board of Ed. of Topeka, Shawnee County, Kan., 347 U.S. 483 (1954)</w:t>
          </w:r>
        </w:p>
      </w:tc>
      <w:tc>
        <w:tcPr>
          <w:tcW w:w="705" w:type="dxa"/>
          <w:tcBorders>
            <w:bottom w:val="single" w:sz="6" w:space="0" w:color="AAAAAA"/>
          </w:tcBorders>
          <w:tcMar>
            <w:top w:w="390" w:type="dxa"/>
            <w:bottom w:w="60" w:type="dxa"/>
          </w:tcMar>
        </w:tcPr>
        <w:p w14:paraId="6EA58113" w14:textId="77777777" w:rsidR="009E15BD" w:rsidRDefault="009E15BD">
          <w:pPr>
            <w:spacing w:after="0" w:line="240" w:lineRule="auto"/>
            <w:rPr>
              <w:rFonts w:ascii="Arial" w:hAnsi="Arial"/>
              <w:color w:val="000000"/>
              <w:sz w:val="18"/>
            </w:rPr>
          </w:pPr>
        </w:p>
      </w:tc>
    </w:tr>
    <w:tr w:rsidR="0052317A" w14:paraId="64212380" w14:textId="77777777" w:rsidTr="0052317A">
      <w:tblPrEx>
        <w:tblCellMar>
          <w:top w:w="0" w:type="dxa"/>
          <w:bottom w:w="0" w:type="dxa"/>
        </w:tblCellMar>
      </w:tblPrEx>
      <w:tc>
        <w:tcPr>
          <w:tcW w:w="10065" w:type="dxa"/>
          <w:gridSpan w:val="2"/>
        </w:tcPr>
        <w:p w14:paraId="18BF40FD" w14:textId="77777777" w:rsidR="009E15BD" w:rsidRDefault="00000000">
          <w:pPr>
            <w:spacing w:after="0" w:line="240" w:lineRule="auto"/>
          </w:pPr>
          <w:r>
            <w:rPr>
              <w:rFonts w:ascii="Arial" w:hAnsi="Arial"/>
              <w:color w:val="000000"/>
              <w:sz w:val="18"/>
            </w:rPr>
            <w:t>74 S.Ct. 686, 38 A.L.R.2d 1180, 98 L.Ed. 873, 53 O.O. 326</w:t>
          </w:r>
        </w:p>
      </w:tc>
    </w:tr>
  </w:tbl>
  <w:p w14:paraId="665BD285" w14:textId="77777777" w:rsidR="009E15BD" w:rsidRDefault="00000000">
    <w:pPr>
      <w:spacing w:after="0" w:line="240" w:lineRule="auto"/>
    </w:pPr>
    <w:r>
      <w:rPr>
        <w:rFonts w:ascii="Arial" w:hAnsi="Arial"/>
        <w:color w:val="000000"/>
        <w:sz w:val="18"/>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Soven">
    <w15:presenceInfo w15:providerId="Windows Live" w15:userId="242d7d75b1888b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bordersDoNotSurroundHeader/>
  <w:bordersDoNotSurroundFooter/>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BD"/>
    <w:rsid w:val="0052317A"/>
    <w:rsid w:val="0081191B"/>
    <w:rsid w:val="009E15BD"/>
    <w:rsid w:val="00A955C3"/>
    <w:rsid w:val="00C858FB"/>
    <w:rsid w:val="00D7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91179A"/>
  <w15:docId w15:val="{38ED2585-F61D-A841-923F-2049515C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317A"/>
    <w:rPr>
      <w:sz w:val="16"/>
      <w:szCs w:val="16"/>
    </w:rPr>
  </w:style>
  <w:style w:type="paragraph" w:styleId="CommentText">
    <w:name w:val="annotation text"/>
    <w:basedOn w:val="Normal"/>
    <w:link w:val="CommentTextChar"/>
    <w:uiPriority w:val="99"/>
    <w:semiHidden/>
    <w:unhideWhenUsed/>
    <w:rsid w:val="0052317A"/>
    <w:pPr>
      <w:spacing w:line="240" w:lineRule="auto"/>
    </w:pPr>
    <w:rPr>
      <w:sz w:val="20"/>
      <w:szCs w:val="20"/>
    </w:rPr>
  </w:style>
  <w:style w:type="character" w:customStyle="1" w:styleId="CommentTextChar">
    <w:name w:val="Comment Text Char"/>
    <w:basedOn w:val="DefaultParagraphFont"/>
    <w:link w:val="CommentText"/>
    <w:uiPriority w:val="99"/>
    <w:semiHidden/>
    <w:rsid w:val="0052317A"/>
    <w:rPr>
      <w:sz w:val="20"/>
      <w:szCs w:val="20"/>
    </w:rPr>
  </w:style>
  <w:style w:type="paragraph" w:styleId="CommentSubject">
    <w:name w:val="annotation subject"/>
    <w:basedOn w:val="CommentText"/>
    <w:next w:val="CommentText"/>
    <w:link w:val="CommentSubjectChar"/>
    <w:uiPriority w:val="99"/>
    <w:semiHidden/>
    <w:unhideWhenUsed/>
    <w:rsid w:val="0052317A"/>
    <w:rPr>
      <w:b/>
      <w:bCs/>
    </w:rPr>
  </w:style>
  <w:style w:type="character" w:customStyle="1" w:styleId="CommentSubjectChar">
    <w:name w:val="Comment Subject Char"/>
    <w:basedOn w:val="CommentTextChar"/>
    <w:link w:val="CommentSubject"/>
    <w:uiPriority w:val="99"/>
    <w:semiHidden/>
    <w:rsid w:val="005231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estlaw.com/Document/I1793c6209c1f11d993e6d35cc61aab4a/View/FullText.html?navigationPath=RelatedInfo%2Fv4%2Fkeycite%2Fnav%2F%3ForigDocGuid%3DI1793c6219c1f11d993e6d35cc61aab4a&amp;listSource=RelatedInfo&amp;list=NegativeCitingReferences&amp;rank=0&amp;ppcid=487e31ada66442978769440e42963d72&amp;originationContext=docHeader&amp;transitionType=NegativeTreatment&amp;contextData=%28sc.Default%29&amp;VR=3.0&amp;RS=cblt1.0" TargetMode="External"/><Relationship Id="rId13" Type="http://schemas.microsoft.com/office/2018/08/relationships/commentsExtensible" Target="commentsExtensible.xml"/><Relationship Id="rId18" Type="http://schemas.openxmlformats.org/officeDocument/2006/relationships/hyperlink" Target="https://www.westlaw.com/Link/Document/FullText?findType=Y&amp;serNum=1948118449&amp;pubNum=708&amp;originatingDoc=I1793c6219c1f11d993e6d35cc61aab4a&amp;refType=RP&amp;originationContext=document&amp;vr=3.0&amp;rs=cblt1.0&amp;transitionType=DocumentItem&amp;contextData=(sc.Defaul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westlaw.com/Link/Document/FullText?findType=Y&amp;serNum=1950119304&amp;pubNum=708&amp;originatingDoc=I1793c6219c1f11d993e6d35cc61aab4a&amp;refType=RP&amp;originationContext=document&amp;vr=3.0&amp;rs=cblt1.0&amp;transitionType=DocumentItem&amp;contextData=(sc.Default)" TargetMode="Externa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hyperlink" Target="https://www.westlaw.com/Link/Document/FullText?findType=Y&amp;serNum=1938123158&amp;pubNum=708&amp;originatingDoc=I1793c6219c1f11d993e6d35cc61aab4a&amp;refType=RP&amp;originationContext=document&amp;vr=3.0&amp;rs=cblt1.0&amp;transitionType=DocumentItem&amp;contextData=(sc.Defaul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estlaw.com/Link/Document/FullText?findType=Y&amp;serNum=1927123888&amp;pubNum=2695&amp;originatingDoc=I1793c6219c1f11d993e6d35cc61aab4a&amp;refType=RP&amp;originationContext=document&amp;vr=3.0&amp;rs=cblt1.0&amp;transitionType=DocumentItem&amp;contextData=(sc.Default)" TargetMode="External"/><Relationship Id="rId20" Type="http://schemas.openxmlformats.org/officeDocument/2006/relationships/hyperlink" Target="https://www.westlaw.com/Link/Document/FullText?findType=Y&amp;serNum=1950118094&amp;pubNum=708&amp;originatingDoc=I1793c6219c1f11d993e6d35cc61aab4a&amp;refType=RP&amp;originationContext=document&amp;vr=3.0&amp;rs=cblt1.0&amp;transitionType=DocumentItem&amp;contextData=(sc.Default)"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westlaw.com/Link/Document/FullText?findType=Y&amp;serNum=1899180184&amp;pubNum=708&amp;originatingDoc=I1793c6219c1f11d993e6d35cc61aab4a&amp;refType=RP&amp;originationContext=document&amp;vr=3.0&amp;rs=cblt1.0&amp;transitionType=DocumentItem&amp;contextData=(sc.Default)"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westlaw.com/Link/Document/FullText?findType=Y&amp;serNum=1950119304&amp;pubNum=780&amp;originatingDoc=I1793c6219c1f11d993e6d35cc61aab4a&amp;refType=RP&amp;originationContext=document&amp;vr=3.0&amp;rs=cblt1.0&amp;transitionType=DocumentItem&amp;contextData=(sc.Default)" TargetMode="External"/><Relationship Id="rId4" Type="http://schemas.openxmlformats.org/officeDocument/2006/relationships/webSettings" Target="webSettings.xml"/><Relationship Id="rId9" Type="http://schemas.openxmlformats.org/officeDocument/2006/relationships/hyperlink" Target="https://www.westlaw.com/Search/Results.html?query=advanced%3a+OAID(5000032650)&amp;saveJuris=False&amp;contentType=BUSINESS-INVESTIGATOR&amp;startIndex=1&amp;contextData=(sc.Default)&amp;categoryPageUrl=Home%2fCompanyInvestigator&amp;originationContext=document&amp;vr=3.0&amp;rs=cblt1.0&amp;transitionType=DocumentItem" TargetMode="External"/><Relationship Id="rId14" Type="http://schemas.openxmlformats.org/officeDocument/2006/relationships/hyperlink" Target="https://www.westlaw.com/Link/Document/FullText?findType=Y&amp;serNum=1896180043&amp;pubNum=708&amp;originatingDoc=I1793c6219c1f11d993e6d35cc61aab4a&amp;refType=RP&amp;originationContext=document&amp;vr=3.0&amp;rs=cblt1.0&amp;transitionType=DocumentItem&amp;contextData=(sc.Default)" TargetMode="External"/><Relationship Id="rId22" Type="http://schemas.openxmlformats.org/officeDocument/2006/relationships/hyperlink" Target="https://www.westlaw.com/Link/Document/FullText?findType=Y&amp;serNum=1950118094&amp;pubNum=708&amp;originatingDoc=I1793c6219c1f11d993e6d35cc61aab4a&amp;refType=RP&amp;originationContext=document&amp;vr=3.0&amp;rs=cblt1.0&amp;transitionType=DocumentItem&amp;contextData=(sc.Default)" TargetMode="External"/><Relationship Id="rId27" Type="http://schemas.openxmlformats.org/officeDocument/2006/relationships/hyperlink" Target="https://www.westlaw.com/Link/Document/FullText?findType=Y&amp;serNum=1896180043&amp;originatingDoc=I1793c6219c1f11d993e6d35cc61aab4a&amp;refType=RP&amp;originationContext=document&amp;vr=3.0&amp;rs=cblt1.0&amp;transitionType=DocumentItem&amp;contextData=(sc.Default)"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9678-0BFA-AC43-BA47-0EBDEAFA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3005</Words>
  <Characters>17132</Characters>
  <Application>Microsoft Office Word</Application>
  <DocSecurity>0</DocSecurity>
  <Lines>142</Lines>
  <Paragraphs>40</Paragraphs>
  <ScaleCrop>false</ScaleCrop>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Soven</cp:lastModifiedBy>
  <cp:revision>3</cp:revision>
  <cp:lastPrinted>2026-03-07T19:17:00Z</cp:lastPrinted>
  <dcterms:created xsi:type="dcterms:W3CDTF">2026-03-07T19:19:00Z</dcterms:created>
  <dcterms:modified xsi:type="dcterms:W3CDTF">2026-03-07T19:25:00Z</dcterms:modified>
</cp:coreProperties>
</file>