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2CFFB">
      <w:pPr>
        <w:keepNext w:val="0"/>
        <w:keepLines w:val="0"/>
        <w:widowControl/>
        <w:suppressLineNumbers w:val="0"/>
        <w:jc w:val="center"/>
        <w:rPr>
          <w:rFonts w:hint="default" w:ascii="Times New Roman Bold" w:hAnsi="Times New Roman Bold" w:eastAsia="Times New Roman" w:cs="Times New Roman Bold"/>
          <w:b/>
          <w:bCs/>
          <w:snapToGrid w:val="0"/>
          <w:color w:val="000000"/>
          <w:spacing w:val="-2"/>
          <w:kern w:val="0"/>
          <w:sz w:val="24"/>
          <w:szCs w:val="24"/>
          <w:lang w:val="en-US" w:eastAsia="zh-CN" w:bidi="ar-SA"/>
        </w:rPr>
      </w:pPr>
      <w:r>
        <w:rPr>
          <w:rFonts w:hint="default" w:ascii="Times New Roman Bold" w:hAnsi="Times New Roman Bold" w:eastAsia="Times New Roman" w:cs="Times New Roman Bold"/>
          <w:b/>
          <w:bCs/>
          <w:snapToGrid w:val="0"/>
          <w:color w:val="000000"/>
          <w:spacing w:val="-2"/>
          <w:kern w:val="0"/>
          <w:sz w:val="24"/>
          <w:szCs w:val="24"/>
          <w:lang w:val="en-US" w:eastAsia="zh-CN" w:bidi="ar-SA"/>
        </w:rPr>
        <w:t>Artificial Intelligence and the Shift from Cognitive Offloading to Cognitive Deference in Education</w:t>
      </w:r>
    </w:p>
    <w:p w14:paraId="4EA9D1BA">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p>
    <w:p w14:paraId="40FFEDB0">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p>
    <w:p w14:paraId="581F6D4A">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p>
    <w:p w14:paraId="6DC8C066">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p>
    <w:p w14:paraId="32ECB6CD">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p>
    <w:p w14:paraId="2D0867A1">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r>
        <w:rPr>
          <w:rFonts w:hint="default" w:ascii="Times New Roman" w:hAnsi="Times New Roman" w:eastAsia="Times New Roman" w:cs="Times New Roman"/>
          <w:snapToGrid w:val="0"/>
          <w:color w:val="000000"/>
          <w:spacing w:val="-2"/>
          <w:kern w:val="0"/>
          <w:sz w:val="24"/>
          <w:szCs w:val="24"/>
          <w:lang w:val="en-US" w:eastAsia="zh-CN" w:bidi="ar-SA"/>
        </w:rPr>
        <w:t>Fanzhen Shu</w:t>
      </w:r>
    </w:p>
    <w:p w14:paraId="638190DB">
      <w:pPr>
        <w:keepNext w:val="0"/>
        <w:keepLines w:val="0"/>
        <w:widowControl/>
        <w:suppressLineNumbers w:val="0"/>
        <w:jc w:val="center"/>
        <w:rPr>
          <w:rFonts w:hint="eastAsia" w:ascii="Times New Roman" w:hAnsi="Times New Roman" w:eastAsia="Times New Roman" w:cs="Times New Roman"/>
          <w:snapToGrid w:val="0"/>
          <w:color w:val="000000"/>
          <w:spacing w:val="-2"/>
          <w:kern w:val="0"/>
          <w:sz w:val="24"/>
          <w:szCs w:val="24"/>
          <w:lang w:val="en-US" w:eastAsia="zh-CN" w:bidi="ar-SA"/>
        </w:rPr>
      </w:pPr>
    </w:p>
    <w:p w14:paraId="1375BDE6">
      <w:pPr>
        <w:keepNext w:val="0"/>
        <w:keepLines w:val="0"/>
        <w:widowControl/>
        <w:suppressLineNumbers w:val="0"/>
        <w:jc w:val="center"/>
        <w:rPr>
          <w:rFonts w:hint="eastAsia" w:ascii="Times New Roman" w:hAnsi="Times New Roman" w:eastAsia="Times New Roman" w:cs="Times New Roman"/>
          <w:snapToGrid w:val="0"/>
          <w:color w:val="000000"/>
          <w:spacing w:val="-2"/>
          <w:kern w:val="0"/>
          <w:sz w:val="24"/>
          <w:szCs w:val="24"/>
          <w:lang w:val="en-US" w:eastAsia="zh-CN" w:bidi="ar-SA"/>
        </w:rPr>
      </w:pPr>
      <w:r>
        <w:rPr>
          <w:rFonts w:hint="eastAsia" w:ascii="Times New Roman" w:hAnsi="Times New Roman" w:eastAsia="Times New Roman" w:cs="Times New Roman"/>
          <w:snapToGrid w:val="0"/>
          <w:color w:val="000000"/>
          <w:spacing w:val="-2"/>
          <w:kern w:val="0"/>
          <w:sz w:val="24"/>
          <w:szCs w:val="24"/>
          <w:lang w:val="en-US" w:eastAsia="zh-CN" w:bidi="ar-SA"/>
        </w:rPr>
        <w:t>Chongqing BI Academy</w:t>
      </w:r>
    </w:p>
    <w:p w14:paraId="65003BE5">
      <w:pPr>
        <w:keepNext w:val="0"/>
        <w:keepLines w:val="0"/>
        <w:widowControl/>
        <w:suppressLineNumbers w:val="0"/>
        <w:jc w:val="center"/>
        <w:rPr>
          <w:rFonts w:hint="eastAsia" w:ascii="Times New Roman" w:hAnsi="Times New Roman" w:eastAsia="Times New Roman" w:cs="Times New Roman"/>
          <w:snapToGrid w:val="0"/>
          <w:color w:val="000000"/>
          <w:spacing w:val="-2"/>
          <w:kern w:val="0"/>
          <w:sz w:val="24"/>
          <w:szCs w:val="24"/>
          <w:lang w:val="en-US" w:eastAsia="zh-CN" w:bidi="ar-SA"/>
        </w:rPr>
      </w:pPr>
    </w:p>
    <w:p w14:paraId="47195E48">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r>
        <w:rPr>
          <w:rFonts w:hint="eastAsia" w:ascii="Times New Roman" w:hAnsi="Times New Roman" w:eastAsia="Times New Roman" w:cs="Times New Roman"/>
          <w:snapToGrid w:val="0"/>
          <w:color w:val="000000"/>
          <w:spacing w:val="-2"/>
          <w:kern w:val="0"/>
          <w:sz w:val="24"/>
          <w:szCs w:val="24"/>
          <w:lang w:val="en-US" w:eastAsia="zh-CN" w:bidi="ar-SA"/>
        </w:rPr>
        <w:t>August 30</w:t>
      </w:r>
      <w:r>
        <w:rPr>
          <w:rFonts w:hint="default" w:ascii="Times New Roman" w:hAnsi="Times New Roman" w:eastAsia="Times New Roman" w:cs="Times New Roman"/>
          <w:snapToGrid w:val="0"/>
          <w:color w:val="000000"/>
          <w:spacing w:val="-2"/>
          <w:kern w:val="0"/>
          <w:sz w:val="24"/>
          <w:szCs w:val="24"/>
          <w:lang w:val="en-US" w:eastAsia="zh-CN" w:bidi="ar-SA"/>
        </w:rPr>
        <w:t>th, 2026</w:t>
      </w:r>
    </w:p>
    <w:p w14:paraId="36EEEDE0">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p>
    <w:p w14:paraId="6AD54633">
      <w:pPr>
        <w:keepNext w:val="0"/>
        <w:keepLines w:val="0"/>
        <w:widowControl/>
        <w:suppressLineNumbers w:val="0"/>
        <w:jc w:val="center"/>
        <w:rPr>
          <w:rFonts w:hint="default" w:ascii="Times New Roman" w:hAnsi="Times New Roman" w:eastAsia="Times New Roman" w:cs="Times New Roman"/>
          <w:snapToGrid w:val="0"/>
          <w:color w:val="000000"/>
          <w:spacing w:val="-2"/>
          <w:kern w:val="0"/>
          <w:sz w:val="24"/>
          <w:szCs w:val="24"/>
          <w:lang w:val="en-US" w:eastAsia="zh-CN" w:bidi="ar-SA"/>
        </w:rPr>
      </w:pPr>
    </w:p>
    <w:p w14:paraId="5D63BAEC">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43399A1A">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1FF39886">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2DF1D6BA">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10D5C57E">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5BFED6D6">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3CD1C73D">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2E754231">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3B1DC988">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2EE64656">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1F814510">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33354FDB">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143E6ED0">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38333FD6">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1208F138">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1D4F6C37">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682228C8">
      <w:pPr>
        <w:jc w:val="center"/>
        <w:rPr>
          <w:rFonts w:hint="default" w:ascii="Times New Roman" w:hAnsi="Times New Roman" w:cs="Times New Roman"/>
          <w:b w:val="0"/>
          <w:bCs w:val="0"/>
          <w:sz w:val="24"/>
          <w:szCs w:val="24"/>
          <w:lang w:val="en-US" w:eastAsia="zh-CN"/>
        </w:rPr>
      </w:pPr>
    </w:p>
    <w:p w14:paraId="7C39C562">
      <w:pPr>
        <w:jc w:val="center"/>
        <w:rPr>
          <w:rFonts w:hint="default" w:ascii="Times New Roman" w:hAnsi="Times New Roman" w:cs="Times New Roman"/>
          <w:b w:val="0"/>
          <w:bCs w:val="0"/>
          <w:sz w:val="24"/>
          <w:szCs w:val="24"/>
          <w:lang w:val="en-US" w:eastAsia="zh-CN"/>
        </w:rPr>
      </w:pPr>
    </w:p>
    <w:p w14:paraId="40807239">
      <w:pPr>
        <w:jc w:val="center"/>
        <w:rPr>
          <w:rFonts w:hint="default" w:ascii="Times New Roman Bold" w:hAnsi="Times New Roman Bold" w:cs="Times New Roman Bold"/>
          <w:b/>
          <w:bCs/>
          <w:color w:val="auto"/>
          <w:sz w:val="24"/>
          <w:szCs w:val="24"/>
          <w:lang w:val="en-US" w:eastAsia="zh-CN"/>
        </w:rPr>
      </w:pPr>
      <w:r>
        <w:rPr>
          <w:rFonts w:hint="default" w:ascii="Times New Roman Bold" w:hAnsi="Times New Roman Bold" w:cs="Times New Roman Bold"/>
          <w:b/>
          <w:bCs/>
          <w:color w:val="auto"/>
          <w:sz w:val="24"/>
          <w:szCs w:val="24"/>
          <w:lang w:val="en-US" w:eastAsia="zh-CN"/>
        </w:rPr>
        <w:t>Abstract</w:t>
      </w:r>
    </w:p>
    <w:p w14:paraId="7A9BC2FD">
      <w:pPr>
        <w:jc w:val="left"/>
        <w:rPr>
          <w:rFonts w:hint="default" w:ascii="Times New Roman" w:hAnsi="Times New Roman" w:cs="Times New Roman"/>
          <w:b w:val="0"/>
          <w:bCs w:val="0"/>
          <w:sz w:val="24"/>
          <w:szCs w:val="24"/>
          <w:lang w:val="en-US" w:eastAsia="zh-CN"/>
        </w:rPr>
      </w:pPr>
    </w:p>
    <w:p w14:paraId="7D12DC94">
      <w:pPr>
        <w:kinsoku w:val="0"/>
        <w:autoSpaceDE w:val="0"/>
        <w:autoSpaceDN w:val="0"/>
        <w:adjustRightInd w:val="0"/>
        <w:snapToGrid w:val="0"/>
        <w:spacing w:before="237" w:line="465" w:lineRule="auto"/>
        <w:ind w:left="14" w:right="55"/>
        <w:jc w:val="left"/>
        <w:textAlignment w:val="baseline"/>
        <w:rPr>
          <w:rFonts w:hint="default" w:ascii="Times New Roman" w:hAnsi="Times New Roman" w:eastAsia="Times New Roman" w:cs="Times New Roman"/>
          <w:snapToGrid w:val="0"/>
          <w:color w:val="000000"/>
          <w:kern w:val="0"/>
          <w:sz w:val="24"/>
          <w:szCs w:val="24"/>
          <w:lang w:val="en-US" w:eastAsia="zh-CN"/>
        </w:rPr>
      </w:pPr>
      <w:r>
        <w:rPr>
          <w:rFonts w:hint="default" w:ascii="Times New Roman" w:hAnsi="Times New Roman" w:eastAsia="Times New Roman" w:cs="Times New Roman"/>
          <w:snapToGrid w:val="0"/>
          <w:color w:val="000000"/>
          <w:kern w:val="0"/>
          <w:sz w:val="24"/>
          <w:szCs w:val="24"/>
          <w:lang w:val="en-US" w:eastAsia="zh-CN"/>
        </w:rPr>
        <w:t>Generative artificial intelligence has rapidly become an everyday partner in student learning, raising urgent psychological questions about what is gained and lost when learners delegate cognitive labor to AI. This paper examines whether this phenomenon represents a conventional extension of cognitive offloading—the use of external tools to reduce internal cognitive demands—or something fundamentally different. Drawing on empirical research including randomized controlled trials, large-scale field experiments, and neuroimaging studies, this paper argues that AI does not merely lighten cognitive load but increasingly substitutes for core thinking processes such as understanding, reasoning, and generation. While students gain efficiency, immediate academic performance, and personalized sup</w:t>
      </w:r>
      <w:bookmarkStart w:id="0" w:name="_GoBack"/>
      <w:bookmarkEnd w:id="0"/>
      <w:r>
        <w:rPr>
          <w:rFonts w:hint="default" w:ascii="Times New Roman" w:hAnsi="Times New Roman" w:eastAsia="Times New Roman" w:cs="Times New Roman"/>
          <w:snapToGrid w:val="0"/>
          <w:color w:val="000000"/>
          <w:kern w:val="0"/>
          <w:sz w:val="24"/>
          <w:szCs w:val="24"/>
          <w:lang w:val="en-US" w:eastAsia="zh-CN"/>
        </w:rPr>
        <w:t>port, they lose reflective depth, generative cognition, and intellectual autonomy. This qualitative shift is best understood as a transition from cognitive offloading to "cognitive deference," wherein students passively accept synthetic outputs rather than actively constructing knowledge. The paper concludes by proposing educational reforms—including assessment redesign, collaborative AI use models, and metacognitive cultivation—to preserve the essential struggles that drive lasting learning.</w:t>
      </w:r>
    </w:p>
    <w:p w14:paraId="5838C083">
      <w:pPr>
        <w:kinsoku w:val="0"/>
        <w:autoSpaceDE w:val="0"/>
        <w:autoSpaceDN w:val="0"/>
        <w:adjustRightInd w:val="0"/>
        <w:snapToGrid w:val="0"/>
        <w:spacing w:before="237" w:line="465" w:lineRule="auto"/>
        <w:ind w:left="14" w:right="55"/>
        <w:jc w:val="left"/>
        <w:textAlignment w:val="baseline"/>
        <w:rPr>
          <w:rFonts w:hint="default" w:ascii="Times New Roman" w:hAnsi="Times New Roman" w:eastAsia="Times New Roman" w:cs="Times New Roman"/>
          <w:snapToGrid w:val="0"/>
          <w:color w:val="000000"/>
          <w:kern w:val="0"/>
          <w:sz w:val="24"/>
          <w:szCs w:val="24"/>
          <w:lang w:val="en-US" w:eastAsia="zh-CN"/>
        </w:rPr>
      </w:pPr>
    </w:p>
    <w:p w14:paraId="756878E9">
      <w:pPr>
        <w:jc w:val="left"/>
        <w:rPr>
          <w:rFonts w:hint="default" w:ascii="Times New Roman" w:hAnsi="Times New Roman" w:cs="Times New Roman"/>
          <w:b w:val="0"/>
          <w:bCs w:val="0"/>
          <w:sz w:val="24"/>
          <w:szCs w:val="24"/>
          <w:lang w:val="en-US" w:eastAsia="zh-CN"/>
        </w:rPr>
      </w:pPr>
    </w:p>
    <w:p w14:paraId="3A9FDF6E">
      <w:pPr>
        <w:keepNext w:val="0"/>
        <w:keepLines w:val="0"/>
        <w:widowControl/>
        <w:suppressLineNumbers w:val="0"/>
        <w:jc w:val="left"/>
        <w:rPr>
          <w:rFonts w:hint="default" w:ascii="Times New Roman" w:hAnsi="Times New Roman" w:eastAsia="Times New Roman" w:cs="Times New Roman"/>
          <w:snapToGrid w:val="0"/>
          <w:color w:val="000000"/>
          <w:spacing w:val="-2"/>
          <w:kern w:val="0"/>
          <w:sz w:val="24"/>
          <w:szCs w:val="24"/>
          <w:lang w:val="en-US" w:eastAsia="zh-CN" w:bidi="ar-SA"/>
        </w:rPr>
      </w:pPr>
      <w:r>
        <w:rPr>
          <w:rFonts w:hint="default" w:ascii="PingFang SC" w:hAnsi="PingFang SC" w:eastAsia="PingFang SC" w:cs="PingFang SC"/>
          <w:i/>
          <w:iCs/>
          <w:snapToGrid w:val="0"/>
          <w:color w:val="000000"/>
          <w:spacing w:val="-2"/>
          <w:kern w:val="0"/>
          <w:sz w:val="24"/>
          <w:szCs w:val="24"/>
          <w:lang w:val="en-US" w:eastAsia="zh-CN" w:bidi="ar-SA"/>
        </w:rPr>
        <w:t>Keywords:</w:t>
      </w:r>
      <w:r>
        <w:rPr>
          <w:rFonts w:hint="eastAsia" w:ascii="PingFang SC" w:hAnsi="PingFang SC" w:eastAsia="PingFang SC" w:cs="PingFang SC"/>
          <w:i/>
          <w:iCs/>
          <w:snapToGrid w:val="0"/>
          <w:color w:val="000000"/>
          <w:spacing w:val="-2"/>
          <w:kern w:val="0"/>
          <w:sz w:val="24"/>
          <w:szCs w:val="24"/>
          <w:lang w:val="en-US" w:eastAsia="zh-CN" w:bidi="ar-SA"/>
        </w:rPr>
        <w:t xml:space="preserve"> </w:t>
      </w:r>
      <w:r>
        <w:rPr>
          <w:rFonts w:hint="default" w:ascii="Times New Roman" w:hAnsi="Times New Roman" w:eastAsia="Times New Roman" w:cs="Times New Roman"/>
          <w:snapToGrid w:val="0"/>
          <w:color w:val="000000"/>
          <w:spacing w:val="-2"/>
          <w:kern w:val="0"/>
          <w:sz w:val="24"/>
          <w:szCs w:val="24"/>
          <w:lang w:val="en-US" w:eastAsia="zh-CN" w:bidi="ar-SA"/>
        </w:rPr>
        <w:t>cognitive offloading, cognitive deference, generative AI, critical thinking, metacognition, education</w:t>
      </w:r>
    </w:p>
    <w:p w14:paraId="5F81F1E9">
      <w:pPr>
        <w:jc w:val="left"/>
        <w:rPr>
          <w:rFonts w:hint="default" w:ascii="Times New Roman" w:hAnsi="Times New Roman" w:cs="Times New Roman" w:eastAsiaTheme="minorEastAsia"/>
          <w:b w:val="0"/>
          <w:bCs w:val="0"/>
          <w:sz w:val="24"/>
          <w:szCs w:val="24"/>
          <w:lang w:val="en-US" w:eastAsia="zh-CN" w:bidi="ar-SA"/>
        </w:rPr>
      </w:pPr>
    </w:p>
    <w:p w14:paraId="0BAA281E">
      <w:pPr>
        <w:jc w:val="left"/>
        <w:rPr>
          <w:rFonts w:hint="default" w:ascii="Times New Roman" w:hAnsi="Times New Roman" w:cs="Times New Roman"/>
          <w:b w:val="0"/>
          <w:bCs w:val="0"/>
          <w:sz w:val="24"/>
          <w:szCs w:val="24"/>
          <w:lang w:val="en-US" w:eastAsia="zh-CN"/>
        </w:rPr>
      </w:pPr>
    </w:p>
    <w:p w14:paraId="70D4311A">
      <w:pPr>
        <w:jc w:val="left"/>
        <w:rPr>
          <w:rFonts w:hint="default" w:ascii="Times New Roman" w:hAnsi="Times New Roman" w:cs="Times New Roman"/>
          <w:b w:val="0"/>
          <w:bCs w:val="0"/>
          <w:sz w:val="24"/>
          <w:szCs w:val="24"/>
          <w:lang w:val="en-US" w:eastAsia="zh-CN"/>
        </w:rPr>
      </w:pPr>
    </w:p>
    <w:p w14:paraId="0063D004">
      <w:pPr>
        <w:jc w:val="left"/>
        <w:rPr>
          <w:rFonts w:hint="default" w:ascii="Times New Roman" w:hAnsi="Times New Roman" w:cs="Times New Roman"/>
          <w:b w:val="0"/>
          <w:bCs w:val="0"/>
          <w:sz w:val="24"/>
          <w:szCs w:val="24"/>
          <w:lang w:val="en-US" w:eastAsia="zh-CN"/>
        </w:rPr>
      </w:pPr>
    </w:p>
    <w:p w14:paraId="45530E93">
      <w:pPr>
        <w:jc w:val="left"/>
        <w:rPr>
          <w:rFonts w:hint="default" w:ascii="Times New Roman" w:hAnsi="Times New Roman" w:cs="Times New Roman"/>
          <w:b w:val="0"/>
          <w:bCs w:val="0"/>
          <w:sz w:val="24"/>
          <w:szCs w:val="24"/>
          <w:lang w:val="en-US" w:eastAsia="zh-CN"/>
        </w:rPr>
      </w:pPr>
    </w:p>
    <w:p w14:paraId="63479B68">
      <w:pPr>
        <w:jc w:val="center"/>
        <w:rPr>
          <w:rFonts w:hint="default" w:ascii="Times New Roman" w:hAnsi="Times New Roman" w:cs="Times New Roman"/>
          <w:b w:val="0"/>
          <w:bCs w:val="0"/>
          <w:sz w:val="24"/>
          <w:szCs w:val="24"/>
          <w:lang w:val="en-US" w:eastAsia="zh-CN"/>
        </w:rPr>
      </w:pPr>
    </w:p>
    <w:p w14:paraId="4A0ACC02">
      <w:pPr>
        <w:jc w:val="center"/>
        <w:rPr>
          <w:rFonts w:hint="default" w:ascii="Times New Roman" w:hAnsi="Times New Roman" w:cs="Times New Roman"/>
          <w:b w:val="0"/>
          <w:bCs w:val="0"/>
          <w:sz w:val="24"/>
          <w:szCs w:val="24"/>
          <w:lang w:val="en-US" w:eastAsia="zh-CN"/>
        </w:rPr>
      </w:pPr>
    </w:p>
    <w:p w14:paraId="1641BEBD">
      <w:pPr>
        <w:jc w:val="center"/>
        <w:rPr>
          <w:rFonts w:hint="default" w:ascii="Times New Roman" w:hAnsi="Times New Roman" w:cs="Times New Roman"/>
          <w:b w:val="0"/>
          <w:bCs w:val="0"/>
          <w:sz w:val="24"/>
          <w:szCs w:val="24"/>
          <w:lang w:val="en-US" w:eastAsia="zh-CN"/>
        </w:rPr>
      </w:pPr>
    </w:p>
    <w:p w14:paraId="131615E6">
      <w:pPr>
        <w:jc w:val="center"/>
        <w:rPr>
          <w:rFonts w:hint="default" w:ascii="Times New Roman" w:hAnsi="Times New Roman" w:cs="Times New Roman"/>
          <w:b w:val="0"/>
          <w:bCs w:val="0"/>
          <w:sz w:val="24"/>
          <w:szCs w:val="24"/>
          <w:lang w:val="en-US" w:eastAsia="zh-CN"/>
        </w:rPr>
      </w:pPr>
    </w:p>
    <w:p w14:paraId="2DABA491">
      <w:pPr>
        <w:jc w:val="center"/>
        <w:rPr>
          <w:rFonts w:hint="default" w:ascii="Times New Roman" w:hAnsi="Times New Roman" w:cs="Times New Roman"/>
          <w:b w:val="0"/>
          <w:bCs w:val="0"/>
          <w:sz w:val="24"/>
          <w:szCs w:val="24"/>
          <w:lang w:val="en-US" w:eastAsia="zh-CN"/>
        </w:rPr>
      </w:pPr>
    </w:p>
    <w:p w14:paraId="799A7A8E">
      <w:pPr>
        <w:jc w:val="center"/>
        <w:rPr>
          <w:rFonts w:hint="default" w:ascii="Times New Roman" w:hAnsi="Times New Roman" w:cs="Times New Roman"/>
          <w:b w:val="0"/>
          <w:bCs w:val="0"/>
          <w:sz w:val="24"/>
          <w:szCs w:val="24"/>
          <w:lang w:val="en-US" w:eastAsia="zh-CN"/>
        </w:rPr>
      </w:pPr>
    </w:p>
    <w:p w14:paraId="6F4BFF86">
      <w:pPr>
        <w:jc w:val="center"/>
        <w:rPr>
          <w:rFonts w:hint="default" w:ascii="Times New Roman" w:hAnsi="Times New Roman" w:cs="Times New Roman"/>
          <w:b w:val="0"/>
          <w:bCs w:val="0"/>
          <w:sz w:val="24"/>
          <w:szCs w:val="24"/>
          <w:lang w:val="en-US" w:eastAsia="zh-CN"/>
        </w:rPr>
      </w:pPr>
    </w:p>
    <w:p w14:paraId="3DD9D774">
      <w:pPr>
        <w:jc w:val="center"/>
        <w:rPr>
          <w:rFonts w:hint="default" w:ascii="Times New Roman" w:hAnsi="Times New Roman" w:cs="Times New Roman"/>
          <w:b w:val="0"/>
          <w:bCs w:val="0"/>
          <w:sz w:val="24"/>
          <w:szCs w:val="24"/>
          <w:lang w:val="en-US" w:eastAsia="zh-CN"/>
        </w:rPr>
      </w:pPr>
    </w:p>
    <w:p w14:paraId="184A5B50">
      <w:pPr>
        <w:jc w:val="center"/>
        <w:rPr>
          <w:rFonts w:hint="default" w:ascii="Times New Roman" w:hAnsi="Times New Roman" w:cs="Times New Roman"/>
          <w:b w:val="0"/>
          <w:bCs w:val="0"/>
          <w:sz w:val="24"/>
          <w:szCs w:val="24"/>
          <w:lang w:val="en-US" w:eastAsia="zh-CN"/>
        </w:rPr>
      </w:pPr>
    </w:p>
    <w:p w14:paraId="42AFA013">
      <w:pPr>
        <w:jc w:val="center"/>
        <w:rPr>
          <w:rFonts w:hint="default" w:ascii="Times New Roman" w:hAnsi="Times New Roman" w:cs="Times New Roman"/>
          <w:b w:val="0"/>
          <w:bCs w:val="0"/>
          <w:sz w:val="24"/>
          <w:szCs w:val="24"/>
          <w:lang w:val="en-US" w:eastAsia="zh-CN"/>
        </w:rPr>
      </w:pPr>
    </w:p>
    <w:p w14:paraId="016E5B69">
      <w:pPr>
        <w:jc w:val="center"/>
        <w:rPr>
          <w:rFonts w:hint="default" w:ascii="Times New Roman" w:hAnsi="Times New Roman" w:cs="Times New Roman"/>
          <w:b w:val="0"/>
          <w:bCs w:val="0"/>
          <w:sz w:val="24"/>
          <w:szCs w:val="24"/>
          <w:lang w:val="en-US" w:eastAsia="zh-CN"/>
        </w:rPr>
      </w:pPr>
    </w:p>
    <w:p w14:paraId="3B50DECC">
      <w:pPr>
        <w:jc w:val="center"/>
        <w:rPr>
          <w:rFonts w:hint="default" w:ascii="Times New Roman" w:hAnsi="Times New Roman" w:cs="Times New Roman"/>
          <w:b w:val="0"/>
          <w:bCs w:val="0"/>
          <w:sz w:val="24"/>
          <w:szCs w:val="24"/>
          <w:lang w:val="en-US" w:eastAsia="zh-CN"/>
        </w:rPr>
      </w:pPr>
    </w:p>
    <w:p w14:paraId="4E6A240A">
      <w:pPr>
        <w:jc w:val="center"/>
        <w:rPr>
          <w:rFonts w:hint="default" w:ascii="Times New Roman" w:hAnsi="Times New Roman" w:cs="Times New Roman"/>
          <w:b w:val="0"/>
          <w:bCs w:val="0"/>
          <w:sz w:val="24"/>
          <w:szCs w:val="24"/>
          <w:lang w:val="en-US" w:eastAsia="zh-CN"/>
        </w:rPr>
      </w:pPr>
    </w:p>
    <w:p w14:paraId="64D50F99">
      <w:pPr>
        <w:jc w:val="center"/>
        <w:rPr>
          <w:rFonts w:hint="default" w:ascii="Times New Roman" w:hAnsi="Times New Roman" w:cs="Times New Roman"/>
          <w:b w:val="0"/>
          <w:bCs w:val="0"/>
          <w:sz w:val="24"/>
          <w:szCs w:val="24"/>
          <w:lang w:val="en-US" w:eastAsia="zh-CN"/>
        </w:rPr>
      </w:pPr>
    </w:p>
    <w:p w14:paraId="28EDBCDD">
      <w:pPr>
        <w:jc w:val="center"/>
        <w:rPr>
          <w:rFonts w:hint="default" w:ascii="Times New Roman" w:hAnsi="Times New Roman" w:cs="Times New Roman"/>
          <w:b w:val="0"/>
          <w:bCs w:val="0"/>
          <w:sz w:val="24"/>
          <w:szCs w:val="24"/>
          <w:lang w:val="en-US" w:eastAsia="zh-CN"/>
        </w:rPr>
      </w:pPr>
    </w:p>
    <w:p w14:paraId="0270EE52">
      <w:pPr>
        <w:jc w:val="center"/>
        <w:rPr>
          <w:rFonts w:hint="default" w:ascii="Times New Roman" w:hAnsi="Times New Roman" w:cs="Times New Roman"/>
          <w:b w:val="0"/>
          <w:bCs w:val="0"/>
          <w:sz w:val="24"/>
          <w:szCs w:val="24"/>
          <w:lang w:val="en-US" w:eastAsia="zh-CN"/>
        </w:rPr>
      </w:pPr>
    </w:p>
    <w:p w14:paraId="5C490A63">
      <w:pPr>
        <w:jc w:val="center"/>
        <w:rPr>
          <w:rFonts w:hint="default" w:ascii="Times New Roman" w:hAnsi="Times New Roman" w:cs="Times New Roman"/>
          <w:b w:val="0"/>
          <w:bCs w:val="0"/>
          <w:sz w:val="24"/>
          <w:szCs w:val="24"/>
          <w:lang w:val="en-US" w:eastAsia="zh-CN"/>
        </w:rPr>
      </w:pPr>
    </w:p>
    <w:p w14:paraId="18A3B588">
      <w:pPr>
        <w:jc w:val="center"/>
        <w:rPr>
          <w:rFonts w:hint="default" w:ascii="Times New Roman" w:hAnsi="Times New Roman" w:cs="Times New Roman"/>
          <w:b w:val="0"/>
          <w:bCs w:val="0"/>
          <w:sz w:val="24"/>
          <w:szCs w:val="24"/>
          <w:lang w:val="en-US" w:eastAsia="zh-CN"/>
        </w:rPr>
      </w:pPr>
    </w:p>
    <w:p w14:paraId="705FCEB0">
      <w:pPr>
        <w:jc w:val="center"/>
        <w:rPr>
          <w:rFonts w:hint="default" w:ascii="Times New Roman" w:hAnsi="Times New Roman" w:cs="Times New Roman"/>
          <w:b w:val="0"/>
          <w:bCs w:val="0"/>
          <w:sz w:val="24"/>
          <w:szCs w:val="24"/>
          <w:lang w:val="en-US" w:eastAsia="zh-CN"/>
        </w:rPr>
      </w:pPr>
    </w:p>
    <w:p w14:paraId="654962D9">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Helvetica Neue" w:cs="Times New Roman Bold"/>
          <w:b/>
          <w:bCs/>
          <w:i w:val="0"/>
          <w:iCs w:val="0"/>
          <w:caps w:val="0"/>
          <w:color w:val="auto"/>
          <w:spacing w:val="0"/>
          <w:sz w:val="24"/>
          <w:szCs w:val="24"/>
        </w:rPr>
      </w:pPr>
    </w:p>
    <w:p w14:paraId="1BDA4044">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Times New Roman" w:cs="Times New Roman Bold"/>
          <w:b/>
          <w:bCs/>
          <w:snapToGrid w:val="0"/>
          <w:color w:val="000000"/>
          <w:spacing w:val="-2"/>
          <w:kern w:val="0"/>
          <w:sz w:val="24"/>
          <w:szCs w:val="24"/>
          <w:lang w:val="en-US" w:eastAsia="zh-CN" w:bidi="ar-SA"/>
        </w:rPr>
      </w:pPr>
      <w:r>
        <w:rPr>
          <w:rFonts w:hint="default" w:ascii="Times New Roman Bold" w:hAnsi="Times New Roman Bold" w:eastAsia="Times New Roman" w:cs="Times New Roman Bold"/>
          <w:b/>
          <w:bCs/>
          <w:snapToGrid w:val="0"/>
          <w:color w:val="000000"/>
          <w:spacing w:val="-2"/>
          <w:kern w:val="0"/>
          <w:sz w:val="24"/>
          <w:szCs w:val="24"/>
          <w:lang w:val="en-US" w:eastAsia="zh-CN" w:bidi="ar-SA"/>
        </w:rPr>
        <w:t>Introduction</w:t>
      </w:r>
    </w:p>
    <w:p w14:paraId="758EF415">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Artificial intelligence has rapidly transformed from a novel technology into an everyday partner in education life. Today, learners habitually turn to generative AI for brainstorming ideas, summarizing complex readings, solving problems, and even drafting their entire essays.</w:t>
      </w:r>
      <w:r>
        <w:rPr>
          <w:rFonts w:hint="eastAsia" w:ascii="Times New Roman" w:hAnsi="Times New Roman" w:eastAsia="Times New Roman" w:cs="Times New Roman"/>
          <w:b w:val="0"/>
          <w:bCs w:val="0"/>
          <w:snapToGrid w:val="0"/>
          <w:color w:val="000000"/>
          <w:kern w:val="0"/>
          <w:position w:val="4"/>
          <w:sz w:val="24"/>
          <w:szCs w:val="24"/>
          <w:lang w:val="en-US" w:eastAsia="zh-CN"/>
        </w:rPr>
        <w:t xml:space="preserve"> </w:t>
      </w: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Nevertheless, this change raises urgent psychological questions: What do students gain when they delegate cognitive labor to AI? </w:t>
      </w:r>
      <w:r>
        <w:rPr>
          <w:rFonts w:hint="eastAsia" w:ascii="Times New Roman" w:hAnsi="Times New Roman" w:eastAsia="Times New Roman" w:cs="Times New Roman"/>
          <w:b w:val="0"/>
          <w:bCs w:val="0"/>
          <w:snapToGrid w:val="0"/>
          <w:color w:val="000000"/>
          <w:kern w:val="0"/>
          <w:position w:val="4"/>
          <w:sz w:val="24"/>
          <w:szCs w:val="24"/>
          <w:lang w:val="en-US" w:eastAsia="zh-CN"/>
        </w:rPr>
        <w:t>Further</w:t>
      </w:r>
      <w:r>
        <w:rPr>
          <w:rFonts w:hint="default" w:ascii="Times New Roman" w:hAnsi="Times New Roman" w:eastAsia="Times New Roman" w:cs="Times New Roman"/>
          <w:b w:val="0"/>
          <w:bCs w:val="0"/>
          <w:snapToGrid w:val="0"/>
          <w:color w:val="000000"/>
          <w:kern w:val="0"/>
          <w:position w:val="4"/>
          <w:sz w:val="24"/>
          <w:szCs w:val="24"/>
          <w:lang w:val="en-US" w:eastAsia="zh-CN"/>
        </w:rPr>
        <w:t>more, does this dynamic present a conventional extension of cognitive offloading or does it represent something fundamentally different?</w:t>
      </w:r>
    </w:p>
    <w:p w14:paraId="1069F879">
      <w:pPr>
        <w:kinsoku w:val="0"/>
        <w:autoSpaceDE w:val="0"/>
        <w:autoSpaceDN w:val="0"/>
        <w:adjustRightInd w:val="0"/>
        <w:snapToGrid w:val="0"/>
        <w:spacing w:before="52" w:line="315" w:lineRule="exact"/>
        <w:ind w:left="9"/>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Throughout history, humans have always offloaded cognition. Individuals jot down phone numbers to free up memory, use calculators to reduce calculation, and search website to obtain facts. Psychologists Evan Risko and Sam Gilbert define cognitive offloading as "the use of physical action to alter the information processing requirements of a task so as to reduce cognitive demand" (Risko &amp; Gilbert, 2016).  </w:t>
      </w:r>
    </w:p>
    <w:p w14:paraId="6BBFB72E">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However, generative AI breaks this pattern. In a randomized controlled trial with 120 undergraduates, students who used ChatGPT scored significantly lower on a knowledge retention test (57.5% correct) compared to those who studied traditionally (68.5% correct) , t(83) = −3.19, p = .002, Cohen's d = 0.68 (Bastani et al., 2025). Similarly, a Stanford study employing an experimental design found significantly cut down cognitive engagement scores—including mental effort, attention, deep processing, and strategic thinking—in the ChatGPT group compared to the control group (Georgiou, 2025). Large-scale studies tracking thousands of students further show a worrying trend: those who use AI tools more often perform worse on critical thinking assessments (Georgiou, 2025). </w:t>
      </w:r>
    </w:p>
    <w:p w14:paraId="3D21781F">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These findings suggest that AI assistance may lead to cognitive offloading that undermines rather than supports learning. This dynamic reflects a qualitative progression from offloading to  "cognitive deference," wherein humans are no longer making the final decisions,  passively accepting synthetic outputs.</w:t>
      </w:r>
    </w:p>
    <w:p w14:paraId="529560AF">
      <w:pPr>
        <w:kinsoku w:val="0"/>
        <w:autoSpaceDE w:val="0"/>
        <w:autoSpaceDN w:val="0"/>
        <w:adjustRightInd w:val="0"/>
        <w:snapToGrid w:val="0"/>
        <w:spacing w:before="52" w:line="315" w:lineRule="exact"/>
        <w:ind w:left="9"/>
        <w:jc w:val="left"/>
        <w:textAlignment w:val="baseline"/>
        <w:rPr>
          <w:rFonts w:hint="default" w:ascii="Times New Roman Bold" w:hAnsi="Times New Roman Bold" w:eastAsia="Times New Roman" w:cs="Times New Roman Bold"/>
          <w:b/>
          <w:bCs/>
          <w:snapToGrid w:val="0"/>
          <w:color w:val="000000"/>
          <w:kern w:val="0"/>
          <w:position w:val="4"/>
          <w:sz w:val="24"/>
          <w:szCs w:val="24"/>
          <w:lang w:val="en-US" w:eastAsia="zh-CN"/>
        </w:rPr>
      </w:pPr>
    </w:p>
    <w:p w14:paraId="2CDEE8AA">
      <w:pPr>
        <w:kinsoku w:val="0"/>
        <w:autoSpaceDE w:val="0"/>
        <w:autoSpaceDN w:val="0"/>
        <w:adjustRightInd w:val="0"/>
        <w:snapToGrid w:val="0"/>
        <w:spacing w:before="52" w:line="315" w:lineRule="exact"/>
        <w:ind w:left="9"/>
        <w:jc w:val="left"/>
        <w:textAlignment w:val="baseline"/>
        <w:rPr>
          <w:rFonts w:hint="default" w:ascii="Times New Roman Bold" w:hAnsi="Times New Roman Bold" w:eastAsia="Times New Roman" w:cs="Times New Roman Bold"/>
          <w:b/>
          <w:bCs/>
          <w:snapToGrid w:val="0"/>
          <w:color w:val="000000"/>
          <w:kern w:val="0"/>
          <w:position w:val="4"/>
          <w:sz w:val="24"/>
          <w:szCs w:val="24"/>
          <w:lang w:val="en-US" w:eastAsia="zh-CN"/>
        </w:rPr>
      </w:pPr>
    </w:p>
    <w:p w14:paraId="20CECF43">
      <w:pPr>
        <w:kinsoku w:val="0"/>
        <w:autoSpaceDE w:val="0"/>
        <w:autoSpaceDN w:val="0"/>
        <w:adjustRightInd w:val="0"/>
        <w:snapToGrid w:val="0"/>
        <w:spacing w:before="52" w:line="315" w:lineRule="exact"/>
        <w:ind w:left="9"/>
        <w:jc w:val="left"/>
        <w:textAlignment w:val="baseline"/>
        <w:rPr>
          <w:rFonts w:hint="default" w:ascii="Times New Roman Bold" w:hAnsi="Times New Roman Bold" w:eastAsia="Times New Roman" w:cs="Times New Roman Bold"/>
          <w:b/>
          <w:bCs/>
          <w:snapToGrid w:val="0"/>
          <w:color w:val="000000"/>
          <w:kern w:val="0"/>
          <w:position w:val="4"/>
          <w:sz w:val="24"/>
          <w:szCs w:val="24"/>
          <w:lang w:val="en-US" w:eastAsia="zh-CN"/>
        </w:rPr>
      </w:pPr>
      <w:r>
        <w:rPr>
          <w:rFonts w:hint="default" w:ascii="Times New Roman Bold" w:hAnsi="Times New Roman Bold" w:eastAsia="Times New Roman" w:cs="Times New Roman Bold"/>
          <w:b/>
          <w:bCs/>
          <w:snapToGrid w:val="0"/>
          <w:color w:val="000000"/>
          <w:kern w:val="0"/>
          <w:position w:val="4"/>
          <w:sz w:val="24"/>
          <w:szCs w:val="24"/>
          <w:lang w:val="en-US" w:eastAsia="zh-CN"/>
        </w:rPr>
        <w:t>What is Gained</w:t>
      </w:r>
    </w:p>
    <w:p w14:paraId="3A86572F">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The benefits of using AI in education are immediate and well-documented. Firstly, students save substantial time and effort. Tasks that required hours of reading, organizing, and drafting can now be completed in minutes, effectively lowering initial barriers to entry that frequently overwhelms students.</w:t>
      </w:r>
    </w:p>
    <w:p w14:paraId="62D30B8A">
      <w:pPr>
        <w:kinsoku w:val="0"/>
        <w:autoSpaceDE w:val="0"/>
        <w:autoSpaceDN w:val="0"/>
        <w:adjustRightInd w:val="0"/>
        <w:snapToGrid w:val="0"/>
        <w:spacing w:before="52" w:line="315" w:lineRule="exact"/>
        <w:ind w:left="9"/>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Secondly, working memory resources are theoretically released. According to cognitive load theory, the capacity is strictly limited. In this idealized framework, AI functions as an extra helping assistant that bridges knowledge gaps. </w:t>
      </w:r>
    </w:p>
    <w:p w14:paraId="683A2BEE">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Third, immediate academic performance often improves significantly. A meta-analysis by Sun and Zhou (2024) found that generative AI significantly improved college students' academic achievement with a medium effect size (Hedges's g = 0.533, 95% CI [0.408, 0.658]) (Sun &amp; Zhou, 2024). A large-scale field experiment worked with nearly a thousand high school math students found that having GPT-4 access while solving problems improved grades by 48% for students using a standard ChatGPT, and by 127% for those using a specially designed AI tutor (Bastani et al., 2025). Another study revealed that students who actively engaged with a personal AI tutor achieved significantly higher exam grades, improving their performance by up to 15 percentile points compared to unassisted contrl groups (Bastani et al., 2025).</w:t>
      </w:r>
    </w:p>
    <w:p w14:paraId="05BF31F4">
      <w:pPr>
        <w:kinsoku w:val="0"/>
        <w:autoSpaceDE w:val="0"/>
        <w:autoSpaceDN w:val="0"/>
        <w:adjustRightInd w:val="0"/>
        <w:snapToGrid w:val="0"/>
        <w:spacing w:before="52" w:line="315" w:lineRule="exact"/>
        <w:ind w:left="9"/>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Lastly, AI serves as a 24-hour personalized tutor available for customizing learning plans and pacing to individual needs. For struggling learners, these systems offer  patient and nonjudgmental guidance at any hour. While these short-term gains are undeniable, they introduce a critical dilemma regarding  long-term intellectual development.</w:t>
      </w:r>
    </w:p>
    <w:p w14:paraId="59B6170F">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Times New Roman" w:cs="Times New Roman Bold"/>
          <w:b/>
          <w:bCs/>
          <w:snapToGrid w:val="0"/>
          <w:color w:val="000000"/>
          <w:spacing w:val="-2"/>
          <w:kern w:val="0"/>
          <w:sz w:val="24"/>
          <w:szCs w:val="24"/>
          <w:lang w:val="en-US" w:eastAsia="zh-CN" w:bidi="ar-SA"/>
        </w:rPr>
      </w:pPr>
    </w:p>
    <w:p w14:paraId="7DB59001">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Times New Roman" w:cs="Times New Roman Bold"/>
          <w:b/>
          <w:bCs/>
          <w:snapToGrid w:val="0"/>
          <w:color w:val="000000"/>
          <w:spacing w:val="-2"/>
          <w:kern w:val="0"/>
          <w:sz w:val="24"/>
          <w:szCs w:val="24"/>
          <w:lang w:val="en-US" w:eastAsia="zh-CN" w:bidi="ar-SA"/>
        </w:rPr>
      </w:pPr>
      <w:r>
        <w:rPr>
          <w:rFonts w:hint="default" w:ascii="Times New Roman Bold" w:hAnsi="Times New Roman Bold" w:eastAsia="Times New Roman" w:cs="Times New Roman Bold"/>
          <w:b/>
          <w:bCs/>
          <w:snapToGrid w:val="0"/>
          <w:color w:val="000000"/>
          <w:spacing w:val="-2"/>
          <w:kern w:val="0"/>
          <w:sz w:val="24"/>
          <w:szCs w:val="24"/>
          <w:lang w:val="en-US" w:eastAsia="zh-CN" w:bidi="ar-SA"/>
        </w:rPr>
        <w:t>What is Lost</w:t>
      </w:r>
    </w:p>
    <w:p w14:paraId="317AB609">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Under the surface of efficiency lies a more troubling psychological reality. The most significant loss is the shortening of reflective processes.  When students make ambiguous ideas detailed, test hypotheses, and correct their own misunderstandings, they build durable mental models. Students read AI-generated text and feel they have understood the content, when in fact they have only got its surface. Deep thinking—that requires time, confusion, and effort—is skipped, which is harmful to long-term knowledge retention. Controlled trials confirm this vulnerability: unassisted students consistently outperform AI-dependent peers on retention tests administered weeks after initial exposure (Bastani et al., 2025). </w:t>
      </w:r>
    </w:p>
    <w:p w14:paraId="3CFBD635">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A second loss concerns generative cognition. Psychological research on the generation effect, first established by Slamecka and Graf (1978), demonstrates that people remember information significantly better when they produce it themselves. Across five experiments with 96 undergraduates, Slamecka and Graf found that performance in the "Generate" condition was consistently superior to that in the "Read" condition across measures of cued and uncued recognition, free and cued recall (Slamecka &amp; Graf, 1978). When AI generates ideas, explanations, and arguments, students become editors rather than creators. They participate less in the construction of knowledge, and consequently, they retain less of what they encounter. Longitudinal analysis tracking reveals that earners frequently accept language model outputs with minimal modification or critical evaluation, converging toward low-effort engagement habits (Bastani et al., 2025).</w:t>
      </w:r>
    </w:p>
    <w:p w14:paraId="1E9560BD">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Third, students increasingly become passive receivers rather than active thinkers. A study of 580 Chinese university students linked heavy AI dependence to reduced  critical thinking scores, mediated by cognitive fatigue (Georgiou, 2025). </w:t>
      </w:r>
      <w:r>
        <w:rPr>
          <w:rFonts w:hint="eastAsia" w:ascii="Times New Roman" w:hAnsi="Times New Roman" w:eastAsia="Times New Roman" w:cs="Times New Roman"/>
          <w:b w:val="0"/>
          <w:bCs w:val="0"/>
          <w:snapToGrid w:val="0"/>
          <w:color w:val="000000"/>
          <w:kern w:val="0"/>
          <w:position w:val="4"/>
          <w:sz w:val="24"/>
          <w:szCs w:val="24"/>
          <w:lang w:val="en-US" w:eastAsia="zh-CN"/>
        </w:rPr>
        <w:t>Institutional</w:t>
      </w: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 data from the China Youth Research Center indicates that over 60% of K-12 students use AI, with more than 70% using AI to assist with homework, and over 20% showing tendencies of dependence on AI or abandoning independent thinking. </w:t>
      </w:r>
    </w:p>
    <w:p w14:paraId="261D95BA">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Fourth, over-reliance on AI weakens critical evaluation. Students may accept AI-generated content without questioning its accuracy. An Oregon State University study discovered that just one unit of additional AI usage results in a 66% decline in reflection, a 41% drop in critical thinking, and a 21% reduction in the "need for understanding" (Georgiou, 2025). Furthermore, electroencephalography (EEG) monitoring conducted by MIT Media Lab researchers revealed significantly depressed neural connectivity and impaired memory retrieval among participants composing essays with ChatGPT compared to unassisted writers (Kosmyna et al., 2025).</w:t>
      </w:r>
    </w:p>
    <w:p w14:paraId="4F1228A9">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Fifth, and perhaps most fundamentally, actual learning may not take place when students turn to AI for answers because there is no desirable difficulty. Psychologist Robert Bjork's desirable difficulty framework posits that "difficult but successful retrievals are better for memory than easier successful retrievals" (Bjork, 1994). When an automated systems provide solutions, students bypass the struggle through which lasting cognitive structures are built.</w:t>
      </w:r>
    </w:p>
    <w:p w14:paraId="1405BC19">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Times New Roman" w:cs="Times New Roman Bold"/>
          <w:b/>
          <w:bCs/>
          <w:snapToGrid w:val="0"/>
          <w:color w:val="000000"/>
          <w:spacing w:val="-2"/>
          <w:kern w:val="0"/>
          <w:sz w:val="24"/>
          <w:szCs w:val="24"/>
          <w:lang w:val="en-US" w:eastAsia="zh-CN" w:bidi="ar-SA"/>
        </w:rPr>
      </w:pPr>
    </w:p>
    <w:p w14:paraId="7521F692">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Times New Roman" w:cs="Times New Roman Bold"/>
          <w:b/>
          <w:bCs/>
          <w:snapToGrid w:val="0"/>
          <w:color w:val="000000"/>
          <w:spacing w:val="-2"/>
          <w:kern w:val="0"/>
          <w:sz w:val="24"/>
          <w:szCs w:val="24"/>
          <w:lang w:val="en-US" w:eastAsia="zh-CN" w:bidi="ar-SA"/>
        </w:rPr>
      </w:pPr>
      <w:r>
        <w:rPr>
          <w:rFonts w:hint="default" w:ascii="Times New Roman Bold" w:hAnsi="Times New Roman Bold" w:eastAsia="Times New Roman" w:cs="Times New Roman Bold"/>
          <w:b/>
          <w:bCs/>
          <w:snapToGrid w:val="0"/>
          <w:color w:val="000000"/>
          <w:spacing w:val="-2"/>
          <w:kern w:val="0"/>
          <w:sz w:val="24"/>
          <w:szCs w:val="24"/>
          <w:lang w:val="en-US" w:eastAsia="zh-CN" w:bidi="ar-SA"/>
        </w:rPr>
        <w:t>Is This Just Cognitive Offloading?</w:t>
      </w:r>
    </w:p>
    <w:p w14:paraId="17C48976">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To answer the research question directly, we must first clarify what cognitive offloading means. In its classic sense, as defined by Risko and Gilbert (2016), cognitive offloading refers to using external tools to reduce internal cognitive demands. </w:t>
      </w:r>
    </w:p>
    <w:p w14:paraId="3D63AC26">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Generative AI, however, is fundamentally different. When a student asks AI to explain a philosophical concept or outline an argument, the student outsources the process of sense-making itself. Research on cognitive engagement confirms this distinction: "counterproductive ease may encourage cognitive offloading, where students rely on AI-generated responses instead of engaging in effortful processing" (Georgiou, 2025). Moreover, "cognitive offloading to AI risks weakening metacognitive engagement, especially when learners lack the maturity or instructional support to critically vet AI outputs" (Georgiou, 2025). The "unloading" of cognitive load is gradually evolving into the "outsourcing" of cognitive tasks.</w:t>
      </w:r>
    </w:p>
    <w:p w14:paraId="13291A7F">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This is not a quantitative increase in offloading, a matter of degree. It is a qualitative change in the nature of cognitive engagement. They no longer practice the skills that define independent intellect: questioning, synthesizing, evaluating, and creating. This shift is better termed "cognitive deference" or "thinking transfer"—a profound transition from active thinker to passive recipient. AI gradually removes the load entirely from the student's hands. The identification of a paradoxical "high depth–high dependence" user profile (25.8% of the sample) represents one of the most telling findings—students become expert at using the tool but invest insufficient effort in the metacognitive processes that would make tool use cognitively productive (Bastani et al., 2025).</w:t>
      </w:r>
    </w:p>
    <w:p w14:paraId="4C88A10A">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0BE966BD">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023D8A15">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7A78EA62">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Times New Roman" w:cs="Times New Roman Bold"/>
          <w:b/>
          <w:bCs/>
          <w:snapToGrid w:val="0"/>
          <w:color w:val="000000"/>
          <w:spacing w:val="-2"/>
          <w:kern w:val="0"/>
          <w:sz w:val="24"/>
          <w:szCs w:val="24"/>
          <w:lang w:val="en-US" w:eastAsia="zh-CN" w:bidi="ar-SA"/>
        </w:rPr>
      </w:pPr>
      <w:r>
        <w:rPr>
          <w:rFonts w:hint="default" w:ascii="Times New Roman Bold" w:hAnsi="Times New Roman Bold" w:eastAsia="Times New Roman" w:cs="Times New Roman Bold"/>
          <w:b/>
          <w:bCs/>
          <w:snapToGrid w:val="0"/>
          <w:color w:val="000000"/>
          <w:spacing w:val="-2"/>
          <w:kern w:val="0"/>
          <w:sz w:val="24"/>
          <w:szCs w:val="24"/>
          <w:lang w:val="en-US" w:eastAsia="zh-CN" w:bidi="ar-SA"/>
        </w:rPr>
        <w:t>Possible Solutions</w:t>
      </w:r>
    </w:p>
    <w:p w14:paraId="79FF4B32">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Recognizing the depth of this challenge, what can educators and students do? The answer is not to ban AI—that is neither realistic nor desirable—but to reshape how it is used.</w:t>
      </w:r>
    </w:p>
    <w:p w14:paraId="5ED92DB2">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 xml:space="preserve">First, assessment must be reformed. Traditional final papers and exams are easily outsourced to AI. Instead, educators should evaluate processes: oral explanations, mind maps, drafts with revision histories, and reflective summaries. These forms of assessment reveal the student's actual thinking journey and cannot be easily generated by AI. Educators should emphasize oral defenses, concept mapping, iterative draft revisions, and reflective summaries that caputre authentic student reasoning, countering what the OECD terms "metacognitive laziness" (OECD, 2026). </w:t>
      </w:r>
    </w:p>
    <w:p w14:paraId="54777AFD">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Second, a collaborative model should be promoted: "think first, then use AI to verify and expand." Requiring students to grapple independently with core problems prior to consulting AI preserves the essential cognitive struggles needed for durable learning (Bastani et al., 2025).</w:t>
      </w:r>
    </w:p>
    <w:p w14:paraId="06A64D6A">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Third, metacognition must be cultivated. Metacognitive scaffolding can regulate GenAI-supported collaboration, preserve learner agency, and promote cognitive reciprocity. A study developing metacognitive scaffolds for "Learner–Peer–GenAI" interaction found that such approaches can effectively reduce cognitive offloading and enhance students' critical thinking.</w:t>
      </w:r>
    </w:p>
    <w:p w14:paraId="227D5EED">
      <w:pPr>
        <w:pStyle w:val="7"/>
        <w:keepNext w:val="0"/>
        <w:keepLines w:val="0"/>
        <w:widowControl/>
        <w:suppressLineNumbers w:val="0"/>
        <w:spacing w:before="320" w:beforeAutospacing="0" w:after="0" w:afterAutospacing="0"/>
        <w:ind w:left="0" w:right="0" w:firstLine="0"/>
        <w:rPr>
          <w:rFonts w:hint="default" w:ascii="Times New Roman Bold" w:hAnsi="Times New Roman Bold" w:eastAsia="Times New Roman" w:cs="Times New Roman Bold"/>
          <w:b/>
          <w:bCs/>
          <w:snapToGrid w:val="0"/>
          <w:color w:val="000000"/>
          <w:spacing w:val="-2"/>
          <w:kern w:val="0"/>
          <w:sz w:val="24"/>
          <w:szCs w:val="24"/>
          <w:lang w:val="en-US" w:eastAsia="zh-CN" w:bidi="ar-SA"/>
        </w:rPr>
      </w:pPr>
    </w:p>
    <w:p w14:paraId="622B84B4">
      <w:pPr>
        <w:pStyle w:val="7"/>
        <w:keepNext w:val="0"/>
        <w:keepLines w:val="0"/>
        <w:widowControl/>
        <w:suppressLineNumbers w:val="0"/>
        <w:spacing w:before="320" w:beforeAutospacing="0" w:after="0" w:afterAutospacing="0"/>
        <w:ind w:left="0" w:right="0" w:firstLine="0"/>
        <w:rPr>
          <w:rFonts w:hint="default" w:ascii="Times New Roman" w:hAnsi="Times New Roman" w:eastAsia="Times New Roman" w:cs="Times New Roman"/>
          <w:snapToGrid w:val="0"/>
          <w:color w:val="000000"/>
          <w:spacing w:val="-2"/>
          <w:kern w:val="0"/>
          <w:sz w:val="24"/>
          <w:szCs w:val="24"/>
          <w:lang w:val="en-US" w:eastAsia="zh-CN" w:bidi="ar-SA"/>
        </w:rPr>
      </w:pPr>
      <w:r>
        <w:rPr>
          <w:rFonts w:hint="default" w:ascii="Times New Roman Bold" w:hAnsi="Times New Roman Bold" w:eastAsia="Times New Roman" w:cs="Times New Roman Bold"/>
          <w:b/>
          <w:bCs/>
          <w:snapToGrid w:val="0"/>
          <w:color w:val="000000"/>
          <w:spacing w:val="-2"/>
          <w:kern w:val="0"/>
          <w:sz w:val="24"/>
          <w:szCs w:val="24"/>
          <w:lang w:val="en-US" w:eastAsia="zh-CN" w:bidi="ar-SA"/>
        </w:rPr>
        <w:t>Conclusion</w:t>
      </w:r>
    </w:p>
    <w:p w14:paraId="48F04469">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r>
        <w:rPr>
          <w:rFonts w:hint="default" w:ascii="Times New Roman" w:hAnsi="Times New Roman" w:eastAsia="Times New Roman" w:cs="Times New Roman"/>
          <w:b w:val="0"/>
          <w:bCs w:val="0"/>
          <w:snapToGrid w:val="0"/>
          <w:color w:val="000000"/>
          <w:kern w:val="0"/>
          <w:position w:val="4"/>
          <w:sz w:val="24"/>
          <w:szCs w:val="24"/>
          <w:lang w:val="en-US" w:eastAsia="zh-CN"/>
        </w:rPr>
        <w:t>Generative AI is not a neutral tool. It trades reflective depth and intellectual development for short-term gains, changing from active thinking into cognitive deference.  Protecting true learning requires more than restrictive policies or technical detection, it demands preserving the essential discomfort, struggle, and effort of thinking. Ultimately, the defining question of the AI era is not whether machines can think, but whether we will choose to do so ourselves.</w:t>
      </w:r>
    </w:p>
    <w:p w14:paraId="4087361D">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5A2EB1A4">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2D3BDA74">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0DECD2EA">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5F820452">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2BE09310">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16ED47FE">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69538F9B">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2D2B4BE0">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74DBFFCF">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0DEB461F">
      <w:pPr>
        <w:kinsoku w:val="0"/>
        <w:autoSpaceDE w:val="0"/>
        <w:autoSpaceDN w:val="0"/>
        <w:adjustRightInd w:val="0"/>
        <w:snapToGrid w:val="0"/>
        <w:spacing w:before="52" w:line="315" w:lineRule="exact"/>
        <w:ind w:left="9" w:leftChars="0" w:firstLine="720" w:firstLineChars="0"/>
        <w:jc w:val="left"/>
        <w:textAlignment w:val="baseline"/>
        <w:rPr>
          <w:rFonts w:hint="default" w:ascii="Times New Roman" w:hAnsi="Times New Roman" w:eastAsia="Times New Roman" w:cs="Times New Roman"/>
          <w:b w:val="0"/>
          <w:bCs w:val="0"/>
          <w:snapToGrid w:val="0"/>
          <w:color w:val="000000"/>
          <w:kern w:val="0"/>
          <w:position w:val="4"/>
          <w:sz w:val="24"/>
          <w:szCs w:val="24"/>
          <w:lang w:val="en-US" w:eastAsia="zh-CN"/>
        </w:rPr>
      </w:pPr>
    </w:p>
    <w:p w14:paraId="65527CEF">
      <w:pPr>
        <w:kinsoku w:val="0"/>
        <w:autoSpaceDE w:val="0"/>
        <w:autoSpaceDN w:val="0"/>
        <w:adjustRightInd w:val="0"/>
        <w:snapToGrid w:val="0"/>
        <w:spacing w:before="174" w:line="465" w:lineRule="auto"/>
        <w:ind w:right="272"/>
        <w:jc w:val="center"/>
        <w:textAlignment w:val="baseline"/>
        <w:rPr>
          <w:rFonts w:hint="default" w:ascii="Times New Roman" w:hAnsi="Times New Roman" w:eastAsia="Times New Roman" w:cs="Times New Roman"/>
          <w:snapToGrid w:val="0"/>
          <w:color w:val="000000"/>
          <w:kern w:val="0"/>
          <w:sz w:val="24"/>
          <w:szCs w:val="24"/>
          <w:lang w:val="en-US" w:eastAsia="zh-CN"/>
        </w:rPr>
      </w:pPr>
      <w:r>
        <w:rPr>
          <w:rFonts w:hint="default" w:ascii="Times New Roman Bold" w:hAnsi="Times New Roman Bold" w:eastAsia="Times New Roman" w:cs="Times New Roman Bold"/>
          <w:b/>
          <w:bCs/>
          <w:snapToGrid w:val="0"/>
          <w:color w:val="000000"/>
          <w:kern w:val="0"/>
          <w:sz w:val="24"/>
          <w:szCs w:val="24"/>
          <w:lang w:val="en-US" w:eastAsia="zh-CN"/>
        </w:rPr>
        <w:t>References</w:t>
      </w:r>
    </w:p>
    <w:p w14:paraId="0C0DE4E7">
      <w:pPr>
        <w:pStyle w:val="5"/>
        <w:kinsoku w:val="0"/>
        <w:autoSpaceDE w:val="0"/>
        <w:autoSpaceDN w:val="0"/>
        <w:adjustRightInd w:val="0"/>
        <w:snapToGrid w:val="0"/>
        <w:spacing w:before="53" w:line="402" w:lineRule="auto"/>
        <w:ind w:left="717" w:right="240" w:firstLine="6"/>
        <w:jc w:val="left"/>
        <w:textAlignment w:val="baseline"/>
        <w:rPr>
          <w:rFonts w:ascii="Times New Roman" w:hAnsi="Times New Roman" w:eastAsia="Times New Roman" w:cs="Times New Roman"/>
          <w:snapToGrid w:val="0"/>
          <w:color w:val="1155CC"/>
          <w:kern w:val="0"/>
          <w:sz w:val="24"/>
          <w:szCs w:val="24"/>
          <w:u w:val="single" w:color="auto"/>
          <w:lang w:val="en-US" w:eastAsia="en-US" w:bidi="ar-SA"/>
        </w:rPr>
      </w:pPr>
      <w:r>
        <w:rPr>
          <w:rFonts w:hint="default" w:ascii="Times New Roman" w:hAnsi="Times New Roman" w:eastAsia="Times New Roman" w:cs="Times New Roman"/>
          <w:snapToGrid w:val="0"/>
          <w:color w:val="000000"/>
          <w:spacing w:val="-1"/>
          <w:kern w:val="0"/>
        </w:rPr>
        <w:t>Bastani, H., Bastani, O., Sungu, A., Ge, H., Kabakcı, Ö., &amp; Mariman, R. (2025). Generative AI without guardrails can harm learning: Evidence from high school mathematics. Proceedings of the National Academy of Sciences, 122(26).</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"https://doi.org/10.1073/pnas.2422633122"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https://doi.org/10.1073/pnas.2422633122</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53F98BDD">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p>
    <w:p w14:paraId="075FBD85">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r>
        <w:rPr>
          <w:rFonts w:hint="default" w:ascii="Times New Roman" w:hAnsi="Times New Roman" w:eastAsia="Times New Roman" w:cs="Times New Roman"/>
          <w:snapToGrid w:val="0"/>
          <w:color w:val="000000"/>
          <w:spacing w:val="-1"/>
          <w:kern w:val="0"/>
        </w:rPr>
        <w:t>Bjork, R. A. (1994). Memory and metamemory considerations in the training of human beings. In J. Metcalfe &amp; A. Shimamura (Eds.), Metacognition: Knowing about knowing (pp. 185–205). MIT Press.</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"https://doi.org/10.7551/mitpress/4561.003.0011"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https://doi.org/10.7551/mitpress/4561.003.0011</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5A457822">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p>
    <w:p w14:paraId="2D695231">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1155CC"/>
          <w:kern w:val="0"/>
          <w:sz w:val="24"/>
          <w:szCs w:val="24"/>
          <w:u w:val="single" w:color="auto"/>
          <w:lang w:val="en-US" w:eastAsia="en-US" w:bidi="ar-SA"/>
        </w:rPr>
      </w:pPr>
      <w:r>
        <w:rPr>
          <w:rFonts w:hint="default" w:ascii="Times New Roman" w:hAnsi="Times New Roman" w:eastAsia="Times New Roman" w:cs="Times New Roman"/>
          <w:snapToGrid w:val="0"/>
          <w:color w:val="000000"/>
          <w:spacing w:val="-1"/>
          <w:kern w:val="0"/>
        </w:rPr>
        <w:t>Georgiou, G. P. (2025). ChatGPT produces more "lazy" thinkers: Evidence of cognitive engagement decline. arXiv, arXiv:2507.00181.</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"https://doi.org/10.48550/arXiv.2507.00181"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https://doi.org/10.48550/arXiv.2507.00181</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26091B53">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p>
    <w:p w14:paraId="100CECC7">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1155CC"/>
          <w:kern w:val="0"/>
          <w:sz w:val="24"/>
          <w:szCs w:val="24"/>
          <w:u w:val="single" w:color="auto"/>
          <w:lang w:val="en-US" w:eastAsia="en-US" w:bidi="ar-SA"/>
        </w:rPr>
      </w:pPr>
      <w:r>
        <w:rPr>
          <w:rFonts w:hint="default" w:ascii="Times New Roman" w:hAnsi="Times New Roman" w:eastAsia="Times New Roman" w:cs="Times New Roman"/>
          <w:snapToGrid w:val="0"/>
          <w:color w:val="000000"/>
          <w:spacing w:val="-1"/>
          <w:kern w:val="0"/>
        </w:rPr>
        <w:t>Kosmyna, N., Hauptmann, E., Yuan, Y. T., Situ, J., Liao, X.-H., Beresnitzky, A. V., Braunstein, I., &amp; Maes, P. (2025). Your Brain on ChatGPT: Accumulation of Cognitive Debt when Using an AI Assistant for Essay Writing Task. MIT Media Lab.</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"https://www.media.mit.edu/publications/your-brain-on-chatgpt"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https://www.media.mit.edu/publications/your-brain-on-chatgpt</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39AD1171">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p>
    <w:p w14:paraId="554800E7">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r>
        <w:rPr>
          <w:rFonts w:hint="default" w:ascii="Times New Roman" w:hAnsi="Times New Roman" w:eastAsia="Times New Roman" w:cs="Times New Roman"/>
          <w:snapToGrid w:val="0"/>
          <w:color w:val="000000"/>
          <w:spacing w:val="-1"/>
          <w:kern w:val="0"/>
        </w:rPr>
        <w:t>OECD. (2026). OECD Digital Education Outlook 2026: Exploring Effective Uses of Generative AI in Education. OECD Publishing.</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"https://doi.org/10.1787/062a7394-en"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https://doi.org/10.1787/062a7394-en</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6B3B04F6">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p>
    <w:p w14:paraId="7B812B1F">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r>
        <w:rPr>
          <w:rFonts w:hint="default" w:ascii="Times New Roman" w:hAnsi="Times New Roman" w:eastAsia="Times New Roman" w:cs="Times New Roman"/>
          <w:snapToGrid w:val="0"/>
          <w:color w:val="000000"/>
          <w:spacing w:val="-1"/>
          <w:kern w:val="0"/>
        </w:rPr>
        <w:t>Risko, E. F., &amp; Gilbert, S. J. (2016). Cognitive offloading. Trends in Cognitive Sciences, 20(9), 676–688.</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"https://doi.org/10.1016/j.tics.2016.07.002"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https://doi.org/10.1016/j.tics.2016.07.002</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7C609A94">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1155CC"/>
          <w:kern w:val="0"/>
          <w:sz w:val="24"/>
          <w:szCs w:val="24"/>
          <w:u w:val="single" w:color="auto"/>
          <w:lang w:val="en-US" w:eastAsia="en-US" w:bidi="ar-SA"/>
        </w:rPr>
      </w:pPr>
      <w:r>
        <w:rPr>
          <w:rFonts w:hint="default" w:ascii="Times New Roman" w:hAnsi="Times New Roman" w:eastAsia="Times New Roman" w:cs="Times New Roman"/>
          <w:snapToGrid w:val="0"/>
          <w:color w:val="000000"/>
          <w:spacing w:val="-1"/>
          <w:kern w:val="0"/>
        </w:rPr>
        <w:t>Slamecka, N. J., &amp; Graf, P. (1978). The generation effect: Delineation of a phenomenon. Journal of Experimental Psychology: Human Learning and Memory, 4(6), 592–604.</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"https://doi.org/10.1037/0278-7393.4.6.592"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https://doi.org/10.1037/0278-7393.4.6.592</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06883C05">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rPr>
      </w:pPr>
    </w:p>
    <w:p w14:paraId="1289EF2C">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1155CC"/>
          <w:kern w:val="0"/>
          <w:sz w:val="24"/>
          <w:szCs w:val="24"/>
          <w:u w:val="single" w:color="auto"/>
          <w:lang w:val="en-US" w:eastAsia="en-US" w:bidi="ar-SA"/>
        </w:rPr>
      </w:pPr>
      <w:r>
        <w:rPr>
          <w:rFonts w:hint="default" w:ascii="Times New Roman" w:hAnsi="Times New Roman" w:eastAsia="Times New Roman" w:cs="Times New Roman"/>
          <w:snapToGrid w:val="0"/>
          <w:color w:val="000000"/>
          <w:spacing w:val="-1"/>
          <w:kern w:val="0"/>
        </w:rPr>
        <w:t>Sun, L., &amp; Zhou, L. (2024). Does Generative Artificial Intelligence Improve the Academic Achievement of College Students? A Meta-Analysis. Journal of Educational Computing Research, 62(7), 1896–1933.</w:t>
      </w:r>
      <w:r>
        <w:rPr>
          <w:rFonts w:hint="default" w:ascii="Times New Roman" w:hAnsi="Times New Roman" w:eastAsia="Times New Roman" w:cs="Times New Roman"/>
          <w:snapToGrid w:val="0"/>
          <w:color w:val="000000"/>
          <w:spacing w:val="-1"/>
          <w:kern w:val="0"/>
        </w:rPr>
        <w:br w:type="textWrapping"/>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begin"/>
      </w:r>
      <w:r>
        <w:rPr>
          <w:rFonts w:hint="default" w:ascii="Times New Roman" w:hAnsi="Times New Roman" w:eastAsia="Times New Roman" w:cs="Times New Roman"/>
          <w:snapToGrid w:val="0"/>
          <w:color w:val="1155CC"/>
          <w:kern w:val="0"/>
          <w:sz w:val="24"/>
          <w:szCs w:val="24"/>
          <w:u w:val="single" w:color="auto"/>
          <w:lang w:val="en-US" w:eastAsia="en-US" w:bidi="ar-SA"/>
        </w:rPr>
        <w:instrText xml:space="preserve"> HYPERLINK "https://journals.sagepub.com/home/jec" \t "/Users/kerensashu/Documents\\x/_blank" </w:instrTex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separate"/>
      </w:r>
      <w:r>
        <w:rPr>
          <w:rFonts w:hint="default" w:ascii="Times New Roman" w:hAnsi="Times New Roman" w:eastAsia="Times New Roman" w:cs="Times New Roman"/>
          <w:snapToGrid w:val="0"/>
          <w:color w:val="1155CC"/>
          <w:kern w:val="0"/>
          <w:sz w:val="24"/>
          <w:szCs w:val="24"/>
          <w:u w:val="single" w:color="auto"/>
          <w:lang w:val="en-US" w:eastAsia="en-US" w:bidi="ar-SA"/>
        </w:rPr>
        <w:t>https://journals.sagepub.com/home/jec</w:t>
      </w:r>
      <w:r>
        <w:rPr>
          <w:rFonts w:hint="default" w:ascii="Times New Roman" w:hAnsi="Times New Roman" w:eastAsia="Times New Roman" w:cs="Times New Roman"/>
          <w:snapToGrid w:val="0"/>
          <w:color w:val="1155CC"/>
          <w:kern w:val="0"/>
          <w:sz w:val="24"/>
          <w:szCs w:val="24"/>
          <w:u w:val="single" w:color="auto"/>
          <w:lang w:val="en-US" w:eastAsia="en-US" w:bidi="ar-SA"/>
        </w:rPr>
        <w:fldChar w:fldCharType="end"/>
      </w:r>
    </w:p>
    <w:p w14:paraId="2E0F25CD">
      <w:pPr>
        <w:pStyle w:val="5"/>
        <w:kinsoku w:val="0"/>
        <w:autoSpaceDE w:val="0"/>
        <w:autoSpaceDN w:val="0"/>
        <w:adjustRightInd w:val="0"/>
        <w:snapToGrid w:val="0"/>
        <w:spacing w:before="53" w:line="402" w:lineRule="auto"/>
        <w:ind w:left="717" w:right="240" w:firstLine="6"/>
        <w:jc w:val="left"/>
        <w:textAlignment w:val="baseline"/>
        <w:rPr>
          <w:rFonts w:ascii="Times New Roman" w:hAnsi="Times New Roman" w:eastAsia="Times New Roman" w:cs="Times New Roman"/>
          <w:snapToGrid w:val="0"/>
          <w:color w:val="000000"/>
          <w:spacing w:val="-1"/>
          <w:kern w:val="0"/>
        </w:rPr>
      </w:pPr>
    </w:p>
    <w:p w14:paraId="548E9E40">
      <w:pPr>
        <w:pStyle w:val="5"/>
        <w:kinsoku w:val="0"/>
        <w:autoSpaceDE w:val="0"/>
        <w:autoSpaceDN w:val="0"/>
        <w:adjustRightInd w:val="0"/>
        <w:snapToGrid w:val="0"/>
        <w:spacing w:before="53" w:line="402" w:lineRule="auto"/>
        <w:ind w:left="717" w:right="240" w:firstLine="6"/>
        <w:jc w:val="left"/>
        <w:textAlignment w:val="baseline"/>
        <w:rPr>
          <w:rFonts w:hint="default" w:ascii="Times New Roman" w:hAnsi="Times New Roman" w:eastAsia="Times New Roman" w:cs="Times New Roman"/>
          <w:snapToGrid w:val="0"/>
          <w:color w:val="000000"/>
          <w:spacing w:val="-1"/>
          <w:kern w:val="0"/>
          <w:lang w:val="en-US" w:eastAsia="zh-C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SimSun">
    <w:altName w:val="汉仪书宋二KW"/>
    <w:panose1 w:val="02010600030101010101"/>
    <w:charset w:val="86"/>
    <w:family w:val="auto"/>
    <w:pitch w:val="default"/>
    <w:sig w:usb0="00000000" w:usb1="00000000" w:usb2="00000016" w:usb3="00000000" w:csb0="00040001" w:csb1="00000000"/>
  </w:font>
  <w:font w:name="SimSun">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PingFang SC">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8F0BBB"/>
    <w:rsid w:val="3F8F0BBB"/>
    <w:rsid w:val="DFAE5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Body Text"/>
    <w:basedOn w:val="1"/>
    <w:semiHidden/>
    <w:qFormat/>
    <w:uiPriority w:val="0"/>
    <w:rPr>
      <w:rFonts w:ascii="PingFang SC" w:hAnsi="PingFang SC" w:eastAsia="PingFang SC" w:cs="PingFang SC"/>
      <w:sz w:val="24"/>
      <w:szCs w:val="24"/>
      <w:lang w:val="en-US" w:eastAsia="en-US" w:bidi="ar-SA"/>
    </w:rPr>
  </w:style>
  <w:style w:type="character" w:styleId="6">
    <w:name w:val="Hyperlink"/>
    <w:basedOn w:val="3"/>
    <w:uiPriority w:val="0"/>
    <w:rPr>
      <w:color w:val="0000FF"/>
      <w:u w:val="single"/>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8</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2026-08-30T16:17:00Z</dcterms:created>
  <dc:creator>简</dc:creator>
  <cp:lastModifiedBy>简</cp:lastModifiedBy>
  <dcterms:modified xsi:type="dcterms:W3CDTF">2026-08-30T16:46:24Z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1033-12.1.26026.26026</vt:lpwstr>
  </property>
  <property fmtid="{D5CDD505-2E9C-101B-9397-08002B2CF9AE}" pid="3" name="ICV">
    <vt:lpwstr>2C2F8442D46A475A09E7936AB75E729E_41</vt:lpwstr>
  </property>
</Properties>
</file>