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tl w:val="0"/>
        </w:rPr>
        <w:t xml:space="preserve">Technical Papers Fact Sheet</w:t>
      </w:r>
    </w:p>
    <w:p w:rsidR="00000000" w:rsidDel="00000000" w:rsidP="00000000" w:rsidRDefault="00000000" w:rsidRPr="00000000" w14:paraId="00000002">
      <w:pPr>
        <w:spacing w:line="240" w:lineRule="auto"/>
        <w:rPr>
          <w:b w:val="1"/>
        </w:rPr>
      </w:pPr>
      <w:r w:rsidDel="00000000" w:rsidR="00000000" w:rsidRPr="00000000">
        <w:rPr>
          <w:rtl w:val="0"/>
        </w:rPr>
      </w:r>
    </w:p>
    <w:p w:rsidR="00000000" w:rsidDel="00000000" w:rsidP="00000000" w:rsidRDefault="00000000" w:rsidRPr="00000000" w14:paraId="00000003">
      <w:pPr>
        <w:spacing w:line="240" w:lineRule="auto"/>
        <w:ind w:left="2125" w:hanging="2125"/>
        <w:rPr/>
      </w:pPr>
      <w:r w:rsidDel="00000000" w:rsidR="00000000" w:rsidRPr="00000000">
        <w:rPr>
          <w:b w:val="1"/>
          <w:rtl w:val="0"/>
        </w:rPr>
        <w:t xml:space="preserve">Chair:</w:t>
      </w:r>
      <w:r w:rsidDel="00000000" w:rsidR="00000000" w:rsidRPr="00000000">
        <w:rPr>
          <w:rtl w:val="0"/>
        </w:rPr>
        <w:t xml:space="preserve"> </w:t>
        <w:tab/>
        <w:t xml:space="preserve">Ming Lin, Distinguished University Professor at the University of Maryland, USA</w:t>
      </w:r>
    </w:p>
    <w:p w:rsidR="00000000" w:rsidDel="00000000" w:rsidP="00000000" w:rsidRDefault="00000000" w:rsidRPr="00000000" w14:paraId="00000004">
      <w:pPr>
        <w:spacing w:line="240" w:lineRule="auto"/>
        <w:ind w:left="2125" w:hanging="2125"/>
        <w:rPr/>
      </w:pPr>
      <w:r w:rsidDel="00000000" w:rsidR="00000000" w:rsidRPr="00000000">
        <w:rPr>
          <w:rtl w:val="0"/>
        </w:rPr>
      </w:r>
    </w:p>
    <w:p w:rsidR="00000000" w:rsidDel="00000000" w:rsidP="00000000" w:rsidRDefault="00000000" w:rsidRPr="00000000" w14:paraId="00000005">
      <w:pPr>
        <w:spacing w:line="240" w:lineRule="auto"/>
        <w:ind w:left="2125" w:hanging="2125"/>
        <w:rPr/>
      </w:pPr>
      <w:r w:rsidDel="00000000" w:rsidR="00000000" w:rsidRPr="00000000">
        <w:rPr>
          <w:b w:val="1"/>
          <w:rtl w:val="0"/>
        </w:rPr>
        <w:t xml:space="preserve">Assistant Chair: </w:t>
        <w:tab/>
      </w:r>
      <w:r w:rsidDel="00000000" w:rsidR="00000000" w:rsidRPr="00000000">
        <w:rPr>
          <w:rtl w:val="0"/>
        </w:rPr>
        <w:t xml:space="preserve">Bernd Bickel, Head of Computer Graphics and Digital Fabrication, Institute of Science and Technology, Austria</w:t>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b w:val="1"/>
          <w:rtl w:val="0"/>
        </w:rPr>
        <w:t xml:space="preserve">Program Schedule: </w:t>
        <w:tab/>
      </w:r>
      <w:r w:rsidDel="00000000" w:rsidR="00000000" w:rsidRPr="00000000">
        <w:rPr>
          <w:rtl w:val="0"/>
        </w:rPr>
        <w:t xml:space="preserve">Tuesday, 12 December – Friday, 15 December</w:t>
      </w:r>
    </w:p>
    <w:p w:rsidR="00000000" w:rsidDel="00000000" w:rsidP="00000000" w:rsidRDefault="00000000" w:rsidRPr="00000000" w14:paraId="00000008">
      <w:pPr>
        <w:spacing w:line="240" w:lineRule="auto"/>
        <w:jc w:val="both"/>
        <w:rPr>
          <w:b w:val="1"/>
        </w:rPr>
      </w:pPr>
      <w:r w:rsidDel="00000000" w:rsidR="00000000" w:rsidRPr="00000000">
        <w:rPr>
          <w:rtl w:val="0"/>
        </w:rPr>
        <w:br w:type="textWrapping"/>
      </w:r>
      <w:r w:rsidDel="00000000" w:rsidR="00000000" w:rsidRPr="00000000">
        <w:rPr>
          <w:b w:val="1"/>
          <w:rtl w:val="0"/>
        </w:rPr>
        <w:t xml:space="preserve">Fast Facts</w:t>
      </w:r>
    </w:p>
    <w:p w:rsidR="00000000" w:rsidDel="00000000" w:rsidP="00000000" w:rsidRDefault="00000000" w:rsidRPr="00000000" w14:paraId="00000009">
      <w:pPr>
        <w:tabs>
          <w:tab w:val="left" w:leader="none" w:pos="7095"/>
        </w:tabs>
        <w:spacing w:line="240" w:lineRule="auto"/>
        <w:jc w:val="both"/>
        <w:rPr/>
      </w:pPr>
      <w:r w:rsidDel="00000000" w:rsidR="00000000" w:rsidRPr="00000000">
        <w:rPr>
          <w:b w:val="1"/>
          <w:rtl w:val="0"/>
        </w:rPr>
        <w:tab/>
      </w:r>
      <w:r w:rsidDel="00000000" w:rsidR="00000000" w:rsidRPr="00000000">
        <w:rPr>
          <w:rtl w:val="0"/>
        </w:rPr>
      </w:r>
    </w:p>
    <w:p w:rsidR="00000000" w:rsidDel="00000000" w:rsidP="00000000" w:rsidRDefault="00000000" w:rsidRPr="00000000" w14:paraId="0000000A">
      <w:pPr>
        <w:numPr>
          <w:ilvl w:val="0"/>
          <w:numId w:val="2"/>
        </w:numPr>
        <w:spacing w:line="240" w:lineRule="auto"/>
        <w:ind w:left="800" w:hanging="400"/>
        <w:jc w:val="both"/>
        <w:rPr/>
      </w:pPr>
      <w:r w:rsidDel="00000000" w:rsidR="00000000" w:rsidRPr="00000000">
        <w:rPr>
          <w:rtl w:val="0"/>
        </w:rPr>
        <w:t xml:space="preserve">The Technical Papers program takes the lead as the primary global platform for sharing and deliberating on cutting-edge academic research in the realm of computer graphics and interactive techniques. This program features two integrated paper tracks: Journal (ACM Transactions on Graphics) and Conference, emphasising the rigorous scientific standards upheld for accepted papers.</w:t>
      </w:r>
    </w:p>
    <w:p w:rsidR="00000000" w:rsidDel="00000000" w:rsidP="00000000" w:rsidRDefault="00000000" w:rsidRPr="00000000" w14:paraId="0000000B">
      <w:pPr>
        <w:spacing w:line="240" w:lineRule="auto"/>
        <w:ind w:left="800" w:firstLine="0"/>
        <w:jc w:val="both"/>
        <w:rPr/>
      </w:pPr>
      <w:r w:rsidDel="00000000" w:rsidR="00000000" w:rsidRPr="00000000">
        <w:rPr>
          <w:rtl w:val="0"/>
        </w:rPr>
      </w:r>
    </w:p>
    <w:p w:rsidR="00000000" w:rsidDel="00000000" w:rsidP="00000000" w:rsidRDefault="00000000" w:rsidRPr="00000000" w14:paraId="0000000C">
      <w:pPr>
        <w:numPr>
          <w:ilvl w:val="0"/>
          <w:numId w:val="2"/>
        </w:numPr>
        <w:spacing w:line="240" w:lineRule="auto"/>
        <w:ind w:left="800" w:hanging="400"/>
        <w:jc w:val="both"/>
        <w:rPr/>
      </w:pPr>
      <w:r w:rsidDel="00000000" w:rsidR="00000000" w:rsidRPr="00000000">
        <w:rPr>
          <w:rtl w:val="0"/>
        </w:rPr>
        <w:t xml:space="preserve">On the event's opening day, attendees can engage in the fast-paced Technical Papers Fast Forward session, which spans two hours. During this session, authors of each paper have less than a minute to captivate the audience with a concise overview of their research findings.</w:t>
      </w:r>
    </w:p>
    <w:p w:rsidR="00000000" w:rsidDel="00000000" w:rsidP="00000000" w:rsidRDefault="00000000" w:rsidRPr="00000000" w14:paraId="0000000D">
      <w:pPr>
        <w:spacing w:line="240" w:lineRule="auto"/>
        <w:ind w:left="800" w:firstLine="0"/>
        <w:jc w:val="both"/>
        <w:rPr/>
      </w:pPr>
      <w:r w:rsidDel="00000000" w:rsidR="00000000" w:rsidRPr="00000000">
        <w:rPr>
          <w:rtl w:val="0"/>
        </w:rPr>
      </w:r>
    </w:p>
    <w:p w:rsidR="00000000" w:rsidDel="00000000" w:rsidP="00000000" w:rsidRDefault="00000000" w:rsidRPr="00000000" w14:paraId="0000000E">
      <w:pPr>
        <w:numPr>
          <w:ilvl w:val="0"/>
          <w:numId w:val="2"/>
        </w:numPr>
        <w:spacing w:line="240" w:lineRule="auto"/>
        <w:ind w:left="800" w:hanging="400"/>
        <w:jc w:val="both"/>
        <w:rPr/>
      </w:pPr>
      <w:r w:rsidDel="00000000" w:rsidR="00000000" w:rsidRPr="00000000">
        <w:rPr>
          <w:rtl w:val="0"/>
        </w:rPr>
        <w:t xml:space="preserve">The Technical Papers program received a total of nearly 700 full submissions -- more than twice the number of submissions last year. Out of which, a record-breaking number of 224 Technical Papers, including 102 journal and 122 conference papers, were conditionally accepted.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00" w:right="0" w:hanging="40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submitted articles represent the collective work of 3,173 authors, representing 544 institutions from 45 different countries, reviewed by the Technical Papers Committee (PC), which </w:t>
      </w:r>
      <w:r w:rsidDel="00000000" w:rsidR="00000000" w:rsidRPr="00000000">
        <w:rPr>
          <w:rtl w:val="0"/>
        </w:rPr>
        <w:t xml:space="preserve">comprises more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than 150 experts from academia and industry.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00" w:right="0" w:hanging="40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As in previous years, all papers accepted to the journal track are included in a special issue of TOG. All papers accepted to the conference track are included in the proceedings of SIGGRAPH Asia. At the same time, 9 TOG articles and 30 Technical Communications will be presented in the Technical Papers Program.</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00" w:right="0" w:firstLine="0"/>
        <w:jc w:val="both"/>
        <w:rPr>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800" w:right="0" w:hanging="40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i w:val="0"/>
          <w:smallCaps w:val="0"/>
          <w:strike w:val="0"/>
          <w:sz w:val="22"/>
          <w:szCs w:val="22"/>
          <w:u w:val="none"/>
          <w:shd w:fill="auto" w:val="clear"/>
          <w:vertAlign w:val="baseline"/>
          <w:rtl w:val="0"/>
        </w:rPr>
        <w:t xml:space="preserve">At the conference, the accepted papers will be presented in 52 sessions of </w:t>
      </w:r>
      <w:r w:rsidDel="00000000" w:rsidR="00000000" w:rsidRPr="00000000">
        <w:rPr>
          <w:rtl w:val="0"/>
        </w:rPr>
        <w:t xml:space="preserve">6</w:t>
      </w:r>
      <w:r w:rsidDel="00000000" w:rsidR="00000000" w:rsidRPr="00000000">
        <w:rPr>
          <w:i w:val="0"/>
          <w:smallCaps w:val="0"/>
          <w:strike w:val="0"/>
          <w:sz w:val="22"/>
          <w:szCs w:val="22"/>
          <w:u w:val="none"/>
          <w:shd w:fill="auto" w:val="clear"/>
          <w:vertAlign w:val="baseline"/>
          <w:rtl w:val="0"/>
        </w:rPr>
        <w:t xml:space="preserve"> </w:t>
      </w:r>
      <w:r w:rsidDel="00000000" w:rsidR="00000000" w:rsidRPr="00000000">
        <w:rPr>
          <w:i w:val="0"/>
          <w:smallCaps w:val="0"/>
          <w:strike w:val="0"/>
          <w:sz w:val="22"/>
          <w:szCs w:val="22"/>
          <w:u w:val="none"/>
          <w:shd w:fill="auto" w:val="clear"/>
          <w:vertAlign w:val="baseline"/>
          <w:rtl w:val="0"/>
        </w:rPr>
        <w:t xml:space="preserve">to </w:t>
      </w:r>
      <w:r w:rsidDel="00000000" w:rsidR="00000000" w:rsidRPr="00000000">
        <w:rPr>
          <w:rtl w:val="0"/>
        </w:rPr>
        <w:t xml:space="preserve">7</w:t>
      </w:r>
      <w:r w:rsidDel="00000000" w:rsidR="00000000" w:rsidRPr="00000000">
        <w:rPr>
          <w:i w:val="0"/>
          <w:smallCaps w:val="0"/>
          <w:strike w:val="0"/>
          <w:sz w:val="22"/>
          <w:szCs w:val="22"/>
          <w:u w:val="none"/>
          <w:shd w:fill="auto" w:val="clear"/>
          <w:vertAlign w:val="baseline"/>
          <w:rtl w:val="0"/>
        </w:rPr>
        <w:t xml:space="preserve"> papers each, running in two parallel tracks. The program opens with the Technical Papers Fast Forward session, a light-hearted event happening at </w:t>
      </w:r>
      <w:r w:rsidDel="00000000" w:rsidR="00000000" w:rsidRPr="00000000">
        <w:rPr>
          <w:rtl w:val="0"/>
        </w:rPr>
        <w:t xml:space="preserve">10</w:t>
      </w:r>
      <w:r w:rsidDel="00000000" w:rsidR="00000000" w:rsidRPr="00000000">
        <w:rPr>
          <w:i w:val="0"/>
          <w:smallCaps w:val="0"/>
          <w:strike w:val="0"/>
          <w:sz w:val="22"/>
          <w:szCs w:val="22"/>
          <w:u w:val="none"/>
          <w:shd w:fill="auto" w:val="clear"/>
          <w:vertAlign w:val="baseline"/>
          <w:rtl w:val="0"/>
        </w:rPr>
        <w:t xml:space="preserve"> </w:t>
      </w:r>
      <w:r w:rsidDel="00000000" w:rsidR="00000000" w:rsidRPr="00000000">
        <w:rPr>
          <w:i w:val="0"/>
          <w:smallCaps w:val="0"/>
          <w:strike w:val="0"/>
          <w:sz w:val="22"/>
          <w:szCs w:val="22"/>
          <w:u w:val="none"/>
          <w:shd w:fill="auto" w:val="clear"/>
          <w:vertAlign w:val="baseline"/>
          <w:rtl w:val="0"/>
        </w:rPr>
        <w:t xml:space="preserve">am on December 12th, in which each paper is presented in just 30 seconds 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 attendees a glimpse into the talks that will be available over the following days.</w:t>
      </w:r>
    </w:p>
    <w:p w:rsidR="00000000" w:rsidDel="00000000" w:rsidP="00000000" w:rsidRDefault="00000000" w:rsidRPr="00000000" w14:paraId="00000015">
      <w:pPr>
        <w:spacing w:line="240" w:lineRule="auto"/>
        <w:ind w:left="760" w:firstLine="0"/>
        <w:jc w:val="both"/>
        <w:rPr/>
      </w:pPr>
      <w:r w:rsidDel="00000000" w:rsidR="00000000" w:rsidRPr="00000000">
        <w:rPr>
          <w:rtl w:val="0"/>
        </w:rPr>
      </w:r>
    </w:p>
    <w:p w:rsidR="00000000" w:rsidDel="00000000" w:rsidP="00000000" w:rsidRDefault="00000000" w:rsidRPr="00000000" w14:paraId="00000016">
      <w:pPr>
        <w:spacing w:line="240" w:lineRule="auto"/>
        <w:jc w:val="both"/>
        <w:rPr>
          <w:b w:val="1"/>
        </w:rPr>
      </w:pPr>
      <w:r w:rsidDel="00000000" w:rsidR="00000000" w:rsidRPr="00000000">
        <w:rPr>
          <w:rtl w:val="0"/>
        </w:rPr>
      </w:r>
    </w:p>
    <w:p w:rsidR="00000000" w:rsidDel="00000000" w:rsidP="00000000" w:rsidRDefault="00000000" w:rsidRPr="00000000" w14:paraId="00000017">
      <w:pPr>
        <w:spacing w:line="240" w:lineRule="auto"/>
        <w:jc w:val="both"/>
        <w:rPr>
          <w:b w:val="1"/>
        </w:rPr>
      </w:pPr>
      <w:r w:rsidDel="00000000" w:rsidR="00000000" w:rsidRPr="00000000">
        <w:rPr>
          <w:b w:val="1"/>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18">
      <w:pPr>
        <w:spacing w:line="240" w:lineRule="auto"/>
        <w:jc w:val="both"/>
        <w:rPr>
          <w:b w:val="1"/>
        </w:rPr>
      </w:pPr>
      <w:r w:rsidDel="00000000" w:rsidR="00000000" w:rsidRPr="00000000">
        <w:rPr>
          <w:rtl w:val="0"/>
        </w:rPr>
      </w:r>
    </w:p>
    <w:p w:rsidR="00000000" w:rsidDel="00000000" w:rsidP="00000000" w:rsidRDefault="00000000" w:rsidRPr="00000000" w14:paraId="00000019">
      <w:pPr>
        <w:spacing w:line="240" w:lineRule="auto"/>
        <w:jc w:val="both"/>
        <w:rPr/>
      </w:pPr>
      <w:r w:rsidDel="00000000" w:rsidR="00000000" w:rsidRPr="00000000">
        <w:rPr>
          <w:b w:val="1"/>
          <w:rtl w:val="0"/>
        </w:rPr>
        <w:t xml:space="preserve">Quote from Ming Lin, SIGGRAPH Asia 2023 Technical Papers Chair: </w:t>
      </w:r>
      <w:r w:rsidDel="00000000" w:rsidR="00000000" w:rsidRPr="00000000">
        <w:rPr>
          <w:rtl w:val="0"/>
        </w:rPr>
      </w:r>
    </w:p>
    <w:p w:rsidR="00000000" w:rsidDel="00000000" w:rsidP="00000000" w:rsidRDefault="00000000" w:rsidRPr="00000000" w14:paraId="0000001A">
      <w:pPr>
        <w:spacing w:after="0" w:line="276" w:lineRule="auto"/>
        <w:jc w:val="both"/>
        <w:rPr>
          <w:i w:val="1"/>
        </w:rPr>
      </w:pPr>
      <w:bookmarkStart w:colFirst="0" w:colLast="0" w:name="_heading=h.gjdgxs" w:id="0"/>
      <w:bookmarkEnd w:id="0"/>
      <w:r w:rsidDel="00000000" w:rsidR="00000000" w:rsidRPr="00000000">
        <w:rPr>
          <w:i w:val="1"/>
          <w:rtl w:val="0"/>
        </w:rPr>
        <w:t xml:space="preserve">“This year’s SIGGRAPH Asia has received a history-breaking number of submissions, practically doubling the number of submissions from last year.  This increase indicates a growing trend and tremendous excitement in the current and future advances in Computer Graphics and Interactive Techniques powered by the latest technological evolution in Generative AI. We look forward to an inspiring and stimulating technical papers program with a diverse coverage of rich topics with innovative approaches.”</w:t>
      </w:r>
    </w:p>
    <w:p w:rsidR="00000000" w:rsidDel="00000000" w:rsidP="00000000" w:rsidRDefault="00000000" w:rsidRPr="00000000" w14:paraId="0000001B">
      <w:pPr>
        <w:spacing w:after="0" w:line="276" w:lineRule="auto"/>
        <w:jc w:val="both"/>
        <w:rPr>
          <w:i w:val="1"/>
        </w:rPr>
      </w:pPr>
      <w:bookmarkStart w:colFirst="0" w:colLast="0" w:name="_heading=h.dpz5b9j712uk" w:id="1"/>
      <w:bookmarkEnd w:id="1"/>
      <w:r w:rsidDel="00000000" w:rsidR="00000000" w:rsidRPr="00000000">
        <w:rPr>
          <w:rtl w:val="0"/>
        </w:rPr>
      </w:r>
    </w:p>
    <w:p w:rsidR="00000000" w:rsidDel="00000000" w:rsidP="00000000" w:rsidRDefault="00000000" w:rsidRPr="00000000" w14:paraId="0000001C">
      <w:pPr>
        <w:spacing w:after="0" w:line="276" w:lineRule="auto"/>
        <w:jc w:val="both"/>
        <w:rPr>
          <w:b w:val="1"/>
        </w:rPr>
      </w:pPr>
      <w:bookmarkStart w:colFirst="0" w:colLast="0" w:name="_heading=h.4ubdeu955erq" w:id="2"/>
      <w:bookmarkEnd w:id="2"/>
      <w:r w:rsidDel="00000000" w:rsidR="00000000" w:rsidRPr="00000000">
        <w:rPr>
          <w:b w:val="1"/>
          <w:rtl w:val="0"/>
        </w:rPr>
        <w:t xml:space="preserve">SIGGRAPH Asia 2023 Technical Papers Program Highlights</w:t>
      </w:r>
    </w:p>
    <w:p w:rsidR="00000000" w:rsidDel="00000000" w:rsidP="00000000" w:rsidRDefault="00000000" w:rsidRPr="00000000" w14:paraId="0000001D">
      <w:pPr>
        <w:numPr>
          <w:ilvl w:val="0"/>
          <w:numId w:val="3"/>
        </w:numPr>
        <w:spacing w:line="240" w:lineRule="auto"/>
        <w:ind w:left="540" w:hanging="360"/>
        <w:jc w:val="both"/>
        <w:rPr>
          <w:b w:val="1"/>
        </w:rPr>
      </w:pPr>
      <w:r w:rsidDel="00000000" w:rsidR="00000000" w:rsidRPr="00000000">
        <w:rPr>
          <w:b w:val="1"/>
          <w:rtl w:val="0"/>
        </w:rPr>
        <w:t xml:space="preserve">Title</w:t>
        <w:tab/>
        <w:tab/>
      </w:r>
      <w:r w:rsidDel="00000000" w:rsidR="00000000" w:rsidRPr="00000000">
        <w:rPr>
          <w:rtl w:val="0"/>
        </w:rPr>
        <w:t xml:space="preserve">:</w:t>
      </w:r>
      <w:r w:rsidDel="00000000" w:rsidR="00000000" w:rsidRPr="00000000">
        <w:rPr>
          <w:b w:val="1"/>
          <w:rtl w:val="0"/>
        </w:rPr>
        <w:tab/>
      </w:r>
      <w:hyperlink r:id="rId7">
        <w:r w:rsidDel="00000000" w:rsidR="00000000" w:rsidRPr="00000000">
          <w:rPr>
            <w:b w:val="1"/>
            <w:color w:val="1155cc"/>
            <w:u w:val="single"/>
            <w:rtl w:val="0"/>
          </w:rPr>
          <w:t xml:space="preserve">Fluid Simulation on Neural Flow Maps</w:t>
        </w:r>
      </w:hyperlink>
      <w:r w:rsidDel="00000000" w:rsidR="00000000" w:rsidRPr="00000000">
        <w:rPr>
          <w:rtl w:val="0"/>
        </w:rPr>
      </w:r>
    </w:p>
    <w:p w:rsidR="00000000" w:rsidDel="00000000" w:rsidP="00000000" w:rsidRDefault="00000000" w:rsidRPr="00000000" w14:paraId="0000001E">
      <w:pPr>
        <w:spacing w:line="240" w:lineRule="auto"/>
        <w:ind w:left="540" w:firstLine="0"/>
        <w:jc w:val="both"/>
        <w:rPr>
          <w:color w:val="000000"/>
          <w:highlight w:val="white"/>
        </w:rPr>
      </w:pPr>
      <w:r w:rsidDel="00000000" w:rsidR="00000000" w:rsidRPr="00000000">
        <w:rPr>
          <w:b w:val="1"/>
          <w:rtl w:val="0"/>
        </w:rPr>
        <w:br w:type="textWrapping"/>
        <w:t xml:space="preserve">Contributors</w:t>
        <w:tab/>
      </w:r>
      <w:r w:rsidDel="00000000" w:rsidR="00000000" w:rsidRPr="00000000">
        <w:rPr>
          <w:rtl w:val="0"/>
        </w:rPr>
        <w:t xml:space="preserve">:</w:t>
      </w:r>
      <w:r w:rsidDel="00000000" w:rsidR="00000000" w:rsidRPr="00000000">
        <w:rPr>
          <w:b w:val="1"/>
          <w:highlight w:val="white"/>
          <w:rtl w:val="0"/>
        </w:rPr>
        <w:tab/>
      </w:r>
      <w:r w:rsidDel="00000000" w:rsidR="00000000" w:rsidRPr="00000000">
        <w:rPr>
          <w:color w:val="000000"/>
          <w:highlight w:val="white"/>
          <w:rtl w:val="0"/>
        </w:rPr>
        <w:t xml:space="preserve">Yitong Deng (Dartmouth College), Hong-Xing Yu (Stanford </w:t>
      </w:r>
    </w:p>
    <w:p w:rsidR="00000000" w:rsidDel="00000000" w:rsidP="00000000" w:rsidRDefault="00000000" w:rsidRPr="00000000" w14:paraId="0000001F">
      <w:pPr>
        <w:spacing w:line="240" w:lineRule="auto"/>
        <w:ind w:left="2880" w:firstLine="0"/>
        <w:jc w:val="both"/>
        <w:rPr>
          <w:b w:val="1"/>
        </w:rPr>
      </w:pPr>
      <w:r w:rsidDel="00000000" w:rsidR="00000000" w:rsidRPr="00000000">
        <w:rPr>
          <w:color w:val="000000"/>
          <w:highlight w:val="white"/>
          <w:rtl w:val="0"/>
        </w:rPr>
        <w:t xml:space="preserve">University), Diyang Zhang (Dartmouth College), Jiajun Wu (Stanford University), and Bo Zhu (Dartmouth College)</w:t>
      </w:r>
      <w:r w:rsidDel="00000000" w:rsidR="00000000" w:rsidRPr="00000000">
        <w:rPr>
          <w:rtl w:val="0"/>
        </w:rPr>
      </w:r>
    </w:p>
    <w:p w:rsidR="00000000" w:rsidDel="00000000" w:rsidP="00000000" w:rsidRDefault="00000000" w:rsidRPr="00000000" w14:paraId="00000020">
      <w:pPr>
        <w:spacing w:line="240" w:lineRule="auto"/>
        <w:ind w:left="540" w:firstLine="180"/>
        <w:jc w:val="both"/>
        <w:rPr>
          <w:color w:val="000000"/>
          <w:highlight w:val="white"/>
        </w:rPr>
      </w:pPr>
      <w:r w:rsidDel="00000000" w:rsidR="00000000" w:rsidRPr="00000000">
        <w:rPr>
          <w:rtl w:val="0"/>
        </w:rPr>
        <w:br w:type="textWrapping"/>
      </w:r>
      <w:r w:rsidDel="00000000" w:rsidR="00000000" w:rsidRPr="00000000">
        <w:rPr>
          <w:b w:val="1"/>
          <w:color w:val="000000"/>
          <w:highlight w:val="white"/>
          <w:rtl w:val="0"/>
        </w:rPr>
        <w:t xml:space="preserve">Description</w:t>
        <w:tab/>
      </w:r>
      <w:r w:rsidDel="00000000" w:rsidR="00000000" w:rsidRPr="00000000">
        <w:rPr>
          <w:color w:val="000000"/>
          <w:highlight w:val="white"/>
          <w:rtl w:val="0"/>
        </w:rPr>
        <w:t xml:space="preserve">:</w:t>
      </w:r>
      <w:r w:rsidDel="00000000" w:rsidR="00000000" w:rsidRPr="00000000">
        <w:rPr>
          <w:b w:val="1"/>
          <w:color w:val="000000"/>
          <w:highlight w:val="white"/>
          <w:rtl w:val="0"/>
        </w:rPr>
        <w:t xml:space="preserve"> </w:t>
      </w:r>
      <w:r w:rsidDel="00000000" w:rsidR="00000000" w:rsidRPr="00000000">
        <w:rPr>
          <w:color w:val="000000"/>
          <w:highlight w:val="white"/>
          <w:rtl w:val="0"/>
        </w:rPr>
        <w:t xml:space="preserve"> </w:t>
        <w:tab/>
        <w:t xml:space="preserve">This paper introduces “Neural Flow Maps”, a novel simulation </w:t>
      </w:r>
    </w:p>
    <w:p w:rsidR="00000000" w:rsidDel="00000000" w:rsidP="00000000" w:rsidRDefault="00000000" w:rsidRPr="00000000" w14:paraId="00000021">
      <w:pPr>
        <w:spacing w:line="240" w:lineRule="auto"/>
        <w:ind w:left="2880" w:firstLine="0"/>
        <w:jc w:val="both"/>
        <w:rPr>
          <w:b w:val="1"/>
        </w:rPr>
      </w:pPr>
      <w:r w:rsidDel="00000000" w:rsidR="00000000" w:rsidRPr="00000000">
        <w:rPr>
          <w:color w:val="000000"/>
          <w:highlight w:val="white"/>
          <w:rtl w:val="0"/>
        </w:rPr>
        <w:t xml:space="preserve">method bridging the emerging paradigm of implicit neural representations with fluid simulation based on the theory of flow maps, to achieve state-of-the-art simulation of inviscid fluid phenomena. We devise a novel hybrid neural field representation, Spatially-sparse Neural Fields (SNF), which fuses small neural networks with a pyramid of overlapping, multi-resolution, and spatially-sparse grids, that compactly represents long-term spatiotemporal velocity fields at high precision. With this neural velocity buffer at hand, we compute long-term, bidirectional flow maps and their Jacobians in a mechanistically symmetric manner, to facilitate drastic accuracy improvement over existing solutions. These long-range, bidirectional flow maps enable high advection accuracy with low dissipation, which in turn facilitates high-fidelity incompressible flow simulations that manifest intricate vortical structures. We demonstrate the efficacy of our neural fluid simulation in a variety of challenging simulation scenarios, including leapfrogging vortices, colliding vortices, vortex reconnections, as well as vortex generation from moving obstacles and density differences. Our examples show increased performance over existing methods in terms of energy conservation, visual complexity, adherence to experimental observations, and preservation of detailed vortical structures.</w:t>
      </w:r>
      <w:r w:rsidDel="00000000" w:rsidR="00000000" w:rsidRPr="00000000">
        <w:rPr>
          <w:rtl w:val="0"/>
        </w:rPr>
      </w:r>
    </w:p>
    <w:p w:rsidR="00000000" w:rsidDel="00000000" w:rsidP="00000000" w:rsidRDefault="00000000" w:rsidRPr="00000000" w14:paraId="00000022">
      <w:pPr>
        <w:spacing w:line="240" w:lineRule="auto"/>
        <w:ind w:left="540" w:firstLine="0"/>
        <w:jc w:val="both"/>
        <w:rPr>
          <w:b w:val="1"/>
        </w:rPr>
      </w:pPr>
      <w:r w:rsidDel="00000000" w:rsidR="00000000" w:rsidRPr="00000000">
        <w:rPr>
          <w:rtl w:val="0"/>
        </w:rPr>
      </w:r>
    </w:p>
    <w:p w:rsidR="00000000" w:rsidDel="00000000" w:rsidP="00000000" w:rsidRDefault="00000000" w:rsidRPr="00000000" w14:paraId="00000023">
      <w:pPr>
        <w:numPr>
          <w:ilvl w:val="0"/>
          <w:numId w:val="3"/>
        </w:numPr>
        <w:spacing w:line="240" w:lineRule="auto"/>
        <w:ind w:left="540" w:hanging="360"/>
        <w:jc w:val="both"/>
        <w:rPr>
          <w:b w:val="1"/>
        </w:rPr>
      </w:pPr>
      <w:r w:rsidDel="00000000" w:rsidR="00000000" w:rsidRPr="00000000">
        <w:rPr>
          <w:b w:val="1"/>
          <w:rtl w:val="0"/>
        </w:rPr>
        <w:t xml:space="preserve">Title</w:t>
        <w:tab/>
        <w:tab/>
      </w:r>
      <w:r w:rsidDel="00000000" w:rsidR="00000000" w:rsidRPr="00000000">
        <w:rPr>
          <w:rtl w:val="0"/>
        </w:rPr>
        <w:t xml:space="preserve">:</w:t>
        <w:tab/>
      </w:r>
      <w:hyperlink r:id="rId8">
        <w:r w:rsidDel="00000000" w:rsidR="00000000" w:rsidRPr="00000000">
          <w:rPr>
            <w:b w:val="1"/>
            <w:color w:val="1155cc"/>
            <w:u w:val="single"/>
            <w:rtl w:val="0"/>
          </w:rPr>
          <w:t xml:space="preserve">Adaptive Shells for Efficient Neural Radiance Field </w:t>
        </w:r>
      </w:hyperlink>
      <w:r w:rsidDel="00000000" w:rsidR="00000000" w:rsidRPr="00000000">
        <w:rPr>
          <w:rtl w:val="0"/>
        </w:rPr>
      </w:r>
    </w:p>
    <w:p w:rsidR="00000000" w:rsidDel="00000000" w:rsidP="00000000" w:rsidRDefault="00000000" w:rsidRPr="00000000" w14:paraId="00000024">
      <w:pPr>
        <w:spacing w:line="240" w:lineRule="auto"/>
        <w:ind w:left="2700" w:firstLine="180"/>
        <w:jc w:val="both"/>
        <w:rPr>
          <w:b w:val="1"/>
        </w:rPr>
      </w:pPr>
      <w:hyperlink r:id="rId9">
        <w:r w:rsidDel="00000000" w:rsidR="00000000" w:rsidRPr="00000000">
          <w:rPr>
            <w:b w:val="1"/>
            <w:color w:val="1155cc"/>
            <w:u w:val="single"/>
            <w:rtl w:val="0"/>
          </w:rPr>
          <w:t xml:space="preserve">Rendering</w:t>
        </w:r>
      </w:hyperlink>
      <w:r w:rsidDel="00000000" w:rsidR="00000000" w:rsidRPr="00000000">
        <w:rPr>
          <w:rtl w:val="0"/>
        </w:rPr>
      </w:r>
    </w:p>
    <w:p w:rsidR="00000000" w:rsidDel="00000000" w:rsidP="00000000" w:rsidRDefault="00000000" w:rsidRPr="00000000" w14:paraId="00000025">
      <w:pPr>
        <w:spacing w:line="240" w:lineRule="auto"/>
        <w:ind w:left="540" w:firstLine="0"/>
        <w:jc w:val="both"/>
        <w:rPr>
          <w:color w:val="000000"/>
          <w:highlight w:val="white"/>
        </w:rPr>
      </w:pPr>
      <w:r w:rsidDel="00000000" w:rsidR="00000000" w:rsidRPr="00000000">
        <w:rPr>
          <w:b w:val="1"/>
          <w:rtl w:val="0"/>
        </w:rPr>
        <w:br w:type="textWrapping"/>
        <w:t xml:space="preserve">Contributors</w:t>
        <w:tab/>
      </w:r>
      <w:r w:rsidDel="00000000" w:rsidR="00000000" w:rsidRPr="00000000">
        <w:rPr>
          <w:rtl w:val="0"/>
        </w:rPr>
        <w:t xml:space="preserve">:</w:t>
        <w:tab/>
      </w:r>
      <w:r w:rsidDel="00000000" w:rsidR="00000000" w:rsidRPr="00000000">
        <w:rPr>
          <w:color w:val="000000"/>
          <w:highlight w:val="white"/>
          <w:rtl w:val="0"/>
        </w:rPr>
        <w:t xml:space="preserve">Zian Wang and Tianchang Shen (NVIDIA, University of </w:t>
      </w:r>
    </w:p>
    <w:p w:rsidR="00000000" w:rsidDel="00000000" w:rsidP="00000000" w:rsidRDefault="00000000" w:rsidRPr="00000000" w14:paraId="00000026">
      <w:pPr>
        <w:spacing w:line="240" w:lineRule="auto"/>
        <w:ind w:left="2880" w:firstLine="0"/>
        <w:jc w:val="both"/>
        <w:rPr>
          <w:color w:val="000000"/>
          <w:highlight w:val="white"/>
        </w:rPr>
      </w:pPr>
      <w:r w:rsidDel="00000000" w:rsidR="00000000" w:rsidRPr="00000000">
        <w:rPr>
          <w:color w:val="000000"/>
          <w:highlight w:val="white"/>
          <w:rtl w:val="0"/>
        </w:rPr>
        <w:t xml:space="preserve">Toronto); Merlin Nimier-David and Nicholas Sharp (NVIDIA); Jun Gao (NVIDIA, University of Toronto); Alexander Keller (NVIDIA); Sanja Fidler (NVIDIA, University of Toronto); and Thomas Müller and Zan Gojcic (NVIDIA)</w:t>
      </w:r>
    </w:p>
    <w:p w:rsidR="00000000" w:rsidDel="00000000" w:rsidP="00000000" w:rsidRDefault="00000000" w:rsidRPr="00000000" w14:paraId="00000027">
      <w:pPr>
        <w:spacing w:line="240" w:lineRule="auto"/>
        <w:ind w:left="540" w:firstLine="0"/>
        <w:jc w:val="both"/>
        <w:rPr>
          <w:color w:val="000000"/>
          <w:highlight w:val="white"/>
        </w:rPr>
      </w:pPr>
      <w:r w:rsidDel="00000000" w:rsidR="00000000" w:rsidRPr="00000000">
        <w:rPr>
          <w:color w:val="000000"/>
          <w:sz w:val="10"/>
          <w:szCs w:val="10"/>
          <w:highlight w:val="white"/>
          <w:rtl w:val="0"/>
        </w:rPr>
        <w:t xml:space="preserve">                                           </w:t>
      </w:r>
      <w:r w:rsidDel="00000000" w:rsidR="00000000" w:rsidRPr="00000000">
        <w:rPr>
          <w:b w:val="1"/>
          <w:sz w:val="10"/>
          <w:szCs w:val="10"/>
          <w:rtl w:val="0"/>
        </w:rPr>
        <w:t xml:space="preserve">      </w:t>
      </w:r>
      <w:r w:rsidDel="00000000" w:rsidR="00000000" w:rsidRPr="00000000">
        <w:rPr>
          <w:rtl w:val="0"/>
        </w:rPr>
        <w:br w:type="textWrapping"/>
      </w:r>
      <w:r w:rsidDel="00000000" w:rsidR="00000000" w:rsidRPr="00000000">
        <w:rPr>
          <w:b w:val="1"/>
          <w:rtl w:val="0"/>
        </w:rPr>
        <w:t xml:space="preserve">Description</w:t>
        <w:tab/>
      </w:r>
      <w:r w:rsidDel="00000000" w:rsidR="00000000" w:rsidRPr="00000000">
        <w:rPr>
          <w:rtl w:val="0"/>
        </w:rPr>
        <w:t xml:space="preserve">:</w:t>
        <w:tab/>
      </w:r>
      <w:r w:rsidDel="00000000" w:rsidR="00000000" w:rsidRPr="00000000">
        <w:rPr>
          <w:color w:val="000000"/>
          <w:highlight w:val="white"/>
          <w:rtl w:val="0"/>
        </w:rPr>
        <w:t xml:space="preserve">Neural radiance fields achieve unprecedented quality for novel </w:t>
      </w:r>
    </w:p>
    <w:p w:rsidR="00000000" w:rsidDel="00000000" w:rsidP="00000000" w:rsidRDefault="00000000" w:rsidRPr="00000000" w14:paraId="00000028">
      <w:pPr>
        <w:spacing w:line="240" w:lineRule="auto"/>
        <w:ind w:left="2880" w:firstLine="0"/>
        <w:jc w:val="both"/>
        <w:rPr>
          <w:b w:val="1"/>
        </w:rPr>
      </w:pPr>
      <w:r w:rsidDel="00000000" w:rsidR="00000000" w:rsidRPr="00000000">
        <w:rPr>
          <w:color w:val="000000"/>
          <w:highlight w:val="white"/>
          <w:rtl w:val="0"/>
        </w:rPr>
        <w:t xml:space="preserve">view synthesis, but their volumetric formulation remains expensive, requiring a huge number of samples to render high-resolution images. Volumetric encodings are essential to represent fuzzy geometry such as foliage and hair, and they are well-suited for stochastic optimization. Yet, many scenes ultimately consist largely of solid surfaces which can be accurately rendered by a single sample per pixel. Based on this insight, we propose a neural radiance formulation that smoothly transitions between volumetric- and surface-based rendering, greatly accelerating rendering speed and even improving visual fidelity. Our method constructs an explicit mesh envelope which spatially bounds a neural volumetric representation. In solid regions, the envelope nearly converges to a surface and can often be rendered with a single sample. To this end, we </w:t>
      </w:r>
      <w:r w:rsidDel="00000000" w:rsidR="00000000" w:rsidRPr="00000000">
        <w:rPr>
          <w:highlight w:val="white"/>
          <w:rtl w:val="0"/>
        </w:rPr>
        <w:t xml:space="preserve">generalise</w:t>
      </w:r>
      <w:r w:rsidDel="00000000" w:rsidR="00000000" w:rsidRPr="00000000">
        <w:rPr>
          <w:color w:val="000000"/>
          <w:highlight w:val="white"/>
          <w:rtl w:val="0"/>
        </w:rPr>
        <w:t xml:space="preserve"> the NeuS formulation with a learned spatially-varying kernel size which encodes the spread of the density, fitting a wide kernel to volume-like regions and a tight kernel to surface-like regions. We then extract an explicit mesh of a narrow band around the surface, with width determined by the kernel size, and fine-tune the radiance field within this band. At inference time, we cast rays against the mesh and evaluate the radiance field only within the enclosed region, greatly reducing the number of samples required. Experiments show that our approach enables efficient rendering at very high fidelity. We also demonstrate that the extracted envelope enables downstream applications such as animation and simulation.</w:t>
      </w:r>
      <w:r w:rsidDel="00000000" w:rsidR="00000000" w:rsidRPr="00000000">
        <w:rPr>
          <w:rtl w:val="0"/>
        </w:rPr>
      </w:r>
    </w:p>
    <w:p w:rsidR="00000000" w:rsidDel="00000000" w:rsidP="00000000" w:rsidRDefault="00000000" w:rsidRPr="00000000" w14:paraId="00000029">
      <w:pPr>
        <w:ind w:left="720" w:firstLine="0"/>
        <w:rPr>
          <w:b w:val="1"/>
        </w:rPr>
      </w:pPr>
      <w:r w:rsidDel="00000000" w:rsidR="00000000" w:rsidRPr="00000000">
        <w:rPr>
          <w:rtl w:val="0"/>
        </w:rPr>
      </w:r>
    </w:p>
    <w:p w:rsidR="00000000" w:rsidDel="00000000" w:rsidP="00000000" w:rsidRDefault="00000000" w:rsidRPr="00000000" w14:paraId="0000002A">
      <w:pPr>
        <w:numPr>
          <w:ilvl w:val="0"/>
          <w:numId w:val="1"/>
        </w:numPr>
        <w:spacing w:line="240" w:lineRule="auto"/>
        <w:ind w:left="720" w:hanging="360"/>
        <w:rPr>
          <w:b w:val="1"/>
          <w:u w:val="none"/>
        </w:rPr>
      </w:pPr>
      <w:r w:rsidDel="00000000" w:rsidR="00000000" w:rsidRPr="00000000">
        <w:rPr>
          <w:b w:val="1"/>
          <w:rtl w:val="0"/>
        </w:rPr>
        <w:t xml:space="preserve">Title</w:t>
        <w:tab/>
        <w:tab/>
      </w:r>
      <w:r w:rsidDel="00000000" w:rsidR="00000000" w:rsidRPr="00000000">
        <w:rPr>
          <w:rtl w:val="0"/>
        </w:rPr>
        <w:t xml:space="preserve">:</w:t>
        <w:tab/>
      </w:r>
      <w:hyperlink r:id="rId10">
        <w:r w:rsidDel="00000000" w:rsidR="00000000" w:rsidRPr="00000000">
          <w:rPr>
            <w:b w:val="1"/>
            <w:color w:val="1155cc"/>
            <w:u w:val="single"/>
            <w:rtl w:val="0"/>
          </w:rPr>
          <w:t xml:space="preserve">Concept Decomposition for Visual Exploration and </w:t>
        </w:r>
      </w:hyperlink>
      <w:r w:rsidDel="00000000" w:rsidR="00000000" w:rsidRPr="00000000">
        <w:rPr>
          <w:rtl w:val="0"/>
        </w:rPr>
      </w:r>
    </w:p>
    <w:p w:rsidR="00000000" w:rsidDel="00000000" w:rsidP="00000000" w:rsidRDefault="00000000" w:rsidRPr="00000000" w14:paraId="0000002B">
      <w:pPr>
        <w:spacing w:line="240" w:lineRule="auto"/>
        <w:ind w:left="2160" w:firstLine="720"/>
        <w:rPr>
          <w:b w:val="1"/>
        </w:rPr>
      </w:pPr>
      <w:hyperlink r:id="rId11">
        <w:r w:rsidDel="00000000" w:rsidR="00000000" w:rsidRPr="00000000">
          <w:rPr>
            <w:b w:val="1"/>
            <w:color w:val="1155cc"/>
            <w:u w:val="single"/>
            <w:rtl w:val="0"/>
          </w:rPr>
          <w:t xml:space="preserve">Inspiration</w:t>
        </w:r>
      </w:hyperlink>
      <w:r w:rsidDel="00000000" w:rsidR="00000000" w:rsidRPr="00000000">
        <w:rPr>
          <w:b w:val="1"/>
          <w:rtl w:val="0"/>
        </w:rPr>
        <w:br w:type="textWrapping"/>
      </w:r>
    </w:p>
    <w:p w:rsidR="00000000" w:rsidDel="00000000" w:rsidP="00000000" w:rsidRDefault="00000000" w:rsidRPr="00000000" w14:paraId="0000002C">
      <w:pPr>
        <w:spacing w:line="240" w:lineRule="auto"/>
        <w:ind w:left="540" w:firstLine="0"/>
        <w:rPr>
          <w:color w:val="000000"/>
          <w:highlight w:val="white"/>
        </w:rPr>
      </w:pPr>
      <w:r w:rsidDel="00000000" w:rsidR="00000000" w:rsidRPr="00000000">
        <w:rPr>
          <w:b w:val="1"/>
          <w:rtl w:val="0"/>
        </w:rPr>
        <w:t xml:space="preserve">Contributors</w:t>
      </w:r>
      <w:r w:rsidDel="00000000" w:rsidR="00000000" w:rsidRPr="00000000">
        <w:rPr>
          <w:rtl w:val="0"/>
        </w:rPr>
        <w:tab/>
        <w:t xml:space="preserve">:</w:t>
        <w:tab/>
      </w:r>
      <w:r w:rsidDel="00000000" w:rsidR="00000000" w:rsidRPr="00000000">
        <w:rPr>
          <w:color w:val="000000"/>
          <w:highlight w:val="white"/>
          <w:rtl w:val="0"/>
        </w:rPr>
        <w:t xml:space="preserve">Yael Vinker (Tel Aviv University, Google Research); Andrey </w:t>
      </w:r>
    </w:p>
    <w:p w:rsidR="00000000" w:rsidDel="00000000" w:rsidP="00000000" w:rsidRDefault="00000000" w:rsidRPr="00000000" w14:paraId="0000002D">
      <w:pPr>
        <w:spacing w:line="240" w:lineRule="auto"/>
        <w:ind w:left="2880" w:firstLine="0"/>
        <w:rPr/>
      </w:pPr>
      <w:r w:rsidDel="00000000" w:rsidR="00000000" w:rsidRPr="00000000">
        <w:rPr>
          <w:color w:val="000000"/>
          <w:highlight w:val="white"/>
          <w:rtl w:val="0"/>
        </w:rPr>
        <w:t xml:space="preserve">Voynov (Google Research); Daniel Cohen-Or (Tel Aviv University, Google Research); and Ariel Shamir (Reichman University)</w:t>
      </w:r>
      <w:r w:rsidDel="00000000" w:rsidR="00000000" w:rsidRPr="00000000">
        <w:rPr>
          <w:rtl w:val="0"/>
        </w:rPr>
        <w:br w:type="textWrapping"/>
      </w:r>
    </w:p>
    <w:p w:rsidR="00000000" w:rsidDel="00000000" w:rsidP="00000000" w:rsidRDefault="00000000" w:rsidRPr="00000000" w14:paraId="0000002E">
      <w:pPr>
        <w:spacing w:line="240" w:lineRule="auto"/>
        <w:ind w:left="540" w:firstLine="0"/>
        <w:jc w:val="both"/>
        <w:rPr>
          <w:color w:val="000000"/>
          <w:highlight w:val="white"/>
        </w:rPr>
      </w:pPr>
      <w:r w:rsidDel="00000000" w:rsidR="00000000" w:rsidRPr="00000000">
        <w:rPr>
          <w:b w:val="1"/>
          <w:rtl w:val="0"/>
        </w:rPr>
        <w:t xml:space="preserve">Description</w:t>
        <w:tab/>
      </w:r>
      <w:r w:rsidDel="00000000" w:rsidR="00000000" w:rsidRPr="00000000">
        <w:rPr>
          <w:rtl w:val="0"/>
        </w:rPr>
        <w:t xml:space="preserve">:</w:t>
        <w:tab/>
      </w:r>
      <w:r w:rsidDel="00000000" w:rsidR="00000000" w:rsidRPr="00000000">
        <w:rPr>
          <w:color w:val="000000"/>
          <w:highlight w:val="white"/>
          <w:rtl w:val="0"/>
        </w:rPr>
        <w:t xml:space="preserve">A creative idea is often born from transforming, combining, and </w:t>
      </w:r>
    </w:p>
    <w:p w:rsidR="00000000" w:rsidDel="00000000" w:rsidP="00000000" w:rsidRDefault="00000000" w:rsidRPr="00000000" w14:paraId="0000002F">
      <w:pPr>
        <w:spacing w:line="240" w:lineRule="auto"/>
        <w:ind w:left="2880" w:firstLine="0"/>
        <w:jc w:val="both"/>
        <w:rPr>
          <w:b w:val="1"/>
        </w:rPr>
      </w:pPr>
      <w:r w:rsidDel="00000000" w:rsidR="00000000" w:rsidRPr="00000000">
        <w:rPr>
          <w:color w:val="000000"/>
          <w:highlight w:val="white"/>
          <w:rtl w:val="0"/>
        </w:rPr>
        <w:t xml:space="preserve">modifying ideas from existing visual examples capturing various concepts. However, one cannot simply copy the concept as a whole, and inspiration is achieved by examining certain aspects of the concept. Hence, it is often necessary to separate a concept into different aspects to provide new perspectives. In this paper, we propose a method to decompose a visual concept, represented as a set of images, into different visual aspects encoded in a hierarchical tree structure. We </w:t>
      </w:r>
      <w:r w:rsidDel="00000000" w:rsidR="00000000" w:rsidRPr="00000000">
        <w:rPr>
          <w:highlight w:val="white"/>
          <w:rtl w:val="0"/>
        </w:rPr>
        <w:t xml:space="preserve">utilise</w:t>
      </w:r>
      <w:r w:rsidDel="00000000" w:rsidR="00000000" w:rsidRPr="00000000">
        <w:rPr>
          <w:color w:val="000000"/>
          <w:highlight w:val="white"/>
          <w:rtl w:val="0"/>
        </w:rPr>
        <w:t xml:space="preserve"> large vision-language models and their rich latent space for concept decomposition and generation. Each node in the tree represents a sub-concept using a learned vector embedding injected into the latent space of a </w:t>
      </w:r>
      <w:r w:rsidDel="00000000" w:rsidR="00000000" w:rsidRPr="00000000">
        <w:rPr>
          <w:highlight w:val="white"/>
          <w:rtl w:val="0"/>
        </w:rPr>
        <w:t xml:space="preserve">pre-trained</w:t>
      </w:r>
      <w:r w:rsidDel="00000000" w:rsidR="00000000" w:rsidRPr="00000000">
        <w:rPr>
          <w:color w:val="000000"/>
          <w:highlight w:val="white"/>
          <w:rtl w:val="0"/>
        </w:rPr>
        <w:t xml:space="preserve"> text-to-image model. We use a set of regularizations to guide the optimization of the embedding vectors encoded in the nodes to follow the hierarchical structure of the tree. Our method allows to explore and discover new concepts derived from the original one. The tree provides the possibility of endless visual sampling at each node, allowing the user to explore the hidden sub-concepts of the object of interest. The learned aspects in each node can be combined within and across trees to create new visual ideas, and can be used in natural language sentences to apply such aspects to new designs.</w:t>
      </w:r>
      <w:r w:rsidDel="00000000" w:rsidR="00000000" w:rsidRPr="00000000">
        <w:rPr>
          <w:rtl w:val="0"/>
        </w:rPr>
      </w:r>
    </w:p>
    <w:p w:rsidR="00000000" w:rsidDel="00000000" w:rsidP="00000000" w:rsidRDefault="00000000" w:rsidRPr="00000000" w14:paraId="00000030">
      <w:pPr>
        <w:ind w:left="720" w:firstLine="0"/>
        <w:rPr>
          <w:b w:val="1"/>
        </w:rPr>
      </w:pPr>
      <w:r w:rsidDel="00000000" w:rsidR="00000000" w:rsidRPr="00000000">
        <w:rPr>
          <w:rtl w:val="0"/>
        </w:rPr>
      </w:r>
    </w:p>
    <w:p w:rsidR="00000000" w:rsidDel="00000000" w:rsidP="00000000" w:rsidRDefault="00000000" w:rsidRPr="00000000" w14:paraId="00000031">
      <w:pPr>
        <w:numPr>
          <w:ilvl w:val="0"/>
          <w:numId w:val="3"/>
        </w:numPr>
        <w:spacing w:line="240" w:lineRule="auto"/>
        <w:ind w:left="540" w:hanging="360"/>
        <w:rPr>
          <w:b w:val="1"/>
        </w:rPr>
      </w:pPr>
      <w:r w:rsidDel="00000000" w:rsidR="00000000" w:rsidRPr="00000000">
        <w:rPr>
          <w:b w:val="1"/>
          <w:rtl w:val="0"/>
        </w:rPr>
        <w:t xml:space="preserve">Title</w:t>
      </w:r>
      <w:r w:rsidDel="00000000" w:rsidR="00000000" w:rsidRPr="00000000">
        <w:rPr>
          <w:rtl w:val="0"/>
        </w:rPr>
        <w:tab/>
        <w:tab/>
        <w:t xml:space="preserve">:</w:t>
        <w:tab/>
      </w:r>
      <w:hyperlink r:id="rId12">
        <w:r w:rsidDel="00000000" w:rsidR="00000000" w:rsidRPr="00000000">
          <w:rPr>
            <w:b w:val="1"/>
            <w:color w:val="1155cc"/>
            <w:u w:val="single"/>
            <w:rtl w:val="0"/>
          </w:rPr>
          <w:t xml:space="preserve">Meshes with Spherical Faces</w:t>
        </w:r>
      </w:hyperlink>
      <w:r w:rsidDel="00000000" w:rsidR="00000000" w:rsidRPr="00000000">
        <w:rPr>
          <w:b w:val="1"/>
          <w:rtl w:val="0"/>
        </w:rPr>
        <w:br w:type="textWrapping"/>
      </w:r>
    </w:p>
    <w:p w:rsidR="00000000" w:rsidDel="00000000" w:rsidP="00000000" w:rsidRDefault="00000000" w:rsidRPr="00000000" w14:paraId="00000032">
      <w:pPr>
        <w:spacing w:line="240" w:lineRule="auto"/>
        <w:ind w:left="540" w:firstLine="0"/>
        <w:rPr>
          <w:color w:val="000000"/>
          <w:highlight w:val="white"/>
        </w:rPr>
      </w:pPr>
      <w:r w:rsidDel="00000000" w:rsidR="00000000" w:rsidRPr="00000000">
        <w:rPr>
          <w:b w:val="1"/>
          <w:rtl w:val="0"/>
        </w:rPr>
        <w:t xml:space="preserve">Contributors</w:t>
        <w:tab/>
      </w:r>
      <w:r w:rsidDel="00000000" w:rsidR="00000000" w:rsidRPr="00000000">
        <w:rPr>
          <w:rtl w:val="0"/>
        </w:rPr>
        <w:t xml:space="preserve">:</w:t>
        <w:tab/>
      </w:r>
      <w:r w:rsidDel="00000000" w:rsidR="00000000" w:rsidRPr="00000000">
        <w:rPr>
          <w:color w:val="000000"/>
          <w:highlight w:val="white"/>
          <w:rtl w:val="0"/>
        </w:rPr>
        <w:t xml:space="preserve">Martin Kilian (TU Wien), Anthony Ramos Cisneros (KAUST), </w:t>
      </w:r>
    </w:p>
    <w:p w:rsidR="00000000" w:rsidDel="00000000" w:rsidP="00000000" w:rsidRDefault="00000000" w:rsidRPr="00000000" w14:paraId="00000033">
      <w:pPr>
        <w:spacing w:line="240" w:lineRule="auto"/>
        <w:ind w:left="2700" w:firstLine="180"/>
        <w:rPr/>
      </w:pPr>
      <w:r w:rsidDel="00000000" w:rsidR="00000000" w:rsidRPr="00000000">
        <w:rPr>
          <w:color w:val="000000"/>
          <w:highlight w:val="white"/>
          <w:rtl w:val="0"/>
        </w:rPr>
        <w:t xml:space="preserve">Christian Müller (TU Wien), and Helmut Pottmann (KAUST)</w:t>
      </w:r>
      <w:r w:rsidDel="00000000" w:rsidR="00000000" w:rsidRPr="00000000">
        <w:rPr>
          <w:rtl w:val="0"/>
        </w:rPr>
      </w:r>
    </w:p>
    <w:p w:rsidR="00000000" w:rsidDel="00000000" w:rsidP="00000000" w:rsidRDefault="00000000" w:rsidRPr="00000000" w14:paraId="00000034">
      <w:pPr>
        <w:spacing w:line="240" w:lineRule="auto"/>
        <w:ind w:left="540" w:firstLine="0"/>
        <w:jc w:val="both"/>
        <w:rPr>
          <w:color w:val="000000"/>
          <w:highlight w:val="white"/>
        </w:rPr>
      </w:pPr>
      <w:r w:rsidDel="00000000" w:rsidR="00000000" w:rsidRPr="00000000">
        <w:rPr>
          <w:rtl w:val="0"/>
        </w:rPr>
        <w:br w:type="textWrapping"/>
      </w:r>
      <w:r w:rsidDel="00000000" w:rsidR="00000000" w:rsidRPr="00000000">
        <w:rPr>
          <w:b w:val="1"/>
          <w:rtl w:val="0"/>
        </w:rPr>
        <w:t xml:space="preserve">Description</w:t>
        <w:tab/>
      </w:r>
      <w:r w:rsidDel="00000000" w:rsidR="00000000" w:rsidRPr="00000000">
        <w:rPr>
          <w:rtl w:val="0"/>
        </w:rPr>
        <w:t xml:space="preserve">:</w:t>
        <w:tab/>
      </w:r>
      <w:r w:rsidDel="00000000" w:rsidR="00000000" w:rsidRPr="00000000">
        <w:rPr>
          <w:color w:val="000000"/>
          <w:highlight w:val="white"/>
          <w:rtl w:val="0"/>
        </w:rPr>
        <w:t xml:space="preserve">A truly Möbius invariant discrete surface theory must consider </w:t>
      </w:r>
    </w:p>
    <w:p w:rsidR="00000000" w:rsidDel="00000000" w:rsidP="00000000" w:rsidRDefault="00000000" w:rsidRPr="00000000" w14:paraId="00000035">
      <w:pPr>
        <w:spacing w:line="240" w:lineRule="auto"/>
        <w:ind w:left="2880" w:firstLine="0"/>
        <w:jc w:val="both"/>
        <w:rPr>
          <w:b w:val="1"/>
        </w:rPr>
      </w:pPr>
      <w:r w:rsidDel="00000000" w:rsidR="00000000" w:rsidRPr="00000000">
        <w:rPr>
          <w:color w:val="000000"/>
          <w:highlight w:val="white"/>
          <w:rtl w:val="0"/>
        </w:rPr>
        <w:t xml:space="preserve">meshes where the transformation group acts on all of its elements, including edges and faces. We therefore systematically describe </w:t>
      </w:r>
      <w:r w:rsidDel="00000000" w:rsidR="00000000" w:rsidRPr="00000000">
        <w:rPr>
          <w:highlight w:val="white"/>
          <w:rtl w:val="0"/>
        </w:rPr>
        <w:t xml:space="preserve">so-called</w:t>
      </w:r>
      <w:r w:rsidDel="00000000" w:rsidR="00000000" w:rsidRPr="00000000">
        <w:rPr>
          <w:color w:val="000000"/>
          <w:highlight w:val="white"/>
          <w:rtl w:val="0"/>
        </w:rPr>
        <w:t xml:space="preserve"> sphere meshes with spherical faces and circular arcs as edges. Driven by aspects important for manufacturing, we provide the means to cluster spherical panels by their radii. We investigate the generation of sphere meshes which allow for a geometric support structure and </w:t>
      </w:r>
      <w:r w:rsidDel="00000000" w:rsidR="00000000" w:rsidRPr="00000000">
        <w:rPr>
          <w:highlight w:val="white"/>
          <w:rtl w:val="0"/>
        </w:rPr>
        <w:t xml:space="preserve">characterise</w:t>
      </w:r>
      <w:r w:rsidDel="00000000" w:rsidR="00000000" w:rsidRPr="00000000">
        <w:rPr>
          <w:color w:val="000000"/>
          <w:highlight w:val="white"/>
          <w:rtl w:val="0"/>
        </w:rPr>
        <w:t xml:space="preserve"> all such meshes with triangular combinatorics in terms of non-Euclidean geometries. We generate sphere meshes with hexagonal combinatorics by intersecting </w:t>
      </w:r>
      <w:r w:rsidDel="00000000" w:rsidR="00000000" w:rsidRPr="00000000">
        <w:rPr>
          <w:highlight w:val="white"/>
          <w:rtl w:val="0"/>
        </w:rPr>
        <w:t xml:space="preserve">tangent</w:t>
      </w:r>
      <w:r w:rsidDel="00000000" w:rsidR="00000000" w:rsidRPr="00000000">
        <w:rPr>
          <w:color w:val="000000"/>
          <w:highlight w:val="white"/>
          <w:rtl w:val="0"/>
        </w:rPr>
        <w:t xml:space="preserve"> spheres of a reference surface and let them evolve - guided by the surface curvature - to visually convex hexagons, even in negatively curved areas. Furthermore, we extend meshes with circular faces of all combinatorics to sphere meshes by filling its circles with suitable spherical caps and provide a re-meshing scheme to obtain quadrilateral sphere meshes with support structure from given sphere congruences. By broadening polyhedral meshes to sphere meshes we exploit the additional degrees of freedom to </w:t>
      </w:r>
      <w:r w:rsidDel="00000000" w:rsidR="00000000" w:rsidRPr="00000000">
        <w:rPr>
          <w:highlight w:val="white"/>
          <w:rtl w:val="0"/>
        </w:rPr>
        <w:t xml:space="preserve">minimise</w:t>
      </w:r>
      <w:r w:rsidDel="00000000" w:rsidR="00000000" w:rsidRPr="00000000">
        <w:rPr>
          <w:color w:val="000000"/>
          <w:highlight w:val="white"/>
          <w:rtl w:val="0"/>
        </w:rPr>
        <w:t xml:space="preserve"> intersection angles of </w:t>
      </w:r>
      <w:r w:rsidDel="00000000" w:rsidR="00000000" w:rsidRPr="00000000">
        <w:rPr>
          <w:highlight w:val="white"/>
          <w:rtl w:val="0"/>
        </w:rPr>
        <w:t xml:space="preserve">neighbouring</w:t>
      </w:r>
      <w:r w:rsidDel="00000000" w:rsidR="00000000" w:rsidRPr="00000000">
        <w:rPr>
          <w:color w:val="000000"/>
          <w:highlight w:val="white"/>
          <w:rtl w:val="0"/>
        </w:rPr>
        <w:t xml:space="preserve"> spheres enabling the use of spherical panels that provide a softer perception of the overall surface.</w:t>
      </w:r>
      <w:r w:rsidDel="00000000" w:rsidR="00000000" w:rsidRPr="00000000">
        <w:rPr>
          <w:rtl w:val="0"/>
        </w:rPr>
      </w:r>
    </w:p>
    <w:p w:rsidR="00000000" w:rsidDel="00000000" w:rsidP="00000000" w:rsidRDefault="00000000" w:rsidRPr="00000000" w14:paraId="00000036">
      <w:pPr>
        <w:ind w:left="720" w:firstLine="0"/>
        <w:rPr>
          <w:b w:val="1"/>
        </w:rPr>
      </w:pPr>
      <w:r w:rsidDel="00000000" w:rsidR="00000000" w:rsidRPr="00000000">
        <w:rPr>
          <w:rtl w:val="0"/>
        </w:rPr>
      </w:r>
    </w:p>
    <w:p w:rsidR="00000000" w:rsidDel="00000000" w:rsidP="00000000" w:rsidRDefault="00000000" w:rsidRPr="00000000" w14:paraId="00000037">
      <w:pPr>
        <w:numPr>
          <w:ilvl w:val="0"/>
          <w:numId w:val="3"/>
        </w:numPr>
        <w:spacing w:line="240" w:lineRule="auto"/>
        <w:ind w:left="540" w:hanging="360"/>
        <w:rPr>
          <w:b w:val="1"/>
        </w:rPr>
      </w:pPr>
      <w:r w:rsidDel="00000000" w:rsidR="00000000" w:rsidRPr="00000000">
        <w:rPr>
          <w:b w:val="1"/>
          <w:rtl w:val="0"/>
        </w:rPr>
        <w:t xml:space="preserve">Title</w:t>
      </w:r>
      <w:r w:rsidDel="00000000" w:rsidR="00000000" w:rsidRPr="00000000">
        <w:rPr>
          <w:rtl w:val="0"/>
        </w:rPr>
        <w:tab/>
      </w:r>
      <w:r w:rsidDel="00000000" w:rsidR="00000000" w:rsidRPr="00000000">
        <w:rPr>
          <w:b w:val="1"/>
          <w:rtl w:val="0"/>
        </w:rPr>
        <w:tab/>
      </w:r>
      <w:r w:rsidDel="00000000" w:rsidR="00000000" w:rsidRPr="00000000">
        <w:rPr>
          <w:rtl w:val="0"/>
        </w:rPr>
        <w:t xml:space="preserve">:</w:t>
        <w:tab/>
      </w:r>
      <w:hyperlink r:id="rId13">
        <w:r w:rsidDel="00000000" w:rsidR="00000000" w:rsidRPr="00000000">
          <w:rPr>
            <w:b w:val="1"/>
            <w:color w:val="1155cc"/>
            <w:u w:val="single"/>
            <w:rtl w:val="0"/>
          </w:rPr>
          <w:t xml:space="preserve">Warped-Area Reparameterization of Differential Path </w:t>
        </w:r>
      </w:hyperlink>
      <w:r w:rsidDel="00000000" w:rsidR="00000000" w:rsidRPr="00000000">
        <w:rPr>
          <w:rtl w:val="0"/>
        </w:rPr>
      </w:r>
    </w:p>
    <w:p w:rsidR="00000000" w:rsidDel="00000000" w:rsidP="00000000" w:rsidRDefault="00000000" w:rsidRPr="00000000" w14:paraId="00000038">
      <w:pPr>
        <w:spacing w:line="240" w:lineRule="auto"/>
        <w:ind w:left="2700" w:firstLine="180"/>
        <w:rPr>
          <w:b w:val="1"/>
        </w:rPr>
      </w:pPr>
      <w:hyperlink r:id="rId14">
        <w:r w:rsidDel="00000000" w:rsidR="00000000" w:rsidRPr="00000000">
          <w:rPr>
            <w:b w:val="1"/>
            <w:color w:val="1155cc"/>
            <w:u w:val="single"/>
            <w:rtl w:val="0"/>
          </w:rPr>
          <w:t xml:space="preserve">Integrals</w:t>
        </w:r>
      </w:hyperlink>
      <w:r w:rsidDel="00000000" w:rsidR="00000000" w:rsidRPr="00000000">
        <w:rPr>
          <w:rtl w:val="0"/>
        </w:rPr>
      </w:r>
    </w:p>
    <w:p w:rsidR="00000000" w:rsidDel="00000000" w:rsidP="00000000" w:rsidRDefault="00000000" w:rsidRPr="00000000" w14:paraId="00000039">
      <w:pPr>
        <w:spacing w:line="240" w:lineRule="auto"/>
        <w:ind w:left="540" w:firstLine="0"/>
        <w:rPr>
          <w:b w:val="1"/>
        </w:rPr>
      </w:pPr>
      <w:r w:rsidDel="00000000" w:rsidR="00000000" w:rsidRPr="00000000">
        <w:rPr>
          <w:rtl w:val="0"/>
        </w:rPr>
      </w:r>
    </w:p>
    <w:p w:rsidR="00000000" w:rsidDel="00000000" w:rsidP="00000000" w:rsidRDefault="00000000" w:rsidRPr="00000000" w14:paraId="0000003A">
      <w:pPr>
        <w:spacing w:line="240" w:lineRule="auto"/>
        <w:ind w:left="540" w:firstLine="0"/>
        <w:rPr>
          <w:color w:val="000000"/>
          <w:highlight w:val="white"/>
        </w:rPr>
      </w:pPr>
      <w:r w:rsidDel="00000000" w:rsidR="00000000" w:rsidRPr="00000000">
        <w:rPr>
          <w:b w:val="1"/>
          <w:rtl w:val="0"/>
        </w:rPr>
        <w:t xml:space="preserve">Authors</w:t>
        <w:tab/>
        <w:tab/>
      </w:r>
      <w:r w:rsidDel="00000000" w:rsidR="00000000" w:rsidRPr="00000000">
        <w:rPr>
          <w:rtl w:val="0"/>
        </w:rPr>
        <w:t xml:space="preserve">:</w:t>
        <w:tab/>
      </w:r>
      <w:r w:rsidDel="00000000" w:rsidR="00000000" w:rsidRPr="00000000">
        <w:rPr>
          <w:color w:val="000000"/>
          <w:highlight w:val="white"/>
          <w:rtl w:val="0"/>
        </w:rPr>
        <w:t xml:space="preserve">Peiyu Xu (University of California Irvine), Sai Bangaru (MIT </w:t>
      </w:r>
    </w:p>
    <w:p w:rsidR="00000000" w:rsidDel="00000000" w:rsidP="00000000" w:rsidRDefault="00000000" w:rsidRPr="00000000" w14:paraId="0000003B">
      <w:pPr>
        <w:spacing w:line="240" w:lineRule="auto"/>
        <w:ind w:left="2880" w:firstLine="0"/>
        <w:rPr/>
      </w:pPr>
      <w:r w:rsidDel="00000000" w:rsidR="00000000" w:rsidRPr="00000000">
        <w:rPr>
          <w:color w:val="000000"/>
          <w:highlight w:val="white"/>
          <w:rtl w:val="0"/>
        </w:rPr>
        <w:t xml:space="preserve">CSAIL), Tzu-Mao Li (University of California San Diego), and Shuang Zhao (University of California Irvine)</w:t>
      </w:r>
      <w:r w:rsidDel="00000000" w:rsidR="00000000" w:rsidRPr="00000000">
        <w:rPr>
          <w:rtl w:val="0"/>
        </w:rPr>
      </w:r>
    </w:p>
    <w:p w:rsidR="00000000" w:rsidDel="00000000" w:rsidP="00000000" w:rsidRDefault="00000000" w:rsidRPr="00000000" w14:paraId="0000003C">
      <w:pPr>
        <w:spacing w:line="240" w:lineRule="auto"/>
        <w:ind w:left="540" w:firstLine="0"/>
        <w:jc w:val="both"/>
        <w:rPr>
          <w:color w:val="000000"/>
          <w:highlight w:val="white"/>
        </w:rPr>
      </w:pPr>
      <w:r w:rsidDel="00000000" w:rsidR="00000000" w:rsidRPr="00000000">
        <w:rPr>
          <w:rtl w:val="0"/>
        </w:rPr>
        <w:br w:type="textWrapping"/>
      </w:r>
      <w:r w:rsidDel="00000000" w:rsidR="00000000" w:rsidRPr="00000000">
        <w:rPr>
          <w:b w:val="1"/>
          <w:rtl w:val="0"/>
        </w:rPr>
        <w:t xml:space="preserve">Description</w:t>
        <w:tab/>
      </w:r>
      <w:r w:rsidDel="00000000" w:rsidR="00000000" w:rsidRPr="00000000">
        <w:rPr>
          <w:rtl w:val="0"/>
        </w:rPr>
        <w:t xml:space="preserve">:</w:t>
        <w:tab/>
      </w:r>
      <w:r w:rsidDel="00000000" w:rsidR="00000000" w:rsidRPr="00000000">
        <w:rPr>
          <w:color w:val="000000"/>
          <w:highlight w:val="white"/>
          <w:rtl w:val="0"/>
        </w:rPr>
        <w:t xml:space="preserve">Physics-based differentiable rendering is becoming </w:t>
      </w:r>
    </w:p>
    <w:p w:rsidR="00000000" w:rsidDel="00000000" w:rsidP="00000000" w:rsidRDefault="00000000" w:rsidRPr="00000000" w14:paraId="0000003D">
      <w:pPr>
        <w:spacing w:line="240" w:lineRule="auto"/>
        <w:ind w:left="2880" w:firstLine="0"/>
        <w:jc w:val="both"/>
        <w:rPr>
          <w:color w:val="000000"/>
          <w:highlight w:val="white"/>
        </w:rPr>
      </w:pPr>
      <w:r w:rsidDel="00000000" w:rsidR="00000000" w:rsidRPr="00000000">
        <w:rPr>
          <w:color w:val="000000"/>
          <w:highlight w:val="white"/>
          <w:rtl w:val="0"/>
        </w:rPr>
        <w:t xml:space="preserve">increasingly crucial for tasks in inverse rendering and machine learning pipelines. To address discontinuities caused by geometric boundaries and occlusion, two classes of methods have been proposed: 1) the edge sampling methods that directly sample light paths at the scene discontinuity boundaries, which require </w:t>
      </w:r>
      <w:r w:rsidDel="00000000" w:rsidR="00000000" w:rsidRPr="00000000">
        <w:rPr>
          <w:highlight w:val="white"/>
          <w:rtl w:val="0"/>
        </w:rPr>
        <w:t xml:space="preserve">non trivial</w:t>
      </w:r>
      <w:r w:rsidDel="00000000" w:rsidR="00000000" w:rsidRPr="00000000">
        <w:rPr>
          <w:color w:val="000000"/>
          <w:highlight w:val="white"/>
          <w:rtl w:val="0"/>
        </w:rPr>
        <w:t xml:space="preserve"> data structures and precomputation to select the edges, and 2) the reparameterization methods that avoid discontinuity sampling but are currently limited to hemispherical integrals and unidirectional path tracing.</w:t>
      </w:r>
    </w:p>
    <w:p w:rsidR="00000000" w:rsidDel="00000000" w:rsidP="00000000" w:rsidRDefault="00000000" w:rsidRPr="00000000" w14:paraId="0000003E">
      <w:pPr>
        <w:spacing w:line="240" w:lineRule="auto"/>
        <w:ind w:left="540" w:firstLine="0"/>
        <w:jc w:val="both"/>
        <w:rPr>
          <w:color w:val="000000"/>
          <w:highlight w:val="white"/>
        </w:rPr>
      </w:pPr>
      <w:r w:rsidDel="00000000" w:rsidR="00000000" w:rsidRPr="00000000">
        <w:rPr>
          <w:color w:val="000000"/>
          <w:rtl w:val="0"/>
        </w:rPr>
        <w:br w:type="textWrapping"/>
        <w:tab/>
        <w:tab/>
        <w:tab/>
        <w:tab/>
      </w:r>
      <w:r w:rsidDel="00000000" w:rsidR="00000000" w:rsidRPr="00000000">
        <w:rPr>
          <w:color w:val="000000"/>
          <w:highlight w:val="white"/>
          <w:rtl w:val="0"/>
        </w:rPr>
        <w:t xml:space="preserve">We introduce a new mathematical formulation that enjoys the </w:t>
      </w:r>
    </w:p>
    <w:p w:rsidR="00000000" w:rsidDel="00000000" w:rsidP="00000000" w:rsidRDefault="00000000" w:rsidRPr="00000000" w14:paraId="0000003F">
      <w:pPr>
        <w:spacing w:line="240" w:lineRule="auto"/>
        <w:ind w:left="2880" w:firstLine="0"/>
        <w:jc w:val="both"/>
        <w:rPr>
          <w:b w:val="1"/>
        </w:rPr>
      </w:pPr>
      <w:r w:rsidDel="00000000" w:rsidR="00000000" w:rsidRPr="00000000">
        <w:rPr>
          <w:color w:val="000000"/>
          <w:highlight w:val="white"/>
          <w:rtl w:val="0"/>
        </w:rPr>
        <w:t xml:space="preserve">benefits of both classes of methods. Unlike previous reparameterization work that focused on hemispherical integral, we derive the reparameterization in the path space. As a result, to estimate derivatives using our formulation, we can apply advanced Monte Carlo rendering methods, such as bidirectional path tracing, while avoiding explicit sampling of discontinuity boundaries. We show differentiable rendering and inverse rendering results to demonstrate the effectiveness of our method.</w:t>
      </w: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br w:type="textWrapping"/>
      </w:r>
      <w:r w:rsidDel="00000000" w:rsidR="00000000" w:rsidRPr="00000000">
        <w:rPr>
          <w:rtl w:val="0"/>
        </w:rPr>
        <w:t xml:space="preserve">For full information about this year’s Technical Papers program, please visit: </w:t>
      </w:r>
      <w:r w:rsidDel="00000000" w:rsidR="00000000" w:rsidRPr="00000000">
        <w:rPr>
          <w:rtl w:val="0"/>
        </w:rPr>
        <w:t xml:space="preserve">https://asia.siggraph.org/2023/attend/technical-papers/</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For the overall SIGGRAPH Asia 2023 program schedule, please visit </w:t>
      </w:r>
      <w:hyperlink r:id="rId15">
        <w:r w:rsidDel="00000000" w:rsidR="00000000" w:rsidRPr="00000000">
          <w:rPr>
            <w:color w:val="1155cc"/>
            <w:u w:val="single"/>
            <w:rtl w:val="0"/>
          </w:rPr>
          <w:t xml:space="preserve">https://asia.siggraph.org/2023/full-program</w:t>
        </w:r>
      </w:hyperlink>
      <w:r w:rsidDel="00000000" w:rsidR="00000000" w:rsidRPr="00000000">
        <w:rPr>
          <w:rtl w:val="0"/>
        </w:rPr>
        <w:t xml:space="preserve">   </w:t>
      </w:r>
      <w:r w:rsidDel="00000000" w:rsidR="00000000" w:rsidRPr="00000000">
        <w:rPr>
          <w:rtl w:val="0"/>
        </w:rPr>
      </w:r>
    </w:p>
    <w:sectPr>
      <w:headerReference r:id="rId16" w:type="default"/>
      <w:footerReference r:id="rId1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-962023</wp:posOffset>
          </wp:positionH>
          <wp:positionV relativeFrom="paragraph">
            <wp:posOffset>-457197</wp:posOffset>
          </wp:positionV>
          <wp:extent cx="7753350" cy="1550670"/>
          <wp:effectExtent b="0" l="0" r="0" t="0"/>
          <wp:wrapTopAndBottom distB="0" distT="0"/>
          <wp:docPr descr="Text&#10;&#10;Description automatically generated" id="2" name="image1.png"/>
          <a:graphic>
            <a:graphicData uri="http://schemas.openxmlformats.org/drawingml/2006/picture">
              <pic:pic>
                <pic:nvPicPr>
                  <pic:cNvPr descr="Text&#10;&#10;Description automatically generated" id="0" name="image1.png"/>
                  <pic:cNvPicPr preferRelativeResize="0"/>
                </pic:nvPicPr>
                <pic:blipFill>
                  <a:blip r:embed="rId1"/>
                  <a:srcRect b="0" l="0" r="0" t="0"/>
                  <a:stretch>
                    <a:fillRect/>
                  </a:stretch>
                </pic:blipFill>
                <pic:spPr>
                  <a:xfrm>
                    <a:off x="0" y="0"/>
                    <a:ext cx="7753350" cy="15506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800" w:hanging="400"/>
      </w:pPr>
      <w:rPr>
        <w:rFonts w:ascii="Noto Sans Symbols" w:cs="Noto Sans Symbols" w:eastAsia="Noto Sans Symbols" w:hAnsi="Noto Sans Symbols"/>
      </w:rPr>
    </w:lvl>
    <w:lvl w:ilvl="1">
      <w:start w:val="1"/>
      <w:numFmt w:val="bullet"/>
      <w:lvlText w:val="■"/>
      <w:lvlJc w:val="left"/>
      <w:pPr>
        <w:ind w:left="1200" w:hanging="400"/>
      </w:pPr>
      <w:rPr>
        <w:rFonts w:ascii="Noto Sans Symbols" w:cs="Noto Sans Symbols" w:eastAsia="Noto Sans Symbols" w:hAnsi="Noto Sans Symbols"/>
      </w:rPr>
    </w:lvl>
    <w:lvl w:ilvl="2">
      <w:start w:val="1"/>
      <w:numFmt w:val="bullet"/>
      <w:lvlText w:val="◆"/>
      <w:lvlJc w:val="left"/>
      <w:pPr>
        <w:ind w:left="1600" w:hanging="400"/>
      </w:pPr>
      <w:rPr>
        <w:rFonts w:ascii="Noto Sans Symbols" w:cs="Noto Sans Symbols" w:eastAsia="Noto Sans Symbols" w:hAnsi="Noto Sans Symbols"/>
      </w:rPr>
    </w:lvl>
    <w:lvl w:ilvl="3">
      <w:start w:val="1"/>
      <w:numFmt w:val="bullet"/>
      <w:lvlText w:val="●"/>
      <w:lvlJc w:val="left"/>
      <w:pPr>
        <w:ind w:left="2000" w:hanging="400"/>
      </w:pPr>
      <w:rPr>
        <w:rFonts w:ascii="Noto Sans Symbols" w:cs="Noto Sans Symbols" w:eastAsia="Noto Sans Symbols" w:hAnsi="Noto Sans Symbols"/>
      </w:rPr>
    </w:lvl>
    <w:lvl w:ilvl="4">
      <w:start w:val="1"/>
      <w:numFmt w:val="bullet"/>
      <w:lvlText w:val="■"/>
      <w:lvlJc w:val="left"/>
      <w:pPr>
        <w:ind w:left="2400" w:hanging="400"/>
      </w:pPr>
      <w:rPr>
        <w:rFonts w:ascii="Noto Sans Symbols" w:cs="Noto Sans Symbols" w:eastAsia="Noto Sans Symbols" w:hAnsi="Noto Sans Symbols"/>
      </w:rPr>
    </w:lvl>
    <w:lvl w:ilvl="5">
      <w:start w:val="1"/>
      <w:numFmt w:val="bullet"/>
      <w:lvlText w:val="◆"/>
      <w:lvlJc w:val="left"/>
      <w:pPr>
        <w:ind w:left="2800" w:hanging="400"/>
      </w:pPr>
      <w:rPr>
        <w:rFonts w:ascii="Noto Sans Symbols" w:cs="Noto Sans Symbols" w:eastAsia="Noto Sans Symbols" w:hAnsi="Noto Sans Symbols"/>
      </w:rPr>
    </w:lvl>
    <w:lvl w:ilvl="6">
      <w:start w:val="1"/>
      <w:numFmt w:val="bullet"/>
      <w:lvlText w:val="●"/>
      <w:lvlJc w:val="left"/>
      <w:pPr>
        <w:ind w:left="3200" w:hanging="400"/>
      </w:pPr>
      <w:rPr>
        <w:rFonts w:ascii="Noto Sans Symbols" w:cs="Noto Sans Symbols" w:eastAsia="Noto Sans Symbols" w:hAnsi="Noto Sans Symbols"/>
      </w:rPr>
    </w:lvl>
    <w:lvl w:ilvl="7">
      <w:start w:val="1"/>
      <w:numFmt w:val="bullet"/>
      <w:lvlText w:val="■"/>
      <w:lvlJc w:val="left"/>
      <w:pPr>
        <w:ind w:left="3600" w:hanging="400"/>
      </w:pPr>
      <w:rPr>
        <w:rFonts w:ascii="Noto Sans Symbols" w:cs="Noto Sans Symbols" w:eastAsia="Noto Sans Symbols" w:hAnsi="Noto Sans Symbols"/>
      </w:rPr>
    </w:lvl>
    <w:lvl w:ilvl="8">
      <w:start w:val="1"/>
      <w:numFmt w:val="bullet"/>
      <w:lvlText w:val="◆"/>
      <w:lvlJc w:val="left"/>
      <w:pPr>
        <w:ind w:left="4000" w:hanging="400"/>
      </w:pPr>
      <w:rPr>
        <w:rFonts w:ascii="Noto Sans Symbols" w:cs="Noto Sans Symbols" w:eastAsia="Noto Sans Symbols" w:hAnsi="Noto Sans Symbols"/>
      </w:rPr>
    </w:lvl>
  </w:abstractNum>
  <w:abstractNum w:abstractNumId="3">
    <w:lvl w:ilvl="0">
      <w:start w:val="1"/>
      <w:numFmt w:val="bullet"/>
      <w:lvlText w:val="●"/>
      <w:lvlJc w:val="left"/>
      <w:pPr>
        <w:ind w:left="54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CommentReference">
    <w:name w:val="annotation reference"/>
    <w:basedOn w:val="DefaultParagraphFont"/>
    <w:uiPriority w:val="99"/>
    <w:semiHidden w:val="1"/>
    <w:unhideWhenUsed w:val="1"/>
    <w:rsid w:val="009B16A8"/>
    <w:rPr>
      <w:sz w:val="16"/>
      <w:szCs w:val="16"/>
    </w:rPr>
  </w:style>
  <w:style w:type="paragraph" w:styleId="CommentText">
    <w:name w:val="annotation text"/>
    <w:basedOn w:val="Normal"/>
    <w:link w:val="CommentTextChar"/>
    <w:uiPriority w:val="99"/>
    <w:unhideWhenUsed w:val="1"/>
    <w:rsid w:val="009B16A8"/>
    <w:pPr>
      <w:spacing w:line="240" w:lineRule="auto"/>
    </w:pPr>
    <w:rPr>
      <w:sz w:val="20"/>
      <w:szCs w:val="20"/>
    </w:rPr>
  </w:style>
  <w:style w:type="character" w:styleId="CommentTextChar" w:customStyle="1">
    <w:name w:val="Comment Text Char"/>
    <w:basedOn w:val="DefaultParagraphFont"/>
    <w:link w:val="CommentText"/>
    <w:uiPriority w:val="99"/>
    <w:rsid w:val="009B16A8"/>
    <w:rPr>
      <w:sz w:val="20"/>
      <w:szCs w:val="20"/>
    </w:rPr>
  </w:style>
  <w:style w:type="paragraph" w:styleId="CommentSubject">
    <w:name w:val="annotation subject"/>
    <w:basedOn w:val="CommentText"/>
    <w:next w:val="CommentText"/>
    <w:link w:val="CommentSubjectChar"/>
    <w:uiPriority w:val="99"/>
    <w:semiHidden w:val="1"/>
    <w:unhideWhenUsed w:val="1"/>
    <w:rsid w:val="009B16A8"/>
    <w:rPr>
      <w:b w:val="1"/>
      <w:bCs w:val="1"/>
    </w:rPr>
  </w:style>
  <w:style w:type="character" w:styleId="CommentSubjectChar" w:customStyle="1">
    <w:name w:val="Comment Subject Char"/>
    <w:basedOn w:val="CommentTextChar"/>
    <w:link w:val="CommentSubject"/>
    <w:uiPriority w:val="99"/>
    <w:semiHidden w:val="1"/>
    <w:rsid w:val="009B16A8"/>
    <w:rPr>
      <w:b w:val="1"/>
      <w:bCs w:val="1"/>
      <w:sz w:val="20"/>
      <w:szCs w:val="20"/>
    </w:rPr>
  </w:style>
  <w:style w:type="paragraph" w:styleId="ListParagraph">
    <w:name w:val="List Paragraph"/>
    <w:basedOn w:val="Normal"/>
    <w:uiPriority w:val="34"/>
    <w:qFormat w:val="1"/>
    <w:rsid w:val="004535D6"/>
    <w:pPr>
      <w:ind w:left="720"/>
      <w:contextualSpacing w:val="1"/>
    </w:pPr>
  </w:style>
  <w:style w:type="paragraph" w:styleId="BalloonText">
    <w:name w:val="Balloon Text"/>
    <w:basedOn w:val="Normal"/>
    <w:link w:val="BalloonTextChar"/>
    <w:uiPriority w:val="99"/>
    <w:semiHidden w:val="1"/>
    <w:unhideWhenUsed w:val="1"/>
    <w:rsid w:val="007F213F"/>
    <w:pPr>
      <w:spacing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F213F"/>
    <w:rPr>
      <w:rFonts w:ascii="Times New Roman" w:cs="Times New Roman" w:hAnsi="Times New Roman"/>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sia.siggraph.org/2023/presentation/?id=papers_200&amp;sess=sess150" TargetMode="External"/><Relationship Id="rId10" Type="http://schemas.openxmlformats.org/officeDocument/2006/relationships/hyperlink" Target="https://asia.siggraph.org/2023/presentation/?id=papers_200&amp;sess=sess150" TargetMode="External"/><Relationship Id="rId13" Type="http://schemas.openxmlformats.org/officeDocument/2006/relationships/hyperlink" Target="https://asia.siggraph.org/2023/presentation/?id=papers_268&amp;sess=sess168" TargetMode="External"/><Relationship Id="rId12" Type="http://schemas.openxmlformats.org/officeDocument/2006/relationships/hyperlink" Target="https://asia.siggraph.org/2023/presentation/?id=papers_367&amp;sess=sess14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ia.siggraph.org/2023/presentation/?id=papers_774&amp;sess=sess154" TargetMode="External"/><Relationship Id="rId15" Type="http://schemas.openxmlformats.org/officeDocument/2006/relationships/hyperlink" Target="https://asia.siggraph.org/2023/full-program" TargetMode="External"/><Relationship Id="rId14" Type="http://schemas.openxmlformats.org/officeDocument/2006/relationships/hyperlink" Target="https://asia.siggraph.org/2023/presentation/?id=papers_268&amp;sess=sess168"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ia.siggraph.org/2023/presentation/?id=papers_776&amp;sess=sess151" TargetMode="External"/><Relationship Id="rId8" Type="http://schemas.openxmlformats.org/officeDocument/2006/relationships/hyperlink" Target="https://asia.siggraph.org/2023/presentation/?id=papers_774&amp;sess=sess15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foKg/E50lG6yq7kZeo5UA3GNNg==">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2023-10-16T07:05:00Z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b0342fc05d93c07edf1781f62c602fa1ef60f3636a632393b5a43382ea89964c</vt:lpwstr>
  </property>
</Properties>
</file>