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65C" w:rsidRPr="000E792F" w:rsidRDefault="0096265C" w:rsidP="0096265C">
      <w:pPr>
        <w:shd w:val="clear" w:color="auto" w:fill="FFFFFF"/>
        <w:jc w:val="center"/>
        <w:rPr>
          <w:rFonts w:asciiTheme="minorHAnsi" w:hAnsiTheme="minorHAnsi" w:cs="Helvetica"/>
          <w:b/>
          <w:color w:val="000000"/>
        </w:rPr>
      </w:pPr>
      <w:bookmarkStart w:id="0" w:name="_GoBack"/>
      <w:r w:rsidRPr="000E792F">
        <w:rPr>
          <w:rFonts w:asciiTheme="minorHAnsi" w:hAnsiTheme="minorHAnsi" w:cs="Helvetica"/>
          <w:b/>
          <w:color w:val="000000"/>
        </w:rPr>
        <w:t>Clean Energy Finance Forum (CEFF)</w:t>
      </w:r>
    </w:p>
    <w:p w:rsidR="0096265C" w:rsidRPr="000E792F" w:rsidRDefault="0096265C" w:rsidP="0096265C">
      <w:pPr>
        <w:shd w:val="clear" w:color="auto" w:fill="FFFFFF"/>
        <w:jc w:val="center"/>
        <w:rPr>
          <w:rFonts w:asciiTheme="minorHAnsi" w:hAnsiTheme="minorHAnsi" w:cs="Helvetica"/>
          <w:color w:val="000000"/>
        </w:rPr>
      </w:pPr>
      <w:r w:rsidRPr="000E792F">
        <w:rPr>
          <w:rFonts w:asciiTheme="minorHAnsi" w:hAnsiTheme="minorHAnsi" w:cs="Helvetica"/>
          <w:color w:val="000000"/>
        </w:rPr>
        <w:t>Group IV: Government Incentives - Fiscal Tradeoffs &amp; Policies</w:t>
      </w:r>
    </w:p>
    <w:p w:rsidR="0096265C" w:rsidRPr="000E792F" w:rsidRDefault="0096265C" w:rsidP="0096265C">
      <w:pPr>
        <w:shd w:val="clear" w:color="auto" w:fill="FFFFFF"/>
        <w:jc w:val="center"/>
        <w:rPr>
          <w:rFonts w:asciiTheme="minorHAnsi" w:hAnsiTheme="minorHAnsi" w:cs="Helvetica"/>
          <w:color w:val="000000"/>
        </w:rPr>
      </w:pPr>
      <w:r w:rsidRPr="000E792F">
        <w:rPr>
          <w:rFonts w:asciiTheme="minorHAnsi" w:hAnsiTheme="minorHAnsi" w:cs="Helvetica"/>
          <w:color w:val="000000"/>
        </w:rPr>
        <w:t>June 2, 2015 from 10:00AM – 12:30PM</w:t>
      </w:r>
    </w:p>
    <w:p w:rsidR="0096265C" w:rsidRPr="000E792F" w:rsidRDefault="0096265C" w:rsidP="0096265C">
      <w:pPr>
        <w:shd w:val="clear" w:color="auto" w:fill="FFFFFF"/>
        <w:jc w:val="center"/>
        <w:rPr>
          <w:rFonts w:asciiTheme="minorHAnsi" w:hAnsiTheme="minorHAnsi" w:cs="Helvetica"/>
          <w:color w:val="000000"/>
        </w:rPr>
      </w:pPr>
      <w:r w:rsidRPr="000E792F">
        <w:rPr>
          <w:rFonts w:asciiTheme="minorHAnsi" w:hAnsiTheme="minorHAnsi" w:cs="Helvetica"/>
          <w:color w:val="000000"/>
        </w:rPr>
        <w:t>Ministry of New and Renewable Energy</w:t>
      </w:r>
    </w:p>
    <w:p w:rsidR="0096265C" w:rsidRPr="000E792F" w:rsidRDefault="0096265C" w:rsidP="0096265C">
      <w:pPr>
        <w:shd w:val="clear" w:color="auto" w:fill="FFFFFF"/>
        <w:jc w:val="center"/>
        <w:rPr>
          <w:rFonts w:asciiTheme="minorHAnsi" w:hAnsiTheme="minorHAnsi" w:cs="Helvetica"/>
          <w:color w:val="000000"/>
        </w:rPr>
      </w:pPr>
    </w:p>
    <w:p w:rsidR="0096265C" w:rsidRPr="000E792F" w:rsidRDefault="0096265C" w:rsidP="0096265C">
      <w:pPr>
        <w:shd w:val="clear" w:color="auto" w:fill="FFFFFF"/>
        <w:rPr>
          <w:rFonts w:asciiTheme="minorHAnsi" w:hAnsiTheme="minorHAnsi" w:cs="Helvetica"/>
          <w:color w:val="000000"/>
        </w:rPr>
      </w:pPr>
    </w:p>
    <w:p w:rsidR="0096265C" w:rsidRPr="000E792F" w:rsidRDefault="0096265C" w:rsidP="0096265C">
      <w:pPr>
        <w:shd w:val="clear" w:color="auto" w:fill="FFFFFF"/>
        <w:rPr>
          <w:rFonts w:asciiTheme="minorHAnsi" w:hAnsiTheme="minorHAnsi" w:cs="Helvetica"/>
          <w:color w:val="000000"/>
        </w:rPr>
      </w:pPr>
      <w:r w:rsidRPr="000E792F">
        <w:rPr>
          <w:rFonts w:asciiTheme="minorHAnsi" w:hAnsiTheme="minorHAnsi" w:cs="Helvetica"/>
          <w:color w:val="000000"/>
        </w:rPr>
        <w:t>Group</w:t>
      </w:r>
      <w:r w:rsidRPr="000E792F">
        <w:rPr>
          <w:rFonts w:asciiTheme="minorHAnsi" w:hAnsiTheme="minorHAnsi" w:cs="Helvetica"/>
          <w:color w:val="000000"/>
        </w:rPr>
        <w:t xml:space="preserve"> IV</w:t>
      </w:r>
      <w:r w:rsidRPr="000E792F">
        <w:rPr>
          <w:rFonts w:asciiTheme="minorHAnsi" w:hAnsiTheme="minorHAnsi" w:cs="Helvetica"/>
          <w:color w:val="000000"/>
        </w:rPr>
        <w:t xml:space="preserve"> Co-chair</w:t>
      </w:r>
      <w:r w:rsidRPr="000E792F">
        <w:rPr>
          <w:rFonts w:asciiTheme="minorHAnsi" w:hAnsiTheme="minorHAnsi" w:cs="Helvetica"/>
          <w:color w:val="000000"/>
        </w:rPr>
        <w:t>s:</w:t>
      </w:r>
    </w:p>
    <w:p w:rsidR="0096265C" w:rsidRPr="000E792F" w:rsidRDefault="0096265C" w:rsidP="0096265C">
      <w:pPr>
        <w:shd w:val="clear" w:color="auto" w:fill="FFFFFF"/>
        <w:rPr>
          <w:rFonts w:asciiTheme="minorHAnsi" w:hAnsiTheme="minorHAnsi" w:cs="Helvetica"/>
          <w:color w:val="000000"/>
        </w:rPr>
      </w:pPr>
      <w:r w:rsidRPr="000E792F">
        <w:rPr>
          <w:rFonts w:asciiTheme="minorHAnsi" w:hAnsiTheme="minorHAnsi" w:cs="Helvetica"/>
          <w:color w:val="000000"/>
        </w:rPr>
        <w:t>Mr. Dipak Dasgupta, Board Member Green Climate Fund</w:t>
      </w:r>
    </w:p>
    <w:p w:rsidR="0096265C" w:rsidRPr="000E792F" w:rsidRDefault="0096265C" w:rsidP="0096265C">
      <w:pPr>
        <w:shd w:val="clear" w:color="auto" w:fill="FFFFFF"/>
        <w:rPr>
          <w:rFonts w:asciiTheme="minorHAnsi" w:hAnsiTheme="minorHAnsi" w:cs="Helvetica"/>
          <w:color w:val="000000"/>
        </w:rPr>
      </w:pPr>
      <w:r w:rsidRPr="000E792F">
        <w:rPr>
          <w:rFonts w:asciiTheme="minorHAnsi" w:hAnsiTheme="minorHAnsi" w:cs="Helvetica"/>
          <w:color w:val="000000"/>
        </w:rPr>
        <w:t>Dr. Rahul Tongia, Brookings India</w:t>
      </w:r>
    </w:p>
    <w:p w:rsidR="0096265C" w:rsidRPr="000E792F" w:rsidRDefault="0096265C" w:rsidP="0096265C">
      <w:pPr>
        <w:shd w:val="clear" w:color="auto" w:fill="FFFFFF"/>
        <w:rPr>
          <w:rFonts w:asciiTheme="minorHAnsi" w:hAnsiTheme="minorHAnsi" w:cs="Helvetica"/>
          <w:color w:val="000000"/>
        </w:rPr>
      </w:pPr>
    </w:p>
    <w:p w:rsidR="004E4152" w:rsidRPr="000E792F" w:rsidRDefault="004E4152" w:rsidP="0096265C">
      <w:pPr>
        <w:shd w:val="clear" w:color="auto" w:fill="FFFFFF"/>
        <w:rPr>
          <w:rFonts w:asciiTheme="minorHAnsi" w:hAnsiTheme="minorHAnsi" w:cs="Helvetica"/>
          <w:color w:val="000000"/>
        </w:rPr>
      </w:pPr>
    </w:p>
    <w:p w:rsidR="0096265C" w:rsidRPr="000E792F" w:rsidRDefault="0096265C" w:rsidP="004E4152">
      <w:pPr>
        <w:shd w:val="clear" w:color="auto" w:fill="FFFFFF"/>
        <w:jc w:val="center"/>
        <w:rPr>
          <w:rFonts w:asciiTheme="minorHAnsi" w:hAnsiTheme="minorHAnsi" w:cs="Helvetica"/>
          <w:color w:val="000000"/>
        </w:rPr>
      </w:pPr>
      <w:r w:rsidRPr="000E792F">
        <w:rPr>
          <w:rFonts w:asciiTheme="minorHAnsi" w:hAnsiTheme="minorHAnsi" w:cs="Helvetica"/>
          <w:color w:val="000000"/>
        </w:rPr>
        <w:t>Agenda</w:t>
      </w:r>
    </w:p>
    <w:p w:rsidR="0096265C" w:rsidRPr="000E792F" w:rsidRDefault="0096265C" w:rsidP="0096265C">
      <w:pPr>
        <w:shd w:val="clear" w:color="auto" w:fill="FFFFFF"/>
        <w:rPr>
          <w:rFonts w:asciiTheme="minorHAnsi" w:hAnsiTheme="minorHAnsi" w:cs="Helvetica"/>
          <w:color w:val="000000"/>
        </w:rPr>
      </w:pPr>
    </w:p>
    <w:p w:rsidR="0096265C" w:rsidRPr="000E792F" w:rsidRDefault="0096265C" w:rsidP="0096265C">
      <w:pPr>
        <w:shd w:val="clear" w:color="auto" w:fill="FFFFFF"/>
        <w:rPr>
          <w:rFonts w:asciiTheme="minorHAnsi" w:hAnsiTheme="minorHAnsi" w:cs="Helvetica"/>
          <w:color w:val="000000"/>
        </w:rPr>
      </w:pPr>
    </w:p>
    <w:p w:rsidR="0096265C" w:rsidRPr="000E792F" w:rsidRDefault="0096265C" w:rsidP="0096265C">
      <w:pPr>
        <w:shd w:val="clear" w:color="auto" w:fill="FFFFFF"/>
        <w:spacing w:after="120"/>
        <w:ind w:left="720" w:hanging="720"/>
        <w:rPr>
          <w:rFonts w:asciiTheme="minorHAnsi" w:hAnsiTheme="minorHAnsi" w:cs="Helvetica"/>
          <w:color w:val="000000"/>
        </w:rPr>
      </w:pPr>
      <w:r w:rsidRPr="000E792F">
        <w:rPr>
          <w:rFonts w:asciiTheme="minorHAnsi" w:hAnsiTheme="minorHAnsi" w:cs="Helvetica"/>
          <w:color w:val="000000"/>
        </w:rPr>
        <w:t xml:space="preserve">1.       'Out-of-the-box' opportunities for improving state discom performance and </w:t>
      </w:r>
      <w:r w:rsidRPr="000E792F">
        <w:rPr>
          <w:rFonts w:asciiTheme="minorHAnsi" w:hAnsiTheme="minorHAnsi" w:cs="Helvetica"/>
          <w:color w:val="000000"/>
        </w:rPr>
        <w:t>s</w:t>
      </w:r>
      <w:r w:rsidRPr="000E792F">
        <w:rPr>
          <w:rFonts w:asciiTheme="minorHAnsi" w:hAnsiTheme="minorHAnsi" w:cs="Helvetica"/>
          <w:color w:val="000000"/>
        </w:rPr>
        <w:t>tate regulator support to renewables</w:t>
      </w:r>
      <w:proofErr w:type="gramStart"/>
      <w:r w:rsidRPr="000E792F">
        <w:rPr>
          <w:rFonts w:asciiTheme="minorHAnsi" w:hAnsiTheme="minorHAnsi" w:cs="Helvetica"/>
          <w:color w:val="000000"/>
        </w:rPr>
        <w:t>;</w:t>
      </w:r>
      <w:proofErr w:type="gramEnd"/>
    </w:p>
    <w:p w:rsidR="0096265C" w:rsidRPr="000E792F" w:rsidRDefault="0096265C" w:rsidP="0096265C">
      <w:pPr>
        <w:shd w:val="clear" w:color="auto" w:fill="FFFFFF"/>
        <w:spacing w:after="120"/>
        <w:ind w:left="720" w:hanging="720"/>
        <w:rPr>
          <w:rFonts w:asciiTheme="minorHAnsi" w:hAnsiTheme="minorHAnsi" w:cs="Helvetica"/>
          <w:color w:val="000000"/>
        </w:rPr>
      </w:pPr>
      <w:r w:rsidRPr="000E792F">
        <w:rPr>
          <w:rFonts w:asciiTheme="minorHAnsi" w:hAnsiTheme="minorHAnsi" w:cs="Helvetica"/>
          <w:color w:val="000000"/>
        </w:rPr>
        <w:t>2.       Perspectives from developers;</w:t>
      </w:r>
    </w:p>
    <w:p w:rsidR="0096265C" w:rsidRPr="000E792F" w:rsidRDefault="0096265C" w:rsidP="0096265C">
      <w:pPr>
        <w:shd w:val="clear" w:color="auto" w:fill="FFFFFF"/>
        <w:spacing w:after="120"/>
        <w:ind w:left="720" w:hanging="720"/>
        <w:rPr>
          <w:rFonts w:asciiTheme="minorHAnsi" w:hAnsiTheme="minorHAnsi" w:cs="Helvetica"/>
          <w:color w:val="000000"/>
        </w:rPr>
      </w:pPr>
      <w:r w:rsidRPr="000E792F">
        <w:rPr>
          <w:rFonts w:asciiTheme="minorHAnsi" w:hAnsiTheme="minorHAnsi" w:cs="Helvetica"/>
          <w:color w:val="000000"/>
        </w:rPr>
        <w:t>3.       Perspectives from regulators;</w:t>
      </w:r>
    </w:p>
    <w:p w:rsidR="0096265C" w:rsidRPr="000E792F" w:rsidRDefault="0096265C" w:rsidP="0096265C">
      <w:pPr>
        <w:shd w:val="clear" w:color="auto" w:fill="FFFFFF"/>
        <w:spacing w:after="120"/>
        <w:ind w:left="720" w:hanging="720"/>
        <w:rPr>
          <w:rFonts w:asciiTheme="minorHAnsi" w:hAnsiTheme="minorHAnsi" w:cs="Helvetica"/>
          <w:color w:val="000000"/>
        </w:rPr>
      </w:pPr>
      <w:r w:rsidRPr="000E792F">
        <w:rPr>
          <w:rFonts w:asciiTheme="minorHAnsi" w:hAnsiTheme="minorHAnsi" w:cs="Helvetica"/>
          <w:color w:val="000000"/>
        </w:rPr>
        <w:t>4.       Renewable power tariff strategies, constraints and competition frameworks;</w:t>
      </w:r>
    </w:p>
    <w:p w:rsidR="0096265C" w:rsidRPr="000E792F" w:rsidRDefault="0096265C" w:rsidP="0096265C">
      <w:pPr>
        <w:shd w:val="clear" w:color="auto" w:fill="FFFFFF"/>
        <w:spacing w:after="120"/>
        <w:ind w:left="720" w:hanging="720"/>
        <w:rPr>
          <w:rFonts w:asciiTheme="minorHAnsi" w:hAnsiTheme="minorHAnsi" w:cs="Helvetica"/>
          <w:color w:val="000000"/>
        </w:rPr>
      </w:pPr>
      <w:r w:rsidRPr="000E792F">
        <w:rPr>
          <w:rFonts w:asciiTheme="minorHAnsi" w:hAnsiTheme="minorHAnsi" w:cs="Helvetica"/>
          <w:color w:val="000000"/>
        </w:rPr>
        <w:t>5.       Electricity markets, time-of-day pricing, and storage markets</w:t>
      </w:r>
      <w:proofErr w:type="gramStart"/>
      <w:r w:rsidRPr="000E792F">
        <w:rPr>
          <w:rFonts w:asciiTheme="minorHAnsi" w:hAnsiTheme="minorHAnsi" w:cs="Helvetica"/>
          <w:color w:val="000000"/>
        </w:rPr>
        <w:t>;</w:t>
      </w:r>
      <w:proofErr w:type="gramEnd"/>
    </w:p>
    <w:p w:rsidR="0096265C" w:rsidRPr="000E792F" w:rsidRDefault="0096265C" w:rsidP="0096265C">
      <w:pPr>
        <w:shd w:val="clear" w:color="auto" w:fill="FFFFFF"/>
        <w:spacing w:after="120"/>
        <w:ind w:left="720" w:hanging="720"/>
        <w:rPr>
          <w:rFonts w:asciiTheme="minorHAnsi" w:hAnsiTheme="minorHAnsi" w:cs="Helvetica"/>
          <w:color w:val="000000"/>
        </w:rPr>
      </w:pPr>
      <w:r w:rsidRPr="000E792F">
        <w:rPr>
          <w:rFonts w:asciiTheme="minorHAnsi" w:hAnsiTheme="minorHAnsi" w:cs="Helvetica"/>
          <w:color w:val="000000"/>
        </w:rPr>
        <w:t xml:space="preserve">6.       Using concessional and non-concessional public finance, </w:t>
      </w:r>
      <w:proofErr w:type="gramStart"/>
      <w:r w:rsidRPr="000E792F">
        <w:rPr>
          <w:rFonts w:asciiTheme="minorHAnsi" w:hAnsiTheme="minorHAnsi" w:cs="Helvetica"/>
          <w:color w:val="000000"/>
        </w:rPr>
        <w:t>domestic</w:t>
      </w:r>
      <w:proofErr w:type="gramEnd"/>
      <w:r w:rsidRPr="000E792F">
        <w:rPr>
          <w:rFonts w:asciiTheme="minorHAnsi" w:hAnsiTheme="minorHAnsi" w:cs="Helvetica"/>
          <w:color w:val="000000"/>
        </w:rPr>
        <w:t xml:space="preserve"> and external, to spur investment scale results;</w:t>
      </w:r>
    </w:p>
    <w:p w:rsidR="0096265C" w:rsidRPr="000E792F" w:rsidRDefault="0096265C" w:rsidP="0096265C">
      <w:pPr>
        <w:shd w:val="clear" w:color="auto" w:fill="FFFFFF"/>
        <w:spacing w:after="120"/>
        <w:ind w:left="720" w:hanging="720"/>
        <w:rPr>
          <w:rFonts w:asciiTheme="minorHAnsi" w:hAnsiTheme="minorHAnsi" w:cs="Helvetica"/>
          <w:color w:val="000000"/>
        </w:rPr>
      </w:pPr>
      <w:r w:rsidRPr="000E792F">
        <w:rPr>
          <w:rFonts w:asciiTheme="minorHAnsi" w:hAnsiTheme="minorHAnsi" w:cs="Helvetica"/>
          <w:color w:val="000000"/>
        </w:rPr>
        <w:t>7.       Building long-term foreign exchange hedge markets for clean energy investments</w:t>
      </w:r>
      <w:proofErr w:type="gramStart"/>
      <w:r w:rsidRPr="000E792F">
        <w:rPr>
          <w:rFonts w:asciiTheme="minorHAnsi" w:hAnsiTheme="minorHAnsi" w:cs="Helvetica"/>
          <w:color w:val="000000"/>
        </w:rPr>
        <w:t>;</w:t>
      </w:r>
      <w:proofErr w:type="gramEnd"/>
    </w:p>
    <w:p w:rsidR="0096265C" w:rsidRPr="000E792F" w:rsidRDefault="0096265C" w:rsidP="0096265C">
      <w:pPr>
        <w:shd w:val="clear" w:color="auto" w:fill="FFFFFF"/>
        <w:rPr>
          <w:rFonts w:asciiTheme="minorHAnsi" w:hAnsiTheme="minorHAnsi" w:cs="Helvetica"/>
          <w:color w:val="000000"/>
        </w:rPr>
      </w:pPr>
      <w:r w:rsidRPr="000E792F">
        <w:rPr>
          <w:rFonts w:asciiTheme="minorHAnsi" w:hAnsiTheme="minorHAnsi" w:cs="Helvetica"/>
          <w:color w:val="000000"/>
        </w:rPr>
        <w:t>8.       External trade and tariff strategies to attract investment and competition.</w:t>
      </w:r>
    </w:p>
    <w:bookmarkEnd w:id="0"/>
    <w:p w:rsidR="00FC39CC" w:rsidRDefault="00FC39CC"/>
    <w:sectPr w:rsidR="00FC39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65C"/>
    <w:rsid w:val="000E792F"/>
    <w:rsid w:val="002F1F7F"/>
    <w:rsid w:val="004E4152"/>
    <w:rsid w:val="0096265C"/>
    <w:rsid w:val="00A23901"/>
    <w:rsid w:val="00FC3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65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65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1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 S Department of State</Company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"%username%"</dc:creator>
  <cp:lastModifiedBy>"%username%"</cp:lastModifiedBy>
  <cp:revision>6</cp:revision>
  <dcterms:created xsi:type="dcterms:W3CDTF">2015-05-29T09:37:00Z</dcterms:created>
  <dcterms:modified xsi:type="dcterms:W3CDTF">2015-05-29T09:47:00Z</dcterms:modified>
</cp:coreProperties>
</file>