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微軟正黑體" w:hAnsi="微軟正黑體" w:eastAsia="微軟正黑體" w:cs="Arial"/>
          <w:b/>
          <w:bCs/>
          <w:sz w:val="56"/>
          <w:szCs w:val="52"/>
        </w:rPr>
      </w:pPr>
      <w:bookmarkStart w:id="0" w:name="_GoBack"/>
      <w:r>
        <w:pict>
          <v:shape id="_x0000_s1032" o:spid="_x0000_s1032" o:spt="75" alt="C:\Users\user\Desktop\工作\01.工作內容\202611臺中工具機&amp;無人載具展\0.企劃書&amp;報名表\臺中工具機暨智慧製造展\工作區域 5.png工作區域 5" type="#_x0000_t75" style="position:absolute;left:0pt;margin-left:0.15pt;margin-top:-1.45pt;height:66.25pt;width:538.4pt;mso-position-horizontal-relative:margin;z-index:-251657216;mso-width-relative:page;mso-height-relative:page;" filled="f" o:preferrelative="t" stroked="f" coordsize="21600,21600">
            <v:path/>
            <v:fill on="f" focussize="0,0"/>
            <v:stroke on="f"/>
            <v:imagedata r:id="rId4" cropleft="1182f" croptop="7770f" cropright="738f" cropbottom="6293f" o:title="工作區域 5"/>
            <o:lock v:ext="edit" aspectratio="t"/>
          </v:shape>
        </w:pict>
      </w:r>
      <w:bookmarkEnd w:id="0"/>
    </w:p>
    <w:p>
      <w:pPr>
        <w:pStyle w:val="2"/>
        <w:spacing w:line="320" w:lineRule="exact"/>
        <w:rPr>
          <w:rFonts w:ascii="微軟正黑體" w:hAnsi="微軟正黑體" w:eastAsia="微軟正黑體" w:cs="Arial"/>
          <w:b/>
          <w:bCs/>
          <w:sz w:val="60"/>
          <w:szCs w:val="60"/>
        </w:rPr>
      </w:pPr>
      <w:r>
        <w:rPr>
          <w:rFonts w:hint="eastAsia" w:ascii="微軟正黑體" w:hAnsi="微軟正黑體" w:eastAsia="微軟正黑體" w:cs="Arial"/>
          <w:b/>
          <w:bCs/>
          <w:sz w:val="56"/>
          <w:szCs w:val="52"/>
        </w:rPr>
        <w:t xml:space="preserve">     </w:t>
      </w:r>
    </w:p>
    <w:p>
      <w:pPr>
        <w:pStyle w:val="2"/>
        <w:spacing w:line="200" w:lineRule="exact"/>
        <w:rPr>
          <w:rFonts w:ascii="微軟正黑體" w:eastAsia="微軟正黑體" w:cs="微軟正黑體"/>
          <w:b/>
          <w:color w:val="FF0000"/>
          <w:kern w:val="0"/>
          <w:sz w:val="28"/>
          <w:szCs w:val="28"/>
          <w:u w:val="single"/>
        </w:rPr>
      </w:pPr>
      <w:r>
        <w:rPr>
          <w:rFonts w:hint="eastAsia" w:ascii="微軟正黑體" w:eastAsia="微軟正黑體" w:cs="微軟正黑體"/>
          <w:b/>
          <w:color w:val="FF0000"/>
          <w:kern w:val="0"/>
          <w:sz w:val="28"/>
          <w:szCs w:val="28"/>
          <w:u w:val="single"/>
        </w:rPr>
        <w:br w:type="textWrapping"/>
      </w:r>
    </w:p>
    <w:p>
      <w:pPr>
        <w:pStyle w:val="2"/>
        <w:spacing w:line="200" w:lineRule="exact"/>
        <w:rPr>
          <w:rFonts w:ascii="微軟正黑體" w:eastAsia="微軟正黑體" w:cs="微軟正黑體"/>
          <w:b/>
          <w:color w:val="FF0000"/>
          <w:kern w:val="0"/>
          <w:sz w:val="28"/>
          <w:szCs w:val="28"/>
          <w:u w:val="single"/>
        </w:rPr>
      </w:pPr>
    </w:p>
    <w:p>
      <w:pPr>
        <w:pStyle w:val="2"/>
        <w:spacing w:before="180" w:beforeLines="50" w:after="108" w:afterLines="30" w:line="360" w:lineRule="exact"/>
        <w:rPr>
          <w:sz w:val="6"/>
          <w:szCs w:val="4"/>
        </w:rPr>
      </w:pPr>
      <w:r>
        <w:rPr>
          <w:rFonts w:hint="eastAsia" w:ascii="微軟正黑體" w:eastAsia="微軟正黑體" w:cs="微軟正黑體"/>
          <w:b/>
          <w:color w:val="FF0000"/>
          <w:kern w:val="0"/>
          <w:sz w:val="22"/>
          <w:szCs w:val="24"/>
          <w:u w:val="single"/>
        </w:rPr>
        <w:t>即日起至2026年8月31日前報名並完成繳費享早鳥優惠！</w:t>
      </w:r>
      <w:r>
        <w:rPr>
          <w:rFonts w:ascii="微軟正黑體" w:eastAsia="微軟正黑體" w:cs="微軟正黑體"/>
          <w:b/>
          <w:color w:val="FF0000"/>
          <w:kern w:val="0"/>
          <w:sz w:val="22"/>
          <w:szCs w:val="24"/>
          <w:u w:val="single"/>
        </w:rPr>
        <w:br w:type="textWrapping"/>
      </w:r>
      <w:r>
        <w:rPr>
          <w:rFonts w:hint="eastAsia" w:ascii="微軟正黑體" w:eastAsia="微軟正黑體" w:cs="微軟正黑體"/>
          <w:b/>
          <w:color w:val="FF0000"/>
          <w:kern w:val="0"/>
          <w:sz w:val="22"/>
          <w:szCs w:val="24"/>
          <w:u w:val="single"/>
        </w:rPr>
        <w:t>早鳥價每攤4萬元(未稅)，原價每攤位4.5萬元(未稅)。</w:t>
      </w:r>
      <w:r>
        <w:rPr>
          <w:rFonts w:hint="eastAsia" w:ascii="微軟正黑體" w:eastAsia="微軟正黑體" w:cs="微軟正黑體"/>
          <w:b/>
          <w:color w:val="FF0000"/>
          <w:kern w:val="0"/>
          <w:sz w:val="22"/>
          <w:szCs w:val="24"/>
        </w:rPr>
        <w:t xml:space="preserve"> </w:t>
      </w:r>
      <w:r>
        <w:rPr>
          <w:rFonts w:hint="eastAsia" w:ascii="微軟正黑體" w:eastAsia="微軟正黑體" w:cs="微軟正黑體"/>
          <w:b/>
          <w:color w:val="FF0000"/>
          <w:kern w:val="0"/>
          <w:sz w:val="22"/>
          <w:szCs w:val="28"/>
        </w:rPr>
        <w:t xml:space="preserve">           </w:t>
      </w:r>
      <w:r>
        <w:rPr>
          <w:rFonts w:hint="eastAsia" w:ascii="微軟正黑體" w:hAnsi="微軟正黑體" w:eastAsia="微軟正黑體"/>
          <w:b/>
          <w:bCs/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填表日期：        年        月        日</w:t>
      </w:r>
    </w:p>
    <w:tbl>
      <w:tblPr>
        <w:tblStyle w:val="6"/>
        <w:tblpPr w:vertAnchor="text" w:tblpXSpec="center" w:tblpY="1"/>
        <w:tblOverlap w:val="never"/>
        <w:tblW w:w="108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5"/>
        <w:gridCol w:w="1210"/>
        <w:gridCol w:w="1199"/>
        <w:gridCol w:w="426"/>
        <w:gridCol w:w="645"/>
        <w:gridCol w:w="72"/>
        <w:gridCol w:w="842"/>
        <w:gridCol w:w="144"/>
        <w:gridCol w:w="110"/>
        <w:gridCol w:w="171"/>
        <w:gridCol w:w="1021"/>
        <w:gridCol w:w="1076"/>
        <w:gridCol w:w="200"/>
        <w:gridCol w:w="407"/>
        <w:gridCol w:w="408"/>
        <w:gridCol w:w="153"/>
        <w:gridCol w:w="24"/>
        <w:gridCol w:w="230"/>
        <w:gridCol w:w="408"/>
        <w:gridCol w:w="407"/>
        <w:gridCol w:w="408"/>
        <w:gridCol w:w="407"/>
        <w:gridCol w:w="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63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公司名稱</w:t>
            </w:r>
          </w:p>
        </w:tc>
        <w:tc>
          <w:tcPr>
            <w:tcW w:w="4630" w:type="dxa"/>
            <w:gridSpan w:val="9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統一編號</w:t>
            </w:r>
          </w:p>
        </w:tc>
        <w:tc>
          <w:tcPr>
            <w:tcW w:w="407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7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i/>
                <w:szCs w:val="24"/>
              </w:rPr>
            </w:pPr>
          </w:p>
        </w:tc>
        <w:tc>
          <w:tcPr>
            <w:tcW w:w="408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7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7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63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發票抬頭</w:t>
            </w:r>
          </w:p>
        </w:tc>
        <w:tc>
          <w:tcPr>
            <w:tcW w:w="4630" w:type="dxa"/>
            <w:gridSpan w:val="9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統一編號</w:t>
            </w:r>
          </w:p>
        </w:tc>
        <w:tc>
          <w:tcPr>
            <w:tcW w:w="407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7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i/>
                <w:szCs w:val="24"/>
              </w:rPr>
            </w:pPr>
          </w:p>
        </w:tc>
        <w:tc>
          <w:tcPr>
            <w:tcW w:w="408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7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7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63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地址</w:t>
            </w:r>
          </w:p>
        </w:tc>
        <w:tc>
          <w:tcPr>
            <w:tcW w:w="9166" w:type="dxa"/>
            <w:gridSpan w:val="21"/>
            <w:vAlign w:val="center"/>
          </w:tcPr>
          <w:p>
            <w:pPr>
              <w:spacing w:line="0" w:lineRule="atLeast"/>
              <w:rPr>
                <w:rFonts w:ascii="微軟正黑體" w:hAnsi="微軟正黑體" w:eastAsia="微軟正黑體"/>
                <w:sz w:val="32"/>
                <w:szCs w:val="32"/>
              </w:rPr>
            </w:pPr>
            <w:r>
              <w:rPr>
                <w:rFonts w:hint="eastAsia" w:ascii="微軟正黑體" w:hAnsi="微軟正黑體" w:eastAsia="微軟正黑體"/>
                <w:sz w:val="32"/>
                <w:szCs w:val="32"/>
              </w:rPr>
              <w:sym w:font="Wingdings 2" w:char="F0A3"/>
            </w:r>
            <w:r>
              <w:rPr>
                <w:rFonts w:hint="eastAsia" w:ascii="微軟正黑體" w:hAnsi="微軟正黑體" w:eastAsia="微軟正黑體"/>
                <w:sz w:val="32"/>
                <w:szCs w:val="32"/>
              </w:rPr>
              <w:sym w:font="Wingdings 2" w:char="F0A3"/>
            </w:r>
            <w:r>
              <w:rPr>
                <w:rFonts w:hint="eastAsia" w:ascii="微軟正黑體" w:hAnsi="微軟正黑體" w:eastAsia="微軟正黑體"/>
                <w:sz w:val="32"/>
                <w:szCs w:val="32"/>
              </w:rPr>
              <w:sym w:font="Wingdings 2" w:char="F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163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聯絡人</w:t>
            </w:r>
          </w:p>
        </w:tc>
        <w:tc>
          <w:tcPr>
            <w:tcW w:w="234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986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手機</w:t>
            </w:r>
          </w:p>
        </w:tc>
        <w:tc>
          <w:tcPr>
            <w:tcW w:w="2578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szCs w:val="24"/>
              </w:rPr>
            </w:pPr>
          </w:p>
        </w:tc>
        <w:tc>
          <w:tcPr>
            <w:tcW w:w="992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傳真</w:t>
            </w:r>
          </w:p>
        </w:tc>
        <w:tc>
          <w:tcPr>
            <w:tcW w:w="2268" w:type="dxa"/>
            <w:gridSpan w:val="6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163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電話</w:t>
            </w:r>
          </w:p>
        </w:tc>
        <w:tc>
          <w:tcPr>
            <w:tcW w:w="2342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  <w:tc>
          <w:tcPr>
            <w:tcW w:w="986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E-mail</w:t>
            </w:r>
          </w:p>
        </w:tc>
        <w:tc>
          <w:tcPr>
            <w:tcW w:w="5838" w:type="dxa"/>
            <w:gridSpan w:val="15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34" w:hRule="atLeast"/>
        </w:trPr>
        <w:tc>
          <w:tcPr>
            <w:tcW w:w="163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參展產品</w:t>
            </w:r>
          </w:p>
        </w:tc>
        <w:tc>
          <w:tcPr>
            <w:tcW w:w="9166" w:type="dxa"/>
            <w:gridSpan w:val="21"/>
            <w:vAlign w:val="center"/>
          </w:tcPr>
          <w:p>
            <w:pPr>
              <w:spacing w:line="340" w:lineRule="exact"/>
              <w:rPr>
                <w:rFonts w:ascii="微軟正黑體" w:hAnsi="微軟正黑體" w:eastAsia="微軟正黑體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63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參展攤位</w:t>
            </w:r>
          </w:p>
        </w:tc>
        <w:tc>
          <w:tcPr>
            <w:tcW w:w="2270" w:type="dxa"/>
            <w:gridSpan w:val="3"/>
            <w:vAlign w:val="center"/>
          </w:tcPr>
          <w:p>
            <w:pPr>
              <w:tabs>
                <w:tab w:val="left" w:pos="3600"/>
              </w:tabs>
              <w:wordWrap w:val="0"/>
              <w:spacing w:line="0" w:lineRule="atLeast"/>
              <w:jc w:val="right"/>
              <w:rPr>
                <w:rFonts w:ascii="微軟正黑體" w:hAnsi="微軟正黑體" w:eastAsia="微軟正黑體"/>
                <w:szCs w:val="24"/>
              </w:rPr>
            </w:pPr>
            <w:r>
              <w:rPr>
                <w:rFonts w:hint="eastAsia" w:ascii="微軟正黑體" w:hAnsi="微軟正黑體" w:eastAsia="微軟正黑體"/>
                <w:szCs w:val="24"/>
              </w:rPr>
              <w:t xml:space="preserve">個 </w:t>
            </w:r>
          </w:p>
        </w:tc>
        <w:tc>
          <w:tcPr>
            <w:tcW w:w="1168" w:type="dxa"/>
            <w:gridSpan w:val="4"/>
            <w:vAlign w:val="center"/>
          </w:tcPr>
          <w:p>
            <w:pPr>
              <w:tabs>
                <w:tab w:val="left" w:pos="4680"/>
                <w:tab w:val="left" w:pos="5400"/>
              </w:tabs>
              <w:spacing w:line="260" w:lineRule="exact"/>
              <w:jc w:val="center"/>
              <w:rPr>
                <w:rFonts w:ascii="微軟正黑體" w:hAnsi="微軟正黑體" w:eastAsia="微軟正黑體"/>
                <w:b/>
                <w:sz w:val="20"/>
                <w:szCs w:val="20"/>
              </w:rPr>
            </w:pPr>
            <w:r>
              <w:rPr>
                <w:rFonts w:hint="eastAsia" w:ascii="微軟正黑體" w:hAnsi="微軟正黑體" w:eastAsia="微軟正黑體"/>
                <w:b/>
                <w:sz w:val="20"/>
                <w:szCs w:val="20"/>
              </w:rPr>
              <w:t>經濟日報</w:t>
            </w:r>
            <w:r>
              <w:rPr>
                <w:rFonts w:hint="eastAsia" w:ascii="微軟正黑體" w:hAnsi="微軟正黑體" w:eastAsia="微軟正黑體"/>
                <w:b/>
                <w:sz w:val="20"/>
                <w:szCs w:val="20"/>
              </w:rPr>
              <w:br w:type="textWrapping"/>
            </w:r>
            <w:r>
              <w:rPr>
                <w:rFonts w:hint="eastAsia" w:ascii="微軟正黑體" w:hAnsi="微軟正黑體" w:eastAsia="微軟正黑體"/>
                <w:b/>
                <w:sz w:val="20"/>
                <w:szCs w:val="20"/>
              </w:rPr>
              <w:t>經手人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wordWrap w:val="0"/>
              <w:spacing w:line="0" w:lineRule="atLeast"/>
              <w:jc w:val="center"/>
              <w:rPr>
                <w:rFonts w:ascii="微軟正黑體" w:hAnsi="微軟正黑體" w:eastAsia="微軟正黑體"/>
                <w:szCs w:val="24"/>
              </w:rPr>
            </w:pPr>
          </w:p>
        </w:tc>
        <w:tc>
          <w:tcPr>
            <w:tcW w:w="1168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 w:val="22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員工代號</w:t>
            </w:r>
          </w:p>
        </w:tc>
        <w:tc>
          <w:tcPr>
            <w:tcW w:w="2292" w:type="dxa"/>
            <w:gridSpan w:val="7"/>
            <w:vAlign w:val="center"/>
          </w:tcPr>
          <w:p>
            <w:pPr>
              <w:spacing w:line="0" w:lineRule="atLeast"/>
              <w:jc w:val="both"/>
              <w:rPr>
                <w:rFonts w:ascii="微軟正黑體" w:hAnsi="微軟正黑體" w:eastAsia="微軟正黑體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63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費    用</w:t>
            </w:r>
          </w:p>
        </w:tc>
        <w:tc>
          <w:tcPr>
            <w:tcW w:w="2270" w:type="dxa"/>
            <w:gridSpan w:val="3"/>
            <w:vAlign w:val="center"/>
          </w:tcPr>
          <w:p>
            <w:pPr>
              <w:spacing w:line="0" w:lineRule="atLeast"/>
              <w:rPr>
                <w:rFonts w:ascii="微軟正黑體" w:hAnsi="微軟正黑體" w:eastAsia="微軟正黑體"/>
                <w:szCs w:val="24"/>
              </w:rPr>
            </w:pPr>
            <w:r>
              <w:rPr>
                <w:rFonts w:hint="eastAsia" w:ascii="微軟正黑體" w:hAnsi="微軟正黑體" w:eastAsia="微軟正黑體"/>
                <w:szCs w:val="24"/>
              </w:rPr>
              <w:t>新台幣          元</w:t>
            </w:r>
          </w:p>
        </w:tc>
        <w:tc>
          <w:tcPr>
            <w:tcW w:w="1168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pacing w:val="-18"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pacing w:val="-18"/>
                <w:szCs w:val="24"/>
              </w:rPr>
              <w:t>營業稅5%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wordWrap w:val="0"/>
              <w:spacing w:line="0" w:lineRule="atLeast"/>
              <w:jc w:val="center"/>
              <w:rPr>
                <w:rFonts w:ascii="微軟正黑體" w:hAnsi="微軟正黑體" w:eastAsia="微軟正黑體"/>
                <w:szCs w:val="24"/>
              </w:rPr>
            </w:pPr>
            <w:r>
              <w:rPr>
                <w:rFonts w:hint="eastAsia" w:ascii="微軟正黑體" w:hAnsi="微軟正黑體" w:eastAsia="微軟正黑體"/>
                <w:szCs w:val="24"/>
              </w:rPr>
              <w:t>新台幣          元</w:t>
            </w:r>
          </w:p>
        </w:tc>
        <w:tc>
          <w:tcPr>
            <w:tcW w:w="116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總計</w:t>
            </w:r>
          </w:p>
        </w:tc>
        <w:tc>
          <w:tcPr>
            <w:tcW w:w="2292" w:type="dxa"/>
            <w:gridSpan w:val="7"/>
            <w:vAlign w:val="center"/>
          </w:tcPr>
          <w:p>
            <w:pPr>
              <w:spacing w:line="320" w:lineRule="exact"/>
              <w:rPr>
                <w:rFonts w:ascii="微軟正黑體" w:hAnsi="微軟正黑體" w:eastAsia="微軟正黑體"/>
                <w:szCs w:val="24"/>
              </w:rPr>
            </w:pPr>
            <w:r>
              <w:rPr>
                <w:rFonts w:hint="eastAsia" w:ascii="微軟正黑體" w:hAnsi="微軟正黑體" w:eastAsia="微軟正黑體"/>
                <w:szCs w:val="24"/>
              </w:rPr>
              <w:t xml:space="preserve">新台幣          元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22" w:hRule="atLeast"/>
        </w:trPr>
        <w:tc>
          <w:tcPr>
            <w:tcW w:w="425" w:type="dxa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公</w:t>
            </w:r>
          </w:p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司</w:t>
            </w:r>
          </w:p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簽</w:t>
            </w:r>
          </w:p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章</w:t>
            </w:r>
          </w:p>
        </w:tc>
        <w:tc>
          <w:tcPr>
            <w:tcW w:w="24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</w:p>
        </w:tc>
        <w:tc>
          <w:tcPr>
            <w:tcW w:w="4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負</w:t>
            </w:r>
          </w:p>
          <w:p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責</w:t>
            </w:r>
          </w:p>
          <w:p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人</w:t>
            </w:r>
          </w:p>
          <w:p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簽</w:t>
            </w:r>
          </w:p>
          <w:p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章</w:t>
            </w:r>
          </w:p>
        </w:tc>
        <w:tc>
          <w:tcPr>
            <w:tcW w:w="155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</w:p>
        </w:tc>
        <w:tc>
          <w:tcPr>
            <w:tcW w:w="425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附     註</w:t>
            </w:r>
          </w:p>
        </w:tc>
        <w:tc>
          <w:tcPr>
            <w:tcW w:w="5557" w:type="dxa"/>
            <w:gridSpan w:val="13"/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ind w:left="225" w:hanging="225"/>
              <w:jc w:val="both"/>
              <w:rPr>
                <w:rFonts w:ascii="微軟正黑體" w:hAnsi="微軟正黑體" w:eastAsia="微軟正黑體"/>
                <w:spacing w:val="-10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>本報名表即為收費依據。</w:t>
            </w:r>
          </w:p>
          <w:p>
            <w:pPr>
              <w:numPr>
                <w:ilvl w:val="0"/>
                <w:numId w:val="1"/>
              </w:numPr>
              <w:spacing w:line="260" w:lineRule="exact"/>
              <w:ind w:left="225" w:hanging="225"/>
              <w:jc w:val="both"/>
              <w:rPr>
                <w:rFonts w:ascii="微軟正黑體" w:hAnsi="微軟正黑體" w:eastAsia="微軟正黑體"/>
                <w:spacing w:val="-10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>報名時每攤位須繳訂金10,000元，</w:t>
            </w:r>
            <w:r>
              <w:rPr>
                <w:rFonts w:hint="eastAsia" w:ascii="微軟正黑體" w:hAnsi="微軟正黑體" w:eastAsia="微軟正黑體"/>
                <w:spacing w:val="-10"/>
                <w:kern w:val="0"/>
                <w:sz w:val="16"/>
                <w:szCs w:val="16"/>
              </w:rPr>
              <w:t>餘款須於</w:t>
            </w:r>
            <w:r>
              <w:rPr>
                <w:rFonts w:hint="eastAsia" w:ascii="微軟正黑體" w:hAnsi="微軟正黑體" w:eastAsia="微軟正黑體"/>
                <w:color w:val="FF0000"/>
                <w:spacing w:val="-10"/>
                <w:kern w:val="0"/>
                <w:sz w:val="16"/>
                <w:szCs w:val="16"/>
              </w:rPr>
              <w:t>115</w:t>
            </w:r>
            <w:r>
              <w:rPr>
                <w:rFonts w:hint="eastAsia" w:ascii="微軟正黑體" w:hAnsi="微軟正黑體" w:eastAsia="微軟正黑體"/>
                <w:color w:val="FF0000"/>
                <w:spacing w:val="-10"/>
                <w:sz w:val="16"/>
                <w:szCs w:val="16"/>
              </w:rPr>
              <w:t>年9月11日</w:t>
            </w:r>
            <w:r>
              <w:rPr>
                <w:rFonts w:hint="eastAsia" w:ascii="微軟正黑體" w:hAnsi="微軟正黑體" w:eastAsia="微軟正黑體"/>
                <w:spacing w:val="-10"/>
                <w:kern w:val="0"/>
                <w:sz w:val="16"/>
                <w:szCs w:val="16"/>
              </w:rPr>
              <w:t>前完成繳納</w:t>
            </w: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>。</w:t>
            </w:r>
          </w:p>
          <w:p>
            <w:pPr>
              <w:spacing w:line="260" w:lineRule="exact"/>
              <w:ind w:left="225"/>
              <w:jc w:val="both"/>
              <w:rPr>
                <w:rFonts w:ascii="微軟正黑體" w:hAnsi="微軟正黑體" w:eastAsia="微軟正黑體"/>
                <w:spacing w:val="-10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>早鳥優惠請於</w:t>
            </w:r>
            <w:r>
              <w:rPr>
                <w:rFonts w:hint="eastAsia" w:ascii="微軟正黑體" w:hAnsi="微軟正黑體" w:eastAsia="微軟正黑體"/>
                <w:b/>
                <w:bCs/>
                <w:color w:val="FF0000"/>
                <w:spacing w:val="-10"/>
                <w:sz w:val="16"/>
                <w:szCs w:val="16"/>
              </w:rPr>
              <w:t>115年8月31日</w:t>
            </w: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>前完成繳納，逾期則以一般價格計算。</w:t>
            </w:r>
          </w:p>
          <w:p>
            <w:pPr>
              <w:spacing w:line="260" w:lineRule="exact"/>
              <w:ind w:firstLine="1"/>
              <w:jc w:val="both"/>
              <w:rPr>
                <w:rFonts w:ascii="微軟正黑體" w:hAnsi="微軟正黑體" w:eastAsia="微軟正黑體"/>
                <w:spacing w:val="-10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 xml:space="preserve">(1) </w:t>
            </w:r>
            <w:r>
              <w:rPr>
                <w:rFonts w:hint="eastAsia" w:ascii="微軟正黑體" w:hAnsi="微軟正黑體" w:eastAsia="微軟正黑體" w:cs="微軟正黑體"/>
                <w:spacing w:val="-10"/>
                <w:sz w:val="16"/>
                <w:szCs w:val="16"/>
              </w:rPr>
              <w:t>支票付款：</w:t>
            </w: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>開立「</w:t>
            </w:r>
            <w:r>
              <w:rPr>
                <w:rFonts w:hint="eastAsia" w:ascii="微軟正黑體" w:hAnsi="微軟正黑體" w:eastAsia="微軟正黑體"/>
                <w:b/>
                <w:bCs/>
                <w:spacing w:val="-10"/>
                <w:sz w:val="16"/>
                <w:szCs w:val="16"/>
              </w:rPr>
              <w:t>聯合報股份有限公司</w:t>
            </w: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>」抬頭，</w:t>
            </w:r>
            <w:r>
              <w:rPr>
                <w:rFonts w:hint="eastAsia" w:ascii="微軟正黑體" w:hAnsi="微軟正黑體" w:eastAsia="微軟正黑體"/>
                <w:b/>
                <w:color w:val="FF0000"/>
                <w:spacing w:val="-10"/>
                <w:sz w:val="16"/>
                <w:szCs w:val="16"/>
              </w:rPr>
              <w:t>115</w:t>
            </w:r>
            <w:r>
              <w:rPr>
                <w:rFonts w:hint="eastAsia" w:ascii="微軟正黑體" w:hAnsi="微軟正黑體" w:eastAsia="微軟正黑體"/>
                <w:b/>
                <w:bCs/>
                <w:color w:val="FF0000"/>
                <w:spacing w:val="-10"/>
                <w:sz w:val="16"/>
                <w:szCs w:val="16"/>
              </w:rPr>
              <w:t>年9月11日</w:t>
            </w: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>兌現支票支付，</w:t>
            </w:r>
          </w:p>
          <w:p>
            <w:pPr>
              <w:spacing w:line="260" w:lineRule="exact"/>
              <w:ind w:left="223" w:leftChars="93" w:firstLine="1"/>
              <w:jc w:val="both"/>
              <w:rPr>
                <w:rFonts w:ascii="微軟正黑體" w:hAnsi="微軟正黑體" w:eastAsia="微軟正黑體"/>
                <w:spacing w:val="-10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>禁止背書轉讓，支票以掛號寄交。</w:t>
            </w: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br w:type="textWrapping"/>
            </w: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>寄送地址：22161新北市汐止區大同路一段369號2樓</w:t>
            </w:r>
          </w:p>
          <w:p>
            <w:pPr>
              <w:spacing w:line="260" w:lineRule="exact"/>
              <w:ind w:firstLine="1" w:firstLineChars="1"/>
              <w:jc w:val="both"/>
              <w:rPr>
                <w:rFonts w:ascii="微軟正黑體" w:hAnsi="微軟正黑體" w:eastAsia="微軟正黑體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t xml:space="preserve">    收件人：經濟日報工商服務部服務組 02-86925588分機 2662</w:t>
            </w:r>
            <w:r>
              <w:rPr>
                <w:rFonts w:hint="eastAsia" w:ascii="微軟正黑體" w:hAnsi="微軟正黑體" w:eastAsia="微軟正黑體"/>
                <w:spacing w:val="-10"/>
                <w:sz w:val="16"/>
                <w:szCs w:val="16"/>
              </w:rPr>
              <w:br w:type="textWrapping"/>
            </w: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(2) 匯款支付：戶名為「聯合報股份有限公司」，合作金庫銀行忠孝分行，</w:t>
            </w:r>
          </w:p>
          <w:p>
            <w:pPr>
              <w:spacing w:line="260" w:lineRule="exact"/>
              <w:ind w:left="223" w:leftChars="93" w:firstLine="1" w:firstLineChars="1"/>
              <w:jc w:val="both"/>
              <w:rPr>
                <w:rFonts w:ascii="微軟正黑體" w:hAnsi="微軟正黑體" w:eastAsia="微軟正黑體"/>
                <w:spacing w:val="-10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帳號為 0450705012551。</w:t>
            </w:r>
          </w:p>
          <w:p>
            <w:pPr>
              <w:numPr>
                <w:ilvl w:val="0"/>
                <w:numId w:val="1"/>
              </w:numPr>
              <w:spacing w:line="260" w:lineRule="exact"/>
              <w:ind w:left="225" w:hanging="225"/>
              <w:jc w:val="both"/>
              <w:rPr>
                <w:rFonts w:ascii="微軟正黑體" w:hAnsi="微軟正黑體" w:eastAsia="微軟正黑體"/>
                <w:spacing w:val="-10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bCs/>
                <w:sz w:val="16"/>
                <w:szCs w:val="16"/>
              </w:rPr>
              <w:t>完成報名手續之廠商，如因故無法參展，退展或變更展期辦法：</w:t>
            </w:r>
          </w:p>
          <w:p>
            <w:pPr>
              <w:spacing w:line="260" w:lineRule="exact"/>
              <w:jc w:val="both"/>
              <w:rPr>
                <w:rFonts w:ascii="微軟正黑體" w:hAnsi="微軟正黑體" w:eastAsia="微軟正黑體"/>
                <w:sz w:val="16"/>
                <w:szCs w:val="16"/>
              </w:rPr>
            </w:pPr>
            <w:r>
              <w:rPr>
                <w:rFonts w:ascii="微軟正黑體" w:hAnsi="微軟正黑體" w:eastAsia="微軟正黑體"/>
                <w:sz w:val="16"/>
                <w:szCs w:val="16"/>
              </w:rPr>
              <w:t xml:space="preserve">(1) 協調會前2個工作天以前退展，每攤位扣除訂金一萬元後，餘額無息退還。 </w:t>
            </w:r>
          </w:p>
          <w:p>
            <w:pPr>
              <w:spacing w:line="260" w:lineRule="exact"/>
              <w:jc w:val="both"/>
              <w:rPr>
                <w:rFonts w:ascii="微軟正黑體" w:hAnsi="微軟正黑體" w:eastAsia="微軟正黑體"/>
                <w:sz w:val="16"/>
                <w:szCs w:val="16"/>
              </w:rPr>
            </w:pPr>
            <w:r>
              <w:rPr>
                <w:rFonts w:ascii="微軟正黑體" w:hAnsi="微軟正黑體" w:eastAsia="微軟正黑體"/>
                <w:sz w:val="16"/>
                <w:szCs w:val="16"/>
              </w:rPr>
              <w:t>(2) 協調會後（含協調會前2個工作天）退展，每攤位</w:t>
            </w: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退還</w:t>
            </w:r>
            <w:r>
              <w:rPr>
                <w:rFonts w:ascii="微軟正黑體" w:hAnsi="微軟正黑體" w:eastAsia="微軟正黑體"/>
                <w:sz w:val="16"/>
                <w:szCs w:val="16"/>
              </w:rPr>
              <w:t>一萬元。</w:t>
            </w:r>
          </w:p>
          <w:p>
            <w:pPr>
              <w:spacing w:line="260" w:lineRule="exact"/>
              <w:jc w:val="both"/>
              <w:rPr>
                <w:rFonts w:ascii="微軟正黑體" w:hAnsi="微軟正黑體" w:eastAsia="微軟正黑體"/>
                <w:bCs/>
                <w:sz w:val="16"/>
                <w:szCs w:val="16"/>
              </w:rPr>
            </w:pPr>
            <w:r>
              <w:rPr>
                <w:rFonts w:ascii="微軟正黑體" w:hAnsi="微軟正黑體" w:eastAsia="微軟正黑體"/>
                <w:sz w:val="16"/>
                <w:szCs w:val="16"/>
              </w:rPr>
              <w:t>(</w:t>
            </w: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3</w:t>
            </w:r>
            <w:r>
              <w:rPr>
                <w:rFonts w:ascii="微軟正黑體" w:hAnsi="微軟正黑體" w:eastAsia="微軟正黑體"/>
                <w:sz w:val="16"/>
                <w:szCs w:val="16"/>
              </w:rPr>
              <w:t>) 協調會後（含協調會前2個工作天）退展，</w:t>
            </w:r>
            <w:r>
              <w:rPr>
                <w:rFonts w:hint="eastAsia" w:ascii="微軟正黑體" w:hAnsi="微軟正黑體" w:eastAsia="微軟正黑體"/>
                <w:bCs/>
                <w:sz w:val="16"/>
                <w:szCs w:val="16"/>
              </w:rPr>
              <w:t>並改參加本報次年同展，每攤位</w:t>
            </w:r>
            <w:r>
              <w:rPr>
                <w:rFonts w:ascii="微軟正黑體" w:hAnsi="微軟正黑體" w:eastAsia="微軟正黑體"/>
                <w:bCs/>
                <w:sz w:val="16"/>
                <w:szCs w:val="16"/>
              </w:rPr>
              <w:br w:type="textWrapping"/>
            </w:r>
            <w:r>
              <w:rPr>
                <w:rFonts w:hint="eastAsia" w:ascii="微軟正黑體" w:hAnsi="微軟正黑體" w:eastAsia="微軟正黑體"/>
                <w:bCs/>
                <w:sz w:val="16"/>
                <w:szCs w:val="16"/>
              </w:rPr>
              <w:t xml:space="preserve">    扣除訂金一萬元後，餘額無息退還；如改參加本報其他不同展覽，每攤位 </w:t>
            </w:r>
            <w:r>
              <w:rPr>
                <w:rFonts w:ascii="微軟正黑體" w:hAnsi="微軟正黑體" w:eastAsia="微軟正黑體"/>
                <w:bCs/>
                <w:sz w:val="16"/>
                <w:szCs w:val="16"/>
              </w:rPr>
              <w:br w:type="textWrapping"/>
            </w:r>
            <w:r>
              <w:rPr>
                <w:rFonts w:hint="eastAsia" w:ascii="微軟正黑體" w:hAnsi="微軟正黑體" w:eastAsia="微軟正黑體"/>
                <w:bCs/>
                <w:sz w:val="16"/>
                <w:szCs w:val="16"/>
              </w:rPr>
              <w:t xml:space="preserve">    退還一萬元。    </w:t>
            </w:r>
          </w:p>
          <w:p>
            <w:pPr>
              <w:spacing w:line="260" w:lineRule="exact"/>
              <w:jc w:val="both"/>
              <w:rPr>
                <w:rFonts w:ascii="微軟正黑體" w:hAnsi="微軟正黑體" w:eastAsia="微軟正黑體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(4) 於開展日前</w:t>
            </w:r>
            <w:r>
              <w:rPr>
                <w:rFonts w:ascii="微軟正黑體" w:hAnsi="微軟正黑體" w:eastAsia="微軟正黑體"/>
                <w:sz w:val="16"/>
                <w:szCs w:val="16"/>
              </w:rPr>
              <w:t>10</w:t>
            </w: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個工作天退展，所繳交之攤位費概不退還。</w:t>
            </w:r>
          </w:p>
          <w:p>
            <w:pPr>
              <w:numPr>
                <w:ilvl w:val="0"/>
                <w:numId w:val="1"/>
              </w:numPr>
              <w:spacing w:line="260" w:lineRule="exact"/>
              <w:ind w:left="225" w:hanging="225"/>
              <w:jc w:val="both"/>
              <w:rPr>
                <w:rFonts w:ascii="微軟正黑體" w:hAnsi="微軟正黑體" w:eastAsia="微軟正黑體"/>
                <w:b/>
                <w:szCs w:val="24"/>
              </w:rPr>
            </w:pPr>
            <w:r>
              <w:rPr>
                <w:rFonts w:hint="eastAsia" w:ascii="微軟正黑體" w:hAnsi="微軟正黑體" w:eastAsia="微軟正黑體"/>
                <w:spacing w:val="-10"/>
                <w:kern w:val="0"/>
                <w:sz w:val="16"/>
                <w:szCs w:val="16"/>
              </w:rPr>
              <w:t>請於協調會前完成繳費作業，方能進行選位。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48" w:hRule="atLeast"/>
        </w:trPr>
        <w:tc>
          <w:tcPr>
            <w:tcW w:w="425" w:type="dxa"/>
            <w:textDirection w:val="tbRlV"/>
            <w:vAlign w:val="center"/>
          </w:tcPr>
          <w:p>
            <w:pPr>
              <w:spacing w:line="0" w:lineRule="atLeast"/>
              <w:jc w:val="center"/>
              <w:rPr>
                <w:rFonts w:ascii="微軟正黑體" w:hAnsi="微軟正黑體" w:eastAsia="微軟正黑體"/>
                <w:b/>
                <w:sz w:val="22"/>
              </w:rPr>
            </w:pPr>
            <w:r>
              <w:rPr>
                <w:rFonts w:hint="eastAsia" w:ascii="微軟正黑體" w:hAnsi="微軟正黑體" w:eastAsia="微軟正黑體"/>
                <w:b/>
                <w:szCs w:val="24"/>
              </w:rPr>
              <w:t>參 展 公 約</w:t>
            </w:r>
          </w:p>
        </w:tc>
        <w:tc>
          <w:tcPr>
            <w:tcW w:w="10376" w:type="dxa"/>
            <w:gridSpan w:val="22"/>
            <w:vAlign w:val="center"/>
          </w:tcPr>
          <w:p>
            <w:pPr>
              <w:pStyle w:val="9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hAnsi="微軟正黑體" w:eastAsia="微軟正黑體"/>
                <w:sz w:val="16"/>
                <w:szCs w:val="16"/>
                <w:u w:val="single"/>
              </w:rPr>
            </w:pPr>
            <w:r>
              <w:rPr>
                <w:rStyle w:val="5"/>
                <w:rFonts w:hint="eastAsia" w:ascii="微軟正黑體" w:hAnsi="微軟正黑體" w:eastAsia="微軟正黑體"/>
                <w:color w:val="FF0000"/>
                <w:sz w:val="16"/>
                <w:szCs w:val="16"/>
                <w:u w:val="single"/>
              </w:rPr>
              <w:t>本展免費提供基本隔間、7噸以下展品堆高搬運及每攤位110V 500W照明用電，不提供免費動力用電、用水，廠商需依實際使用量付費。</w:t>
            </w:r>
          </w:p>
          <w:p>
            <w:pPr>
              <w:pStyle w:val="9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hAnsi="微軟正黑體" w:eastAsia="微軟正黑體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展出期間，參展廠商展品不得提前收拾或撤離展場，為維護參展廠商權益，展期結束退場時，所有參展產品均須填報清單，並經主辦單位同意始得放行。</w:t>
            </w:r>
          </w:p>
          <w:p>
            <w:pPr>
              <w:pStyle w:val="9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hAnsi="微軟正黑體" w:eastAsia="微軟正黑體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參展廠商不得將攤位私下轉讓、出租、合併或以非報名時的公司名稱、展品展出，如有違反，主辦單位即取消其參展權利，已繳費用不予退還，並禁止該商參加下屆本項展覽。</w:t>
            </w:r>
          </w:p>
          <w:p>
            <w:pPr>
              <w:pStyle w:val="9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hAnsi="微軟正黑體" w:eastAsia="微軟正黑體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參展廠商展出產品，以生產、代理或經銷的產品為限，並須與填報參展產品清單內容相符，若經主辦單位發現展場上有不符展覽主題的產品，即取消其參展權利，已繳費用不予退還，並禁止該商參加下屆本項展覽。展品如涉仿冒，廠商應自負法律責任。</w:t>
            </w:r>
            <w:r>
              <w:rPr>
                <w:rFonts w:ascii="微軟正黑體" w:hAnsi="微軟正黑體" w:eastAsia="微軟正黑體"/>
                <w:sz w:val="16"/>
                <w:szCs w:val="16"/>
              </w:rPr>
              <w:t xml:space="preserve"> </w:t>
            </w:r>
          </w:p>
          <w:p>
            <w:pPr>
              <w:pStyle w:val="9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hAnsi="微軟正黑體" w:eastAsia="微軟正黑體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參展廠商若因攤位施工不當，導致展場設施或鄰近參展廠商的展品受到損害，須負完全賠償責任。</w:t>
            </w:r>
            <w:r>
              <w:rPr>
                <w:rFonts w:ascii="微軟正黑體" w:hAnsi="微軟正黑體" w:eastAsia="微軟正黑體"/>
                <w:sz w:val="16"/>
                <w:szCs w:val="16"/>
              </w:rPr>
              <w:t xml:space="preserve"> </w:t>
            </w:r>
          </w:p>
          <w:p>
            <w:pPr>
              <w:pStyle w:val="9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hAnsi="微軟正黑體" w:eastAsia="微軟正黑體"/>
                <w:sz w:val="16"/>
                <w:szCs w:val="16"/>
              </w:rPr>
            </w:pPr>
            <w:r>
              <w:rPr>
                <w:rFonts w:ascii="微軟正黑體" w:hAnsi="微軟正黑體" w:eastAsia="微軟正黑體"/>
                <w:sz w:val="16"/>
                <w:szCs w:val="16"/>
              </w:rPr>
              <w:t xml:space="preserve">除主辦單位僱請保全人員負責展場安全維護外，請參展廠商在進退場、展出期間自行保管各項物品、展品，並辦理相關竊盜及意外損失險，主辦單位不負物品、展品的保管責任。 </w:t>
            </w:r>
          </w:p>
          <w:p>
            <w:pPr>
              <w:pStyle w:val="9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hAnsi="微軟正黑體" w:eastAsia="微軟正黑體"/>
                <w:sz w:val="20"/>
                <w:szCs w:val="20"/>
              </w:rPr>
            </w:pP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展示會若逢天災、疫情、罷工、國家緊急動員等不可抗力因素，必須延期或縮短，主辦單位將不負任何賠償責任。</w:t>
            </w:r>
          </w:p>
          <w:p>
            <w:pPr>
              <w:pStyle w:val="9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hAnsi="微軟正黑體" w:eastAsia="微軟正黑體"/>
                <w:sz w:val="20"/>
                <w:szCs w:val="20"/>
              </w:rPr>
            </w:pP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各項規定如有未盡事宜，主辦單位將以所有參展廠商最大利益為前提修正、調整，並向參展廠商說明，惟廠商不得有異議。</w:t>
            </w:r>
          </w:p>
        </w:tc>
      </w:tr>
    </w:tbl>
    <w:tbl>
      <w:tblPr>
        <w:tblStyle w:val="6"/>
        <w:tblpPr w:leftFromText="180" w:rightFromText="180" w:vertAnchor="text" w:horzAnchor="margin" w:tblpY="303"/>
        <w:tblW w:w="10828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82"/>
        <w:gridCol w:w="1082"/>
        <w:gridCol w:w="1083"/>
        <w:gridCol w:w="1083"/>
        <w:gridCol w:w="1083"/>
        <w:gridCol w:w="1083"/>
        <w:gridCol w:w="1083"/>
        <w:gridCol w:w="1083"/>
        <w:gridCol w:w="1083"/>
        <w:gridCol w:w="1083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3" w:hRule="atLeast"/>
        </w:trPr>
        <w:tc>
          <w:tcPr>
            <w:tcW w:w="10828" w:type="dxa"/>
            <w:gridSpan w:val="10"/>
            <w:tcBorders>
              <w:top w:val="single" w:color="000000" w:themeColor="text1" w:sz="2" w:space="0"/>
              <w:bottom w:val="single" w:color="000000" w:themeColor="text1" w:sz="18" w:space="0"/>
            </w:tcBorders>
            <w:vAlign w:val="center"/>
          </w:tcPr>
          <w:p>
            <w:pPr>
              <w:spacing w:before="144" w:beforeLines="40" w:line="240" w:lineRule="exact"/>
              <w:rPr>
                <w:rFonts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 w:cs="新細明體"/>
                <w:b/>
                <w:bCs/>
                <w:color w:val="000000"/>
                <w:kern w:val="0"/>
                <w:sz w:val="20"/>
                <w:szCs w:val="14"/>
              </w:rPr>
              <w:t>2026經濟日報自動化系列聯展，參展攤位數備註：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2164" w:type="dxa"/>
            <w:gridSpan w:val="2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4" w:space="0"/>
              <w:right w:val="single" w:color="000000" w:themeColor="text1" w:sz="18" w:space="0"/>
            </w:tcBorders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展</w:t>
            </w:r>
          </w:p>
        </w:tc>
        <w:tc>
          <w:tcPr>
            <w:tcW w:w="2166" w:type="dxa"/>
            <w:gridSpan w:val="2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4" w:space="0"/>
              <w:right w:val="single" w:color="000000" w:themeColor="text1" w:sz="18" w:space="0"/>
            </w:tcBorders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展</w:t>
            </w:r>
          </w:p>
        </w:tc>
        <w:tc>
          <w:tcPr>
            <w:tcW w:w="2166" w:type="dxa"/>
            <w:gridSpan w:val="2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4" w:space="0"/>
              <w:right w:val="single" w:color="000000" w:themeColor="text1" w:sz="18" w:space="0"/>
            </w:tcBorders>
            <w:vAlign w:val="center"/>
          </w:tcPr>
          <w:p>
            <w:pPr>
              <w:spacing w:line="0" w:lineRule="atLeast"/>
              <w:jc w:val="right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展</w:t>
            </w:r>
          </w:p>
        </w:tc>
        <w:tc>
          <w:tcPr>
            <w:tcW w:w="2166" w:type="dxa"/>
            <w:gridSpan w:val="2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4" w:space="0"/>
              <w:right w:val="single" w:color="000000" w:themeColor="text1" w:sz="18" w:space="0"/>
            </w:tcBorders>
            <w:vAlign w:val="center"/>
          </w:tcPr>
          <w:p>
            <w:pPr>
              <w:spacing w:line="0" w:lineRule="atLeast"/>
              <w:jc w:val="right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展</w:t>
            </w:r>
          </w:p>
        </w:tc>
        <w:tc>
          <w:tcPr>
            <w:tcW w:w="2166" w:type="dxa"/>
            <w:gridSpan w:val="2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4" w:space="0"/>
              <w:right w:val="single" w:color="000000" w:themeColor="text1" w:sz="18" w:space="0"/>
            </w:tcBorders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展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1" w:hRule="atLeast"/>
        </w:trPr>
        <w:tc>
          <w:tcPr>
            <w:tcW w:w="1082" w:type="dxa"/>
            <w:tcBorders>
              <w:top w:val="single" w:color="000000" w:themeColor="text1" w:sz="4" w:space="0"/>
              <w:left w:val="single" w:color="000000" w:themeColor="text1" w:sz="18" w:space="0"/>
              <w:bottom w:val="single" w:color="000000" w:themeColor="text1" w:sz="18" w:space="0"/>
              <w:right w:val="dotted" w:color="000000" w:themeColor="text1" w:sz="4" w:space="0"/>
            </w:tcBorders>
          </w:tcPr>
          <w:p>
            <w:pPr>
              <w:widowControl/>
              <w:spacing w:line="240" w:lineRule="exact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實收</w:t>
            </w:r>
          </w:p>
        </w:tc>
        <w:tc>
          <w:tcPr>
            <w:tcW w:w="1082" w:type="dxa"/>
            <w:tcBorders>
              <w:top w:val="single" w:color="000000" w:themeColor="text1" w:sz="4" w:space="0"/>
              <w:left w:val="dotted" w:color="000000" w:themeColor="text1" w:sz="4" w:space="0"/>
              <w:bottom w:val="single" w:color="000000" w:themeColor="text1" w:sz="18" w:space="0"/>
              <w:right w:val="single" w:color="000000" w:themeColor="text1" w:sz="18" w:space="0"/>
            </w:tcBorders>
          </w:tcPr>
          <w:p>
            <w:pPr>
              <w:widowControl/>
              <w:spacing w:line="240" w:lineRule="exact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贈送</w:t>
            </w:r>
          </w:p>
        </w:tc>
        <w:tc>
          <w:tcPr>
            <w:tcW w:w="1083" w:type="dxa"/>
            <w:tcBorders>
              <w:top w:val="single" w:color="000000" w:themeColor="text1" w:sz="4" w:space="0"/>
              <w:left w:val="single" w:color="000000" w:themeColor="text1" w:sz="18" w:space="0"/>
              <w:bottom w:val="single" w:color="000000" w:themeColor="text1" w:sz="18" w:space="0"/>
              <w:right w:val="dotted" w:color="000000" w:themeColor="text1" w:sz="4" w:space="0"/>
            </w:tcBorders>
          </w:tcPr>
          <w:p>
            <w:pPr>
              <w:widowControl/>
              <w:spacing w:line="240" w:lineRule="exact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實收</w:t>
            </w:r>
          </w:p>
        </w:tc>
        <w:tc>
          <w:tcPr>
            <w:tcW w:w="1083" w:type="dxa"/>
            <w:tcBorders>
              <w:top w:val="single" w:color="000000" w:themeColor="text1" w:sz="4" w:space="0"/>
              <w:left w:val="dotted" w:color="000000" w:themeColor="text1" w:sz="4" w:space="0"/>
              <w:bottom w:val="single" w:color="000000" w:themeColor="text1" w:sz="18" w:space="0"/>
              <w:right w:val="single" w:color="000000" w:themeColor="text1" w:sz="18" w:space="0"/>
            </w:tcBorders>
          </w:tcPr>
          <w:p>
            <w:pPr>
              <w:widowControl/>
              <w:spacing w:line="240" w:lineRule="exact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贈送</w:t>
            </w:r>
          </w:p>
        </w:tc>
        <w:tc>
          <w:tcPr>
            <w:tcW w:w="1083" w:type="dxa"/>
            <w:tcBorders>
              <w:top w:val="single" w:color="000000" w:themeColor="text1" w:sz="4" w:space="0"/>
              <w:left w:val="single" w:color="000000" w:themeColor="text1" w:sz="18" w:space="0"/>
              <w:bottom w:val="single" w:color="000000" w:themeColor="text1" w:sz="18" w:space="0"/>
              <w:right w:val="dotted" w:color="000000" w:themeColor="text1" w:sz="4" w:space="0"/>
            </w:tcBorders>
          </w:tcPr>
          <w:p>
            <w:pPr>
              <w:widowControl/>
              <w:spacing w:line="240" w:lineRule="exact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實收</w:t>
            </w:r>
          </w:p>
        </w:tc>
        <w:tc>
          <w:tcPr>
            <w:tcW w:w="1083" w:type="dxa"/>
            <w:tcBorders>
              <w:top w:val="single" w:color="000000" w:themeColor="text1" w:sz="4" w:space="0"/>
              <w:left w:val="dotted" w:color="000000" w:themeColor="text1" w:sz="4" w:space="0"/>
              <w:bottom w:val="single" w:color="000000" w:themeColor="text1" w:sz="18" w:space="0"/>
              <w:right w:val="single" w:color="000000" w:themeColor="text1" w:sz="18" w:space="0"/>
            </w:tcBorders>
          </w:tcPr>
          <w:p>
            <w:pPr>
              <w:spacing w:line="240" w:lineRule="exact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贈送</w:t>
            </w:r>
          </w:p>
        </w:tc>
        <w:tc>
          <w:tcPr>
            <w:tcW w:w="1083" w:type="dxa"/>
            <w:tcBorders>
              <w:top w:val="single" w:color="000000" w:themeColor="text1" w:sz="4" w:space="0"/>
              <w:left w:val="single" w:color="000000" w:themeColor="text1" w:sz="18" w:space="0"/>
              <w:bottom w:val="single" w:color="000000" w:themeColor="text1" w:sz="18" w:space="0"/>
              <w:right w:val="dotted" w:color="000000" w:themeColor="text1" w:sz="4" w:space="0"/>
            </w:tcBorders>
          </w:tcPr>
          <w:p>
            <w:pPr>
              <w:spacing w:line="240" w:lineRule="exact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實收</w:t>
            </w:r>
          </w:p>
        </w:tc>
        <w:tc>
          <w:tcPr>
            <w:tcW w:w="1083" w:type="dxa"/>
            <w:tcBorders>
              <w:top w:val="single" w:color="000000" w:themeColor="text1" w:sz="4" w:space="0"/>
              <w:left w:val="dotted" w:color="000000" w:themeColor="text1" w:sz="4" w:space="0"/>
              <w:bottom w:val="single" w:color="000000" w:themeColor="text1" w:sz="18" w:space="0"/>
              <w:right w:val="single" w:color="000000" w:themeColor="text1" w:sz="18" w:space="0"/>
            </w:tcBorders>
          </w:tcPr>
          <w:p>
            <w:pPr>
              <w:widowControl/>
              <w:spacing w:line="240" w:lineRule="exact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贈送</w:t>
            </w:r>
          </w:p>
        </w:tc>
        <w:tc>
          <w:tcPr>
            <w:tcW w:w="1083" w:type="dxa"/>
            <w:tcBorders>
              <w:top w:val="single" w:color="000000" w:themeColor="text1" w:sz="4" w:space="0"/>
              <w:left w:val="single" w:color="000000" w:themeColor="text1" w:sz="18" w:space="0"/>
              <w:bottom w:val="single" w:color="000000" w:themeColor="text1" w:sz="18" w:space="0"/>
              <w:right w:val="dotted" w:color="000000" w:themeColor="text1" w:sz="4" w:space="0"/>
            </w:tcBorders>
          </w:tcPr>
          <w:p>
            <w:pPr>
              <w:widowControl/>
              <w:spacing w:line="240" w:lineRule="exact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實收</w:t>
            </w:r>
          </w:p>
          <w:p>
            <w:pPr>
              <w:widowControl/>
              <w:spacing w:line="240" w:lineRule="exact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</w:p>
        </w:tc>
        <w:tc>
          <w:tcPr>
            <w:tcW w:w="1083" w:type="dxa"/>
            <w:tcBorders>
              <w:top w:val="single" w:color="000000" w:themeColor="text1" w:sz="4" w:space="0"/>
              <w:left w:val="dotted" w:color="000000" w:themeColor="text1" w:sz="4" w:space="0"/>
              <w:bottom w:val="single" w:color="000000" w:themeColor="text1" w:sz="18" w:space="0"/>
              <w:right w:val="single" w:color="000000" w:themeColor="text1" w:sz="18" w:space="0"/>
            </w:tcBorders>
          </w:tcPr>
          <w:p>
            <w:pPr>
              <w:widowControl/>
              <w:spacing w:line="240" w:lineRule="exact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hint="eastAsia" w:ascii="微軟正黑體" w:hAnsi="微軟正黑體" w:eastAsia="微軟正黑體" w:cs="新細明體"/>
                <w:color w:val="000000"/>
                <w:kern w:val="0"/>
                <w:sz w:val="16"/>
                <w:szCs w:val="10"/>
              </w:rPr>
              <w:t>贈送</w:t>
            </w:r>
          </w:p>
        </w:tc>
      </w:tr>
    </w:tbl>
    <w:p>
      <w:pPr>
        <w:ind w:right="998"/>
        <w:jc w:val="center"/>
        <w:rPr>
          <w:b/>
          <w:sz w:val="20"/>
          <w:szCs w:val="18"/>
        </w:rPr>
      </w:pPr>
      <w:r>
        <w:rPr>
          <w:rFonts w:hint="eastAsia" w:ascii="微軟正黑體" w:hAnsi="微軟正黑體" w:eastAsia="微軟正黑體"/>
          <w:b/>
          <w:sz w:val="20"/>
          <w:szCs w:val="20"/>
        </w:rPr>
        <w:t>展覽服務諮詢專線：經濟日報 台中辦事處 04-2237-1234 #4852</w:t>
      </w:r>
    </w:p>
    <w:sectPr>
      <w:pgSz w:w="11906" w:h="16838"/>
      <w:pgMar w:top="397" w:right="567" w:bottom="284" w:left="567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細明體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軟正黑體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67C51"/>
    <w:multiLevelType w:val="multilevel"/>
    <w:tmpl w:val="26567C5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6"/>
        <w:szCs w:val="16"/>
      </w:rPr>
    </w:lvl>
    <w:lvl w:ilvl="1" w:tentative="0">
      <w:start w:val="1"/>
      <w:numFmt w:val="ideographTraditional"/>
      <w:lvlText w:val="%2、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ideographTraditional"/>
      <w:lvlText w:val="%5、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ideographTraditional"/>
      <w:lvlText w:val="%8、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47E7852"/>
    <w:multiLevelType w:val="multilevel"/>
    <w:tmpl w:val="647E785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6"/>
      </w:rPr>
    </w:lvl>
    <w:lvl w:ilvl="1" w:tentative="0">
      <w:start w:val="1"/>
      <w:numFmt w:val="ideographTraditional"/>
      <w:lvlText w:val="%2、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ideographTraditional"/>
      <w:lvlText w:val="%5、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ideographTraditional"/>
      <w:lvlText w:val="%8、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F4F"/>
    <w:rsid w:val="000671D8"/>
    <w:rsid w:val="000B4FD6"/>
    <w:rsid w:val="000C3A0F"/>
    <w:rsid w:val="00113F34"/>
    <w:rsid w:val="001450AB"/>
    <w:rsid w:val="001D60DA"/>
    <w:rsid w:val="001D7F56"/>
    <w:rsid w:val="00233929"/>
    <w:rsid w:val="00376A43"/>
    <w:rsid w:val="003E55A2"/>
    <w:rsid w:val="003F3202"/>
    <w:rsid w:val="00495864"/>
    <w:rsid w:val="004A3FD5"/>
    <w:rsid w:val="004D7100"/>
    <w:rsid w:val="006243FF"/>
    <w:rsid w:val="00670CC7"/>
    <w:rsid w:val="00682640"/>
    <w:rsid w:val="006B6D4A"/>
    <w:rsid w:val="006F31D1"/>
    <w:rsid w:val="007945F2"/>
    <w:rsid w:val="007A201D"/>
    <w:rsid w:val="007D4E2E"/>
    <w:rsid w:val="007F174B"/>
    <w:rsid w:val="0085063E"/>
    <w:rsid w:val="00852E58"/>
    <w:rsid w:val="00854713"/>
    <w:rsid w:val="0085566C"/>
    <w:rsid w:val="008E4D08"/>
    <w:rsid w:val="009344C9"/>
    <w:rsid w:val="0097736F"/>
    <w:rsid w:val="00997ED1"/>
    <w:rsid w:val="009C78DA"/>
    <w:rsid w:val="00A232A7"/>
    <w:rsid w:val="00A4771E"/>
    <w:rsid w:val="00A5141C"/>
    <w:rsid w:val="00AA520E"/>
    <w:rsid w:val="00AD6D4C"/>
    <w:rsid w:val="00AE016F"/>
    <w:rsid w:val="00B127B2"/>
    <w:rsid w:val="00B472ED"/>
    <w:rsid w:val="00B56B7E"/>
    <w:rsid w:val="00BF205E"/>
    <w:rsid w:val="00C32610"/>
    <w:rsid w:val="00C747E6"/>
    <w:rsid w:val="00CA1B8C"/>
    <w:rsid w:val="00CD6FB1"/>
    <w:rsid w:val="00CE6913"/>
    <w:rsid w:val="00D037AB"/>
    <w:rsid w:val="00D14F4F"/>
    <w:rsid w:val="00D33C54"/>
    <w:rsid w:val="00D739F7"/>
    <w:rsid w:val="00DA363F"/>
    <w:rsid w:val="00DC4868"/>
    <w:rsid w:val="00DF10E4"/>
    <w:rsid w:val="00E03F0C"/>
    <w:rsid w:val="00E368C3"/>
    <w:rsid w:val="00FB7C41"/>
    <w:rsid w:val="21F748D3"/>
    <w:rsid w:val="68EF544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5">
    <w:name w:val="Strong"/>
    <w:qFormat/>
    <w:uiPriority w:val="22"/>
    <w:rPr>
      <w:b/>
      <w:bCs/>
    </w:rPr>
  </w:style>
  <w:style w:type="character" w:customStyle="1" w:styleId="7">
    <w:name w:val="頁首 字元"/>
    <w:basedOn w:val="4"/>
    <w:link w:val="2"/>
    <w:uiPriority w:val="99"/>
    <w:rPr>
      <w:sz w:val="20"/>
      <w:szCs w:val="20"/>
    </w:rPr>
  </w:style>
  <w:style w:type="character" w:customStyle="1" w:styleId="8">
    <w:name w:val="頁尾 字元"/>
    <w:basedOn w:val="4"/>
    <w:link w:val="3"/>
    <w:qFormat/>
    <w:uiPriority w:val="99"/>
    <w:rPr>
      <w:sz w:val="20"/>
      <w:szCs w:val="20"/>
    </w:rPr>
  </w:style>
  <w:style w:type="paragraph" w:customStyle="1" w:styleId="9">
    <w:name w:val="Default2"/>
    <w:uiPriority w:val="0"/>
    <w:pPr>
      <w:widowControl w:val="0"/>
      <w:autoSpaceDE w:val="0"/>
      <w:autoSpaceDN w:val="0"/>
      <w:adjustRightInd w:val="0"/>
    </w:pPr>
    <w:rPr>
      <w:rFonts w:ascii="新細明體" w:hAnsi="Calibri" w:eastAsia="新細明體" w:cs="新細明體"/>
      <w:color w:val="000000"/>
      <w:kern w:val="0"/>
      <w:sz w:val="24"/>
      <w:szCs w:val="24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1281</Characters>
  <Lines>10</Lines>
  <Paragraphs>3</Paragraphs>
  <ScaleCrop>false</ScaleCrop>
  <LinksUpToDate>false</LinksUpToDate>
  <CharactersWithSpaces>1502</CharactersWithSpaces>
  <Application>WPS Office_10.8.0.6003_F1E327BC-269C-435d-A152-05C5408002CA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2025-12-02T06:17:00Z</dcterms:created>
  <dc:creator>Ting</dc:creator>
  <cp:lastModifiedBy>user</cp:lastModifiedBy>
  <cp:lastPrinted>2025-12-02T07:00:00Z</cp:lastPrinted>
  <dcterms:modified xsi:type="dcterms:W3CDTF">2026-08-31T07:30:25Z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