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E153E" w14:textId="393F3414" w:rsidR="00AC3B1D" w:rsidRPr="00020077" w:rsidRDefault="00AC3B1D" w:rsidP="00AC3B1D">
      <w:pPr>
        <w:pStyle w:val="Heading1"/>
        <w:rPr>
          <w:rFonts w:ascii="Century Schoolbook" w:hAnsi="Century Schoolbook"/>
          <w:b w:val="0"/>
          <w:color w:val="002060"/>
          <w:sz w:val="44"/>
          <w:szCs w:val="44"/>
        </w:rPr>
      </w:pPr>
      <w:bookmarkStart w:id="0" w:name="_Toc494099494"/>
      <w:r w:rsidRPr="00020077">
        <w:rPr>
          <w:rFonts w:ascii="Century Schoolbook" w:hAnsi="Century Schoolbook"/>
          <w:b w:val="0"/>
          <w:color w:val="002060"/>
          <w:sz w:val="44"/>
          <w:szCs w:val="44"/>
        </w:rPr>
        <w:t>Guidance on Preparation of the Grantee Budget</w:t>
      </w:r>
      <w:bookmarkEnd w:id="0"/>
    </w:p>
    <w:tbl>
      <w:tblPr>
        <w:tblW w:w="1007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9"/>
      </w:tblGrid>
      <w:tr w:rsidR="00AC3B1D" w:rsidRPr="00020077" w14:paraId="3E93397A" w14:textId="77777777" w:rsidTr="00F4739C">
        <w:trPr>
          <w:trHeight w:val="585"/>
        </w:trPr>
        <w:tc>
          <w:tcPr>
            <w:tcW w:w="10079" w:type="dxa"/>
            <w:vAlign w:val="bottom"/>
          </w:tcPr>
          <w:p w14:paraId="632C8911" w14:textId="77777777" w:rsidR="00AC3B1D" w:rsidRPr="00020077" w:rsidRDefault="00AC3B1D" w:rsidP="00F4739C">
            <w:pPr>
              <w:rPr>
                <w:rFonts w:ascii="Verdana" w:hAnsi="Verdana" w:cs="Arial"/>
                <w:b/>
                <w:bCs/>
                <w:sz w:val="22"/>
                <w:szCs w:val="22"/>
              </w:rPr>
            </w:pPr>
            <w:bookmarkStart w:id="1" w:name="_GoBack"/>
            <w:bookmarkEnd w:id="1"/>
            <w:r w:rsidRPr="00020077">
              <w:rPr>
                <w:rFonts w:ascii="Verdana" w:hAnsi="Verdana" w:cs="Arial"/>
                <w:b/>
                <w:bCs/>
                <w:sz w:val="22"/>
                <w:szCs w:val="22"/>
              </w:rPr>
              <w:t xml:space="preserve">1. Summary Budget - </w:t>
            </w:r>
            <w:r w:rsidRPr="00020077">
              <w:rPr>
                <w:rFonts w:ascii="Verdana" w:hAnsi="Verdana" w:cs="Arial"/>
                <w:sz w:val="22"/>
                <w:szCs w:val="22"/>
              </w:rPr>
              <w:t>Do not enter any information on this sheet. The cells are linked to the Detailed Budget and should automatically populate.</w:t>
            </w:r>
          </w:p>
        </w:tc>
      </w:tr>
      <w:tr w:rsidR="00AC3B1D" w:rsidRPr="00020077" w14:paraId="6D351BE9" w14:textId="77777777" w:rsidTr="00F4739C">
        <w:trPr>
          <w:trHeight w:val="765"/>
        </w:trPr>
        <w:tc>
          <w:tcPr>
            <w:tcW w:w="10079" w:type="dxa"/>
            <w:vAlign w:val="bottom"/>
          </w:tcPr>
          <w:p w14:paraId="3110D12B" w14:textId="77777777" w:rsidR="00AC3B1D" w:rsidRPr="00020077" w:rsidRDefault="00AC3B1D" w:rsidP="00F4739C">
            <w:pPr>
              <w:rPr>
                <w:rFonts w:ascii="Verdana" w:hAnsi="Verdana" w:cs="Arial"/>
                <w:b/>
                <w:bCs/>
                <w:sz w:val="22"/>
                <w:szCs w:val="22"/>
              </w:rPr>
            </w:pPr>
            <w:r w:rsidRPr="00020077">
              <w:rPr>
                <w:rFonts w:ascii="Verdana" w:hAnsi="Verdana" w:cs="Arial"/>
                <w:b/>
                <w:bCs/>
                <w:sz w:val="22"/>
                <w:szCs w:val="22"/>
              </w:rPr>
              <w:t xml:space="preserve">2. Detailed Budget. </w:t>
            </w:r>
            <w:r>
              <w:rPr>
                <w:rFonts w:ascii="Verdana" w:hAnsi="Verdana" w:cs="Arial"/>
                <w:sz w:val="22"/>
                <w:szCs w:val="22"/>
              </w:rPr>
              <w:t>The total and sub</w:t>
            </w:r>
            <w:r w:rsidRPr="00020077">
              <w:rPr>
                <w:rFonts w:ascii="Verdana" w:hAnsi="Verdana" w:cs="Arial"/>
                <w:sz w:val="22"/>
                <w:szCs w:val="22"/>
              </w:rPr>
              <w:t xml:space="preserve">total columns include formulas that will automatically populate and should not require change. (Enter information into the Rate and Quantity Columns. Information must also be </w:t>
            </w:r>
            <w:proofErr w:type="gramStart"/>
            <w:r w:rsidRPr="00020077">
              <w:rPr>
                <w:rFonts w:ascii="Verdana" w:hAnsi="Verdana" w:cs="Arial"/>
                <w:sz w:val="22"/>
                <w:szCs w:val="22"/>
              </w:rPr>
              <w:t>entered into</w:t>
            </w:r>
            <w:proofErr w:type="gramEnd"/>
            <w:r w:rsidRPr="00020077">
              <w:rPr>
                <w:rFonts w:ascii="Verdana" w:hAnsi="Verdana" w:cs="Arial"/>
                <w:sz w:val="22"/>
                <w:szCs w:val="22"/>
              </w:rPr>
              <w:t xml:space="preserve"> the 2 cost share columns.) </w:t>
            </w:r>
          </w:p>
        </w:tc>
      </w:tr>
      <w:tr w:rsidR="00AC3B1D" w:rsidRPr="00020077" w14:paraId="2E8B6742" w14:textId="77777777" w:rsidTr="00F4739C">
        <w:trPr>
          <w:trHeight w:val="990"/>
        </w:trPr>
        <w:tc>
          <w:tcPr>
            <w:tcW w:w="10079" w:type="dxa"/>
            <w:vAlign w:val="bottom"/>
          </w:tcPr>
          <w:p w14:paraId="297CA9D0" w14:textId="77777777" w:rsidR="00AC3B1D" w:rsidRPr="00020077" w:rsidRDefault="00AC3B1D" w:rsidP="00F4739C">
            <w:pPr>
              <w:ind w:firstLineChars="100" w:firstLine="221"/>
              <w:rPr>
                <w:rFonts w:ascii="Verdana" w:hAnsi="Verdana" w:cs="Arial"/>
                <w:b/>
                <w:bCs/>
                <w:sz w:val="22"/>
                <w:szCs w:val="22"/>
              </w:rPr>
            </w:pPr>
            <w:r w:rsidRPr="00020077">
              <w:rPr>
                <w:rFonts w:ascii="Verdana" w:hAnsi="Verdana" w:cs="Arial"/>
                <w:b/>
                <w:bCs/>
                <w:i/>
                <w:sz w:val="22"/>
                <w:szCs w:val="22"/>
              </w:rPr>
              <w:t>I. Personnel/Salaries</w:t>
            </w:r>
            <w:r w:rsidRPr="00020077">
              <w:rPr>
                <w:rFonts w:ascii="Verdana" w:hAnsi="Verdana" w:cs="Arial"/>
                <w:b/>
                <w:bCs/>
                <w:sz w:val="22"/>
                <w:szCs w:val="22"/>
              </w:rPr>
              <w:t xml:space="preserve"> -</w:t>
            </w:r>
            <w:r w:rsidRPr="00020077">
              <w:rPr>
                <w:rFonts w:ascii="Verdana" w:hAnsi="Verdana" w:cs="Arial"/>
                <w:sz w:val="22"/>
                <w:szCs w:val="22"/>
              </w:rPr>
              <w:t xml:space="preserve"> Include here the names and titles of all employees and consultants who will be working to implement the grant activity. If a </w:t>
            </w:r>
            <w:proofErr w:type="gramStart"/>
            <w:r w:rsidRPr="00020077">
              <w:rPr>
                <w:rFonts w:ascii="Verdana" w:hAnsi="Verdana" w:cs="Arial"/>
                <w:sz w:val="22"/>
                <w:szCs w:val="22"/>
              </w:rPr>
              <w:t>full time</w:t>
            </w:r>
            <w:proofErr w:type="gramEnd"/>
            <w:r w:rsidRPr="00020077">
              <w:rPr>
                <w:rFonts w:ascii="Verdana" w:hAnsi="Verdana" w:cs="Arial"/>
                <w:sz w:val="22"/>
                <w:szCs w:val="22"/>
              </w:rPr>
              <w:t xml:space="preserve"> employee will only be contributing a percentage of his/her salary then include that percentage in the Quantity column and include the full monthly salary in the Rate Column.</w:t>
            </w:r>
          </w:p>
        </w:tc>
      </w:tr>
      <w:tr w:rsidR="00AC3B1D" w:rsidRPr="00020077" w14:paraId="1D24C357" w14:textId="77777777" w:rsidTr="00F4739C">
        <w:trPr>
          <w:trHeight w:val="1530"/>
        </w:trPr>
        <w:tc>
          <w:tcPr>
            <w:tcW w:w="10079" w:type="dxa"/>
            <w:vAlign w:val="bottom"/>
          </w:tcPr>
          <w:p w14:paraId="35050886" w14:textId="77777777" w:rsidR="00AC3B1D" w:rsidRPr="00020077" w:rsidRDefault="00AC3B1D" w:rsidP="00F4739C">
            <w:pPr>
              <w:ind w:firstLineChars="100" w:firstLine="221"/>
              <w:rPr>
                <w:rFonts w:ascii="Verdana" w:hAnsi="Verdana" w:cs="Arial"/>
                <w:b/>
                <w:bCs/>
                <w:sz w:val="22"/>
                <w:szCs w:val="22"/>
              </w:rPr>
            </w:pPr>
            <w:r w:rsidRPr="00020077">
              <w:rPr>
                <w:rFonts w:ascii="Verdana" w:hAnsi="Verdana" w:cs="Arial"/>
                <w:b/>
                <w:bCs/>
                <w:i/>
                <w:sz w:val="22"/>
                <w:szCs w:val="22"/>
              </w:rPr>
              <w:t xml:space="preserve">II. Fringe Benefits </w:t>
            </w:r>
            <w:r w:rsidRPr="00020077">
              <w:rPr>
                <w:rFonts w:ascii="Verdana" w:hAnsi="Verdana" w:cs="Arial"/>
                <w:sz w:val="22"/>
                <w:szCs w:val="22"/>
              </w:rPr>
              <w:t xml:space="preserve">- Include here all benefits and allowances provided to full time employees. Benefits and allowances may not be provided to short-term employees. Generally, this includes health insurance, social security and any other allowances provided to the employee. You may add sub categories if they are not currently listed. If you are only charging a percentage of an employee's time to the </w:t>
            </w:r>
            <w:proofErr w:type="gramStart"/>
            <w:r w:rsidRPr="00020077">
              <w:rPr>
                <w:rFonts w:ascii="Verdana" w:hAnsi="Verdana" w:cs="Arial"/>
                <w:sz w:val="22"/>
                <w:szCs w:val="22"/>
              </w:rPr>
              <w:t>budget</w:t>
            </w:r>
            <w:proofErr w:type="gramEnd"/>
            <w:r w:rsidRPr="00020077">
              <w:rPr>
                <w:rFonts w:ascii="Verdana" w:hAnsi="Verdana" w:cs="Arial"/>
                <w:sz w:val="22"/>
                <w:szCs w:val="22"/>
              </w:rPr>
              <w:t xml:space="preserve"> then the same percentage of Benefits and Allowances may be charged.</w:t>
            </w:r>
          </w:p>
        </w:tc>
      </w:tr>
      <w:tr w:rsidR="00AC3B1D" w:rsidRPr="00020077" w14:paraId="49F2484A" w14:textId="77777777" w:rsidTr="00F4739C">
        <w:trPr>
          <w:trHeight w:val="855"/>
        </w:trPr>
        <w:tc>
          <w:tcPr>
            <w:tcW w:w="10079" w:type="dxa"/>
            <w:vAlign w:val="bottom"/>
          </w:tcPr>
          <w:p w14:paraId="26669F19" w14:textId="77777777" w:rsidR="00AC3B1D" w:rsidRPr="00020077" w:rsidRDefault="00AC3B1D" w:rsidP="00F4739C">
            <w:pPr>
              <w:ind w:firstLineChars="100" w:firstLine="221"/>
              <w:rPr>
                <w:rFonts w:ascii="Verdana" w:hAnsi="Verdana" w:cs="Arial"/>
                <w:b/>
                <w:bCs/>
                <w:sz w:val="22"/>
                <w:szCs w:val="22"/>
              </w:rPr>
            </w:pPr>
            <w:r w:rsidRPr="00020077">
              <w:rPr>
                <w:rFonts w:ascii="Verdana" w:hAnsi="Verdana" w:cs="Arial"/>
                <w:b/>
                <w:bCs/>
                <w:i/>
                <w:sz w:val="22"/>
                <w:szCs w:val="22"/>
              </w:rPr>
              <w:t>III. Travel</w:t>
            </w:r>
            <w:r w:rsidRPr="00020077">
              <w:rPr>
                <w:rFonts w:ascii="Verdana" w:hAnsi="Verdana" w:cs="Arial"/>
                <w:b/>
                <w:bCs/>
                <w:sz w:val="22"/>
                <w:szCs w:val="22"/>
              </w:rPr>
              <w:t xml:space="preserve"> -</w:t>
            </w:r>
            <w:r w:rsidRPr="00020077">
              <w:rPr>
                <w:rFonts w:ascii="Verdana" w:hAnsi="Verdana" w:cs="Arial"/>
                <w:sz w:val="22"/>
                <w:szCs w:val="22"/>
              </w:rPr>
              <w:t xml:space="preserve"> Include all travel related charges </w:t>
            </w:r>
            <w:proofErr w:type="gramStart"/>
            <w:r w:rsidRPr="00020077">
              <w:rPr>
                <w:rFonts w:ascii="Verdana" w:hAnsi="Verdana" w:cs="Arial"/>
                <w:sz w:val="22"/>
                <w:szCs w:val="22"/>
              </w:rPr>
              <w:t>with the exception of</w:t>
            </w:r>
            <w:proofErr w:type="gramEnd"/>
            <w:r w:rsidRPr="00020077">
              <w:rPr>
                <w:rFonts w:ascii="Verdana" w:hAnsi="Verdana" w:cs="Arial"/>
                <w:sz w:val="22"/>
                <w:szCs w:val="22"/>
              </w:rPr>
              <w:t xml:space="preserve"> the purchase of gasoline for program cars. Note destination in the budget. For example, Meals and Incidental charges to X Municipality. </w:t>
            </w:r>
          </w:p>
        </w:tc>
      </w:tr>
      <w:tr w:rsidR="00AC3B1D" w:rsidRPr="00020077" w14:paraId="27FF95D2" w14:textId="77777777" w:rsidTr="00F4739C">
        <w:trPr>
          <w:trHeight w:val="570"/>
        </w:trPr>
        <w:tc>
          <w:tcPr>
            <w:tcW w:w="10079" w:type="dxa"/>
            <w:vAlign w:val="bottom"/>
          </w:tcPr>
          <w:p w14:paraId="6ECC2049" w14:textId="77777777" w:rsidR="00AC3B1D" w:rsidRPr="00020077" w:rsidRDefault="00AC3B1D" w:rsidP="00F4739C">
            <w:pPr>
              <w:ind w:firstLineChars="100" w:firstLine="221"/>
              <w:rPr>
                <w:rFonts w:ascii="Verdana" w:hAnsi="Verdana" w:cs="Arial"/>
                <w:sz w:val="22"/>
                <w:szCs w:val="22"/>
              </w:rPr>
            </w:pPr>
            <w:r w:rsidRPr="00020077">
              <w:rPr>
                <w:rFonts w:ascii="Verdana" w:hAnsi="Verdana" w:cs="Arial"/>
                <w:b/>
                <w:bCs/>
                <w:i/>
                <w:sz w:val="22"/>
                <w:szCs w:val="22"/>
              </w:rPr>
              <w:t>IV. Equipment</w:t>
            </w:r>
            <w:r w:rsidRPr="00020077">
              <w:rPr>
                <w:rFonts w:ascii="Verdana" w:hAnsi="Verdana" w:cs="Arial"/>
                <w:b/>
                <w:bCs/>
                <w:sz w:val="22"/>
                <w:szCs w:val="22"/>
              </w:rPr>
              <w:t xml:space="preserve"> -</w:t>
            </w:r>
            <w:r w:rsidRPr="00020077">
              <w:rPr>
                <w:rFonts w:ascii="Verdana" w:hAnsi="Verdana" w:cs="Arial"/>
                <w:sz w:val="22"/>
                <w:szCs w:val="22"/>
              </w:rPr>
              <w:t xml:space="preserve"> Include here non-expendable equipment. This could include IT equipment, desks, bookshelves or </w:t>
            </w:r>
            <w:r>
              <w:rPr>
                <w:rFonts w:ascii="Verdana" w:hAnsi="Verdana" w:cs="Arial"/>
                <w:sz w:val="22"/>
                <w:szCs w:val="22"/>
              </w:rPr>
              <w:t>other items. Please list items.</w:t>
            </w:r>
          </w:p>
        </w:tc>
      </w:tr>
      <w:tr w:rsidR="00AC3B1D" w:rsidRPr="00020077" w14:paraId="4D13C390" w14:textId="77777777" w:rsidTr="00F4739C">
        <w:trPr>
          <w:trHeight w:val="570"/>
        </w:trPr>
        <w:tc>
          <w:tcPr>
            <w:tcW w:w="10079" w:type="dxa"/>
            <w:vAlign w:val="bottom"/>
          </w:tcPr>
          <w:p w14:paraId="1323522A" w14:textId="77777777" w:rsidR="00AC3B1D" w:rsidRPr="00020077" w:rsidRDefault="00AC3B1D" w:rsidP="00F4739C">
            <w:pPr>
              <w:ind w:firstLineChars="100" w:firstLine="221"/>
              <w:rPr>
                <w:rFonts w:ascii="Verdana" w:hAnsi="Verdana" w:cs="Arial"/>
                <w:b/>
                <w:bCs/>
                <w:i/>
                <w:sz w:val="22"/>
                <w:szCs w:val="22"/>
              </w:rPr>
            </w:pPr>
            <w:r w:rsidRPr="00020077">
              <w:rPr>
                <w:rFonts w:ascii="Verdana" w:hAnsi="Verdana" w:cs="Arial"/>
                <w:b/>
                <w:i/>
                <w:sz w:val="22"/>
                <w:szCs w:val="22"/>
              </w:rPr>
              <w:t>V.</w:t>
            </w:r>
            <w:r w:rsidRPr="00020077">
              <w:rPr>
                <w:rFonts w:ascii="Verdana" w:hAnsi="Verdana" w:cs="Arial"/>
                <w:i/>
                <w:sz w:val="22"/>
                <w:szCs w:val="22"/>
              </w:rPr>
              <w:t xml:space="preserve"> </w:t>
            </w:r>
            <w:r w:rsidRPr="00020077">
              <w:rPr>
                <w:rFonts w:ascii="Verdana" w:hAnsi="Verdana" w:cs="Arial"/>
                <w:b/>
                <w:i/>
                <w:sz w:val="22"/>
                <w:szCs w:val="22"/>
              </w:rPr>
              <w:t>Supplies</w:t>
            </w:r>
            <w:r w:rsidRPr="00020077">
              <w:rPr>
                <w:rFonts w:ascii="Verdana" w:hAnsi="Verdana" w:cs="Arial"/>
                <w:i/>
                <w:sz w:val="22"/>
                <w:szCs w:val="22"/>
              </w:rPr>
              <w:t xml:space="preserve"> – Include here </w:t>
            </w:r>
            <w:r w:rsidRPr="00020077">
              <w:rPr>
                <w:rFonts w:ascii="Verdana" w:eastAsia="Calibri" w:hAnsi="Verdana"/>
                <w:i/>
                <w:sz w:val="22"/>
                <w:szCs w:val="22"/>
              </w:rPr>
              <w:t>all tangible personal property other than Equipment. A computing device is a supply if the acquisition cost is less than the lesser of the capitalization level established by IESC for financial statement purposes or $5,000, regardless of the length of its useful life.</w:t>
            </w:r>
          </w:p>
        </w:tc>
      </w:tr>
      <w:tr w:rsidR="00AC3B1D" w:rsidRPr="00020077" w14:paraId="2CD96A07" w14:textId="77777777" w:rsidTr="00F4739C">
        <w:trPr>
          <w:trHeight w:val="255"/>
        </w:trPr>
        <w:tc>
          <w:tcPr>
            <w:tcW w:w="10079" w:type="dxa"/>
            <w:noWrap/>
            <w:vAlign w:val="bottom"/>
          </w:tcPr>
          <w:p w14:paraId="0A424EE5" w14:textId="77777777" w:rsidR="00AC3B1D" w:rsidRPr="00020077" w:rsidRDefault="00AC3B1D" w:rsidP="00F4739C">
            <w:pPr>
              <w:ind w:firstLineChars="100" w:firstLine="221"/>
              <w:rPr>
                <w:rFonts w:ascii="Verdana" w:hAnsi="Verdana" w:cs="Arial"/>
                <w:i/>
                <w:sz w:val="22"/>
                <w:szCs w:val="22"/>
              </w:rPr>
            </w:pPr>
            <w:r w:rsidRPr="00020077">
              <w:rPr>
                <w:rFonts w:ascii="Verdana" w:hAnsi="Verdana" w:cs="Arial"/>
                <w:b/>
                <w:bCs/>
                <w:i/>
                <w:sz w:val="22"/>
                <w:szCs w:val="22"/>
              </w:rPr>
              <w:t xml:space="preserve">VI. Other Costs </w:t>
            </w:r>
          </w:p>
        </w:tc>
      </w:tr>
      <w:tr w:rsidR="00AC3B1D" w:rsidRPr="00020077" w14:paraId="4F64C7B9" w14:textId="77777777" w:rsidTr="00F4739C">
        <w:trPr>
          <w:trHeight w:val="540"/>
        </w:trPr>
        <w:tc>
          <w:tcPr>
            <w:tcW w:w="10079" w:type="dxa"/>
            <w:vAlign w:val="bottom"/>
          </w:tcPr>
          <w:p w14:paraId="2BC56948" w14:textId="77777777" w:rsidR="00AC3B1D" w:rsidRPr="00020077" w:rsidRDefault="00AC3B1D" w:rsidP="00F4739C">
            <w:pPr>
              <w:ind w:left="394" w:firstLineChars="3" w:firstLine="7"/>
              <w:rPr>
                <w:rFonts w:ascii="Verdana" w:hAnsi="Verdana" w:cs="Arial"/>
                <w:b/>
                <w:bCs/>
                <w:sz w:val="22"/>
                <w:szCs w:val="22"/>
              </w:rPr>
            </w:pPr>
            <w:r w:rsidRPr="00020077">
              <w:rPr>
                <w:rFonts w:ascii="Verdana" w:hAnsi="Verdana" w:cs="Arial"/>
                <w:b/>
                <w:bCs/>
                <w:sz w:val="22"/>
                <w:szCs w:val="22"/>
              </w:rPr>
              <w:t>A. General Operations Expenses -</w:t>
            </w:r>
            <w:r w:rsidRPr="00020077">
              <w:rPr>
                <w:rFonts w:ascii="Verdana" w:hAnsi="Verdana" w:cs="Arial"/>
                <w:sz w:val="22"/>
                <w:szCs w:val="22"/>
              </w:rPr>
              <w:t xml:space="preserve"> You may include here general operations expenses necessary to keep an office open and running. Add sub categories as you think necessary. </w:t>
            </w:r>
          </w:p>
        </w:tc>
      </w:tr>
      <w:tr w:rsidR="00AC3B1D" w:rsidRPr="00020077" w14:paraId="32EE97F3" w14:textId="77777777" w:rsidTr="00F4739C">
        <w:trPr>
          <w:trHeight w:val="795"/>
        </w:trPr>
        <w:tc>
          <w:tcPr>
            <w:tcW w:w="10079" w:type="dxa"/>
            <w:vAlign w:val="bottom"/>
          </w:tcPr>
          <w:p w14:paraId="684ED281" w14:textId="77777777" w:rsidR="00AC3B1D" w:rsidRPr="00020077" w:rsidRDefault="00AC3B1D" w:rsidP="00F4739C">
            <w:pPr>
              <w:ind w:left="394" w:firstLineChars="3" w:firstLine="7"/>
              <w:rPr>
                <w:rFonts w:ascii="Verdana" w:hAnsi="Verdana" w:cs="Arial"/>
                <w:b/>
                <w:bCs/>
                <w:sz w:val="22"/>
                <w:szCs w:val="22"/>
              </w:rPr>
            </w:pPr>
            <w:r w:rsidRPr="00020077">
              <w:rPr>
                <w:rFonts w:ascii="Verdana" w:hAnsi="Verdana" w:cs="Arial"/>
                <w:b/>
                <w:bCs/>
                <w:sz w:val="22"/>
                <w:szCs w:val="22"/>
              </w:rPr>
              <w:t xml:space="preserve">B. Activity Expenses - </w:t>
            </w:r>
            <w:r w:rsidRPr="00020077">
              <w:rPr>
                <w:rFonts w:ascii="Verdana" w:hAnsi="Verdana" w:cs="Arial"/>
                <w:sz w:val="22"/>
                <w:szCs w:val="22"/>
              </w:rPr>
              <w:t>Include here expenses specific to a programmatic activity. For example, all expenses related to hosting a workshop, or collecting surveys. Please include the name of the activity.</w:t>
            </w:r>
          </w:p>
        </w:tc>
      </w:tr>
      <w:tr w:rsidR="00AC3B1D" w:rsidRPr="00020077" w14:paraId="152CB29D" w14:textId="77777777" w:rsidTr="00F4739C">
        <w:trPr>
          <w:trHeight w:val="1005"/>
        </w:trPr>
        <w:tc>
          <w:tcPr>
            <w:tcW w:w="10079" w:type="dxa"/>
            <w:vAlign w:val="bottom"/>
          </w:tcPr>
          <w:p w14:paraId="06480D23" w14:textId="77777777" w:rsidR="00AC3B1D" w:rsidRPr="00020077" w:rsidRDefault="00AC3B1D" w:rsidP="00F4739C">
            <w:pPr>
              <w:rPr>
                <w:rFonts w:ascii="Verdana" w:hAnsi="Verdana" w:cs="Arial"/>
                <w:b/>
                <w:bCs/>
                <w:sz w:val="22"/>
                <w:szCs w:val="22"/>
              </w:rPr>
            </w:pPr>
            <w:r w:rsidRPr="00020077">
              <w:rPr>
                <w:rFonts w:ascii="Verdana" w:hAnsi="Verdana" w:cs="Arial"/>
                <w:b/>
                <w:bCs/>
                <w:sz w:val="22"/>
                <w:szCs w:val="22"/>
              </w:rPr>
              <w:t xml:space="preserve">3. Error and Spell Checking - </w:t>
            </w:r>
            <w:r w:rsidRPr="00020077">
              <w:rPr>
                <w:rFonts w:ascii="Verdana" w:hAnsi="Verdana" w:cs="Arial"/>
                <w:sz w:val="22"/>
                <w:szCs w:val="22"/>
              </w:rPr>
              <w:t xml:space="preserve">The budget currently includes check columns that cross check totals. If the budget adds vertically then the check column adds horizontally and vice versa. Please do not delete these cells as the person reviewing the budget will want to see them. Please make sure you spell check your budget. </w:t>
            </w:r>
          </w:p>
        </w:tc>
      </w:tr>
      <w:tr w:rsidR="00AC3B1D" w:rsidRPr="00020077" w14:paraId="44141686" w14:textId="77777777" w:rsidTr="00F4739C">
        <w:trPr>
          <w:trHeight w:val="555"/>
        </w:trPr>
        <w:tc>
          <w:tcPr>
            <w:tcW w:w="10079" w:type="dxa"/>
            <w:vAlign w:val="bottom"/>
          </w:tcPr>
          <w:p w14:paraId="6ECCDBAB" w14:textId="77777777" w:rsidR="00AC3B1D" w:rsidRPr="00020077" w:rsidRDefault="00AC3B1D" w:rsidP="00F4739C">
            <w:pPr>
              <w:rPr>
                <w:rFonts w:ascii="Verdana" w:hAnsi="Verdana" w:cs="Arial"/>
                <w:b/>
                <w:bCs/>
                <w:sz w:val="22"/>
                <w:szCs w:val="22"/>
              </w:rPr>
            </w:pPr>
            <w:r w:rsidRPr="00020077">
              <w:rPr>
                <w:rFonts w:ascii="Verdana" w:hAnsi="Verdana" w:cs="Arial"/>
                <w:b/>
                <w:bCs/>
                <w:sz w:val="22"/>
                <w:szCs w:val="22"/>
              </w:rPr>
              <w:t xml:space="preserve">Do not hesitate to contact the </w:t>
            </w:r>
            <w:r>
              <w:rPr>
                <w:rFonts w:ascii="Verdana" w:hAnsi="Verdana" w:cs="Arial"/>
                <w:b/>
                <w:bCs/>
                <w:sz w:val="22"/>
                <w:szCs w:val="22"/>
              </w:rPr>
              <w:t xml:space="preserve">Workforce and Higher Access to Markets (WHAM) Activity </w:t>
            </w:r>
            <w:r w:rsidRPr="00020077">
              <w:rPr>
                <w:rFonts w:ascii="Verdana" w:hAnsi="Verdana" w:cs="Arial"/>
                <w:b/>
                <w:bCs/>
                <w:sz w:val="22"/>
                <w:szCs w:val="22"/>
              </w:rPr>
              <w:t>if you have any questions or concerns regarding how to complete the budget.</w:t>
            </w:r>
          </w:p>
        </w:tc>
      </w:tr>
    </w:tbl>
    <w:p w14:paraId="51B0DFA1" w14:textId="77777777" w:rsidR="006B7FCB" w:rsidRDefault="006B7FCB"/>
    <w:sectPr w:rsidR="006B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1D"/>
    <w:rsid w:val="002227B9"/>
    <w:rsid w:val="006B7FCB"/>
    <w:rsid w:val="00AC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04BE"/>
  <w15:chartTrackingRefBased/>
  <w15:docId w15:val="{37C96EF7-0BF3-46CA-B675-6A6B801C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B1D"/>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C3B1D"/>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B1D"/>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B74F993DE5044A929122F8D793D9A" ma:contentTypeVersion="6" ma:contentTypeDescription="Create a new document." ma:contentTypeScope="" ma:versionID="e8d90ebfcb19641f81987a0a7e7605cb">
  <xsd:schema xmlns:xsd="http://www.w3.org/2001/XMLSchema" xmlns:xs="http://www.w3.org/2001/XMLSchema" xmlns:p="http://schemas.microsoft.com/office/2006/metadata/properties" xmlns:ns2="6dfc6b40-585e-474a-a1bd-2626b250cc2a" xmlns:ns3="81764f33-9d79-4dd0-a7a1-d4e65b8d5b04" targetNamespace="http://schemas.microsoft.com/office/2006/metadata/properties" ma:root="true" ma:fieldsID="b09e6b06f6a340d3a3d46a3eaec9689a" ns2:_="" ns3:_="">
    <xsd:import namespace="6dfc6b40-585e-474a-a1bd-2626b250cc2a"/>
    <xsd:import namespace="81764f33-9d79-4dd0-a7a1-d4e65b8d5b0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764f33-9d79-4dd0-a7a1-d4e65b8d5b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KQHMHFRZ53V4-1558694097-7034</_dlc_DocId>
    <_dlc_DocIdUrl xmlns="6dfc6b40-585e-474a-a1bd-2626b250cc2a">
      <Url>https://iescglobal.sharepoint.com/Programs/BIH171/field/_layouts/15/DocIdRedir.aspx?ID=KQHMHFRZ53V4-1558694097-7034</Url>
      <Description>KQHMHFRZ53V4-1558694097-7034</Description>
    </_dlc_DocIdUrl>
  </documentManagement>
</p:properties>
</file>

<file path=customXml/itemProps1.xml><?xml version="1.0" encoding="utf-8"?>
<ds:datastoreItem xmlns:ds="http://schemas.openxmlformats.org/officeDocument/2006/customXml" ds:itemID="{8906554B-2C70-4F49-B5EE-05B945999E71}"/>
</file>

<file path=customXml/itemProps2.xml><?xml version="1.0" encoding="utf-8"?>
<ds:datastoreItem xmlns:ds="http://schemas.openxmlformats.org/officeDocument/2006/customXml" ds:itemID="{942315B1-6AA1-4958-856A-F5A22D7FD5CA}"/>
</file>

<file path=customXml/itemProps3.xml><?xml version="1.0" encoding="utf-8"?>
<ds:datastoreItem xmlns:ds="http://schemas.openxmlformats.org/officeDocument/2006/customXml" ds:itemID="{D980382E-A65A-4E66-A83E-783C95FE6D39}"/>
</file>

<file path=customXml/itemProps4.xml><?xml version="1.0" encoding="utf-8"?>
<ds:datastoreItem xmlns:ds="http://schemas.openxmlformats.org/officeDocument/2006/customXml" ds:itemID="{CC8882A6-6D4E-463B-90D0-4058EB336BAA}"/>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Hrustemovic</dc:creator>
  <cp:keywords/>
  <dc:description/>
  <cp:lastModifiedBy>Sabina Hrustemovic</cp:lastModifiedBy>
  <cp:revision>2</cp:revision>
  <dcterms:created xsi:type="dcterms:W3CDTF">2018-01-18T09:00:00Z</dcterms:created>
  <dcterms:modified xsi:type="dcterms:W3CDTF">2018-01-21T12:00:00Z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0x0101006ADB74F993DE5044A929122F8D793D9A</vt:lpwstr>
  </property>
  <property fmtid="{D5CDD505-2E9C-101B-9397-08002B2CF9AE}" pid="3" name="_dlc_DocIdItemGuid">
    <vt:lpwstr>8200dfcd-8d23-4a62-9da7-cb993267e405</vt:lpwstr>
  </property>
</Properties>
</file>