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A9820E">
      <w:pPr>
        <w:numPr>
          <w:ilvl w:val="0"/>
          <w:numId w:val="0"/>
        </w:numPr>
        <w:ind w:leftChars="0"/>
        <w:jc w:val="center"/>
        <w:rPr>
          <w:rStyle w:val="6"/>
          <w:rFonts w:hint="default" w:ascii="Calibri" w:hAnsi="Calibri" w:eastAsia="Helvetica" w:cs="Calibri"/>
          <w:b/>
          <w:bCs/>
          <w:i w:val="0"/>
          <w:iCs w:val="0"/>
          <w:caps w:val="0"/>
          <w:color w:val="060607"/>
          <w:spacing w:val="3"/>
          <w:sz w:val="32"/>
          <w:szCs w:val="32"/>
          <w:shd w:val="clear" w:fill="FFFFFF"/>
        </w:rPr>
      </w:pPr>
      <w:r>
        <w:rPr>
          <w:rStyle w:val="6"/>
          <w:rFonts w:hint="default" w:ascii="Calibri" w:hAnsi="Calibri" w:eastAsia="Helvetica" w:cs="Calibri"/>
          <w:b/>
          <w:bCs/>
          <w:i w:val="0"/>
          <w:iCs w:val="0"/>
          <w:caps w:val="0"/>
          <w:color w:val="060607"/>
          <w:spacing w:val="3"/>
          <w:sz w:val="32"/>
          <w:szCs w:val="32"/>
          <w:shd w:val="clear" w:fill="FFFFFF"/>
        </w:rPr>
        <w:t xml:space="preserve">Publications Catalog: </w:t>
      </w:r>
      <w:r>
        <w:rPr>
          <w:rStyle w:val="6"/>
          <w:rFonts w:hint="eastAsia" w:ascii="Calibri" w:hAnsi="Calibri" w:eastAsia="宋体" w:cs="Calibri"/>
          <w:b/>
          <w:bCs/>
          <w:i w:val="0"/>
          <w:iCs w:val="0"/>
          <w:caps w:val="0"/>
          <w:color w:val="060607"/>
          <w:spacing w:val="3"/>
          <w:sz w:val="32"/>
          <w:szCs w:val="32"/>
          <w:shd w:val="clear" w:fill="FFFFFF"/>
          <w:lang w:val="en-US" w:eastAsia="zh-CN"/>
        </w:rPr>
        <w:t>White Shrimp</w:t>
      </w:r>
      <w:r>
        <w:rPr>
          <w:rFonts w:hint="default" w:ascii="Calibri" w:hAnsi="Calibri" w:cs="Calibri"/>
          <w:b/>
          <w:bCs/>
          <w:sz w:val="32"/>
          <w:szCs w:val="32"/>
          <w:lang w:val="en-US" w:eastAsia="zh-CN"/>
        </w:rPr>
        <w:t xml:space="preserve"> Panel</w:t>
      </w:r>
      <w:r>
        <w:rPr>
          <w:rFonts w:hint="eastAsia" w:ascii="Calibri" w:hAnsi="Calibri" w:cs="Calibri"/>
          <w:b/>
          <w:bCs/>
          <w:sz w:val="32"/>
          <w:szCs w:val="32"/>
          <w:lang w:val="en-US" w:eastAsia="zh-CN"/>
        </w:rPr>
        <w:t>s</w:t>
      </w:r>
      <w:r>
        <w:rPr>
          <w:rFonts w:hint="default" w:ascii="Calibri" w:hAnsi="Calibri" w:cs="Calibri"/>
          <w:b/>
          <w:bCs/>
          <w:sz w:val="32"/>
          <w:szCs w:val="32"/>
          <w:lang w:val="en-US" w:eastAsia="zh-CN"/>
        </w:rPr>
        <w:t xml:space="preserve"> </w:t>
      </w:r>
      <w:r>
        <w:rPr>
          <w:rStyle w:val="6"/>
          <w:rFonts w:hint="default" w:ascii="Calibri" w:hAnsi="Calibri" w:eastAsia="Helvetica" w:cs="Calibri"/>
          <w:b/>
          <w:bCs/>
          <w:i w:val="0"/>
          <w:iCs w:val="0"/>
          <w:caps w:val="0"/>
          <w:color w:val="060607"/>
          <w:spacing w:val="3"/>
          <w:sz w:val="32"/>
          <w:szCs w:val="32"/>
          <w:shd w:val="clear" w:fill="FFFFFF"/>
        </w:rPr>
        <w:t>Applications</w:t>
      </w:r>
    </w:p>
    <w:p w14:paraId="1EEC214C">
      <w:pPr>
        <w:numPr>
          <w:ilvl w:val="0"/>
          <w:numId w:val="1"/>
        </w:numPr>
        <w:ind w:left="425" w:leftChars="0" w:hanging="425" w:firstLineChars="0"/>
        <w:rPr>
          <w:rFonts w:hint="default" w:ascii="Calibri" w:hAnsi="Calibri" w:cs="Calibri"/>
          <w:sz w:val="22"/>
          <w:szCs w:val="22"/>
        </w:rPr>
      </w:pPr>
      <w:r>
        <w:rPr>
          <w:rFonts w:hint="default" w:ascii="Calibri" w:hAnsi="Calibri" w:cs="Calibri"/>
          <w:sz w:val="22"/>
          <w:szCs w:val="22"/>
        </w:rPr>
        <w:t xml:space="preserve">Liu D, Kong J, Wang P, et al. Genetic diversity and genomic inbreeding analysis in two selected populations of </w:t>
      </w:r>
      <w:r>
        <w:rPr>
          <w:rFonts w:hint="default" w:ascii="Calibri" w:hAnsi="Calibri" w:cs="Calibri"/>
          <w:i/>
          <w:iCs/>
          <w:sz w:val="22"/>
          <w:szCs w:val="22"/>
        </w:rPr>
        <w:t>Litopenaeus vannamei</w:t>
      </w:r>
      <w:r>
        <w:rPr>
          <w:rFonts w:hint="default" w:ascii="Calibri" w:hAnsi="Calibri" w:cs="Calibri"/>
          <w:sz w:val="22"/>
          <w:szCs w:val="22"/>
        </w:rPr>
        <w:t xml:space="preserve"> using the liquid c</w:t>
      </w:r>
      <w:bookmarkStart w:id="0" w:name="_GoBack"/>
      <w:bookmarkEnd w:id="0"/>
      <w:r>
        <w:rPr>
          <w:rFonts w:hint="default" w:ascii="Calibri" w:hAnsi="Calibri" w:cs="Calibri"/>
          <w:sz w:val="22"/>
          <w:szCs w:val="22"/>
        </w:rPr>
        <w:t xml:space="preserve">hip of "YELLOW SEA CHIP NO.1" (55K SNP). </w:t>
      </w:r>
      <w:r>
        <w:rPr>
          <w:rFonts w:hint="default" w:ascii="Calibri" w:hAnsi="Calibri" w:cs="Calibri"/>
          <w:i/>
          <w:iCs/>
          <w:sz w:val="22"/>
          <w:szCs w:val="22"/>
        </w:rPr>
        <w:t>Oceanologia et Limnologia Sinica.</w:t>
      </w:r>
      <w:r>
        <w:rPr>
          <w:rFonts w:hint="default" w:ascii="Calibri" w:hAnsi="Calibri" w:cs="Calibri"/>
          <w:sz w:val="22"/>
          <w:szCs w:val="22"/>
        </w:rPr>
        <w:t xml:space="preserve"> 2024;55(2):479-88.</w:t>
      </w:r>
      <w:r>
        <w:rPr>
          <w:rFonts w:hint="eastAsia" w:ascii="Calibri" w:hAnsi="Calibri" w:cs="Calibri"/>
          <w:sz w:val="22"/>
          <w:szCs w:val="22"/>
          <w:lang w:val="en-US" w:eastAsia="zh-CN"/>
        </w:rPr>
        <w:t xml:space="preserve"> </w:t>
      </w:r>
      <w:r>
        <w:rPr>
          <w:rStyle w:val="8"/>
          <w:rFonts w:hint="default" w:ascii="Calibri" w:hAnsi="Calibri" w:eastAsia="宋体" w:cs="Calibri"/>
          <w:sz w:val="22"/>
          <w:szCs w:val="22"/>
        </w:rPr>
        <w:fldChar w:fldCharType="begin"/>
      </w:r>
      <w:r>
        <w:rPr>
          <w:rStyle w:val="8"/>
          <w:rFonts w:hint="default" w:ascii="Calibri" w:hAnsi="Calibri" w:eastAsia="宋体" w:cs="Calibri"/>
          <w:sz w:val="22"/>
          <w:szCs w:val="22"/>
        </w:rPr>
        <w:instrText xml:space="preserve"> HYPERLINK "https://doi.org/10.1016/j.cpb.2023.100278" \o "Persistent link using digital object identifier" \t "https://www.sciencedirect.com/science/article/pii/_blank" </w:instrText>
      </w:r>
      <w:r>
        <w:rPr>
          <w:rStyle w:val="8"/>
          <w:rFonts w:hint="default" w:ascii="Calibri" w:hAnsi="Calibri" w:eastAsia="宋体" w:cs="Calibri"/>
          <w:sz w:val="22"/>
          <w:szCs w:val="22"/>
        </w:rPr>
        <w:fldChar w:fldCharType="separate"/>
      </w:r>
      <w:r>
        <w:rPr>
          <w:rStyle w:val="8"/>
          <w:rFonts w:hint="default" w:ascii="Calibri" w:hAnsi="Calibri" w:eastAsia="宋体" w:cs="Calibri"/>
          <w:sz w:val="22"/>
          <w:szCs w:val="22"/>
        </w:rPr>
        <w:t>https://doi.org/10.1016/j.cpb.2023.100278</w:t>
      </w:r>
      <w:r>
        <w:rPr>
          <w:rStyle w:val="8"/>
          <w:rFonts w:hint="default" w:ascii="Calibri" w:hAnsi="Calibri" w:eastAsia="宋体" w:cs="Calibri"/>
          <w:sz w:val="22"/>
          <w:szCs w:val="22"/>
        </w:rPr>
        <w:fldChar w:fldCharType="end"/>
      </w:r>
    </w:p>
    <w:p w14:paraId="20844FF9">
      <w:pPr>
        <w:numPr>
          <w:ilvl w:val="0"/>
          <w:numId w:val="1"/>
        </w:numPr>
        <w:ind w:left="425" w:leftChars="0" w:hanging="425" w:firstLineChars="0"/>
        <w:rPr>
          <w:rFonts w:hint="default" w:ascii="Calibri" w:hAnsi="Calibri" w:cs="Calibri"/>
          <w:sz w:val="22"/>
          <w:szCs w:val="22"/>
        </w:rPr>
      </w:pPr>
      <w:r>
        <w:rPr>
          <w:rFonts w:hint="default" w:ascii="Calibri" w:hAnsi="Calibri" w:cs="Calibri"/>
          <w:sz w:val="22"/>
          <w:szCs w:val="22"/>
        </w:rPr>
        <w:t xml:space="preserve">Liu D, Sui J, Kong J, et al. Genetic parameters of larval weight traits of </w:t>
      </w:r>
      <w:r>
        <w:rPr>
          <w:rFonts w:hint="default" w:ascii="Calibri" w:hAnsi="Calibri" w:cs="Calibri"/>
          <w:i/>
          <w:iCs/>
          <w:sz w:val="22"/>
          <w:szCs w:val="22"/>
        </w:rPr>
        <w:t>Litopenaeus vannamei</w:t>
      </w:r>
      <w:r>
        <w:rPr>
          <w:rFonts w:hint="default" w:ascii="Calibri" w:hAnsi="Calibri" w:cs="Calibri"/>
          <w:sz w:val="22"/>
          <w:szCs w:val="22"/>
        </w:rPr>
        <w:t xml:space="preserve"> under low temperature fluctuation.</w:t>
      </w:r>
      <w:r>
        <w:rPr>
          <w:rFonts w:hint="default" w:ascii="Calibri" w:hAnsi="Calibri" w:cs="Calibri"/>
          <w:i/>
          <w:iCs/>
          <w:sz w:val="22"/>
          <w:szCs w:val="22"/>
        </w:rPr>
        <w:t xml:space="preserve"> J Fish Sci China</w:t>
      </w:r>
      <w:r>
        <w:rPr>
          <w:rFonts w:hint="default" w:ascii="Calibri" w:hAnsi="Calibri" w:cs="Calibri"/>
          <w:sz w:val="22"/>
          <w:szCs w:val="22"/>
        </w:rPr>
        <w:t xml:space="preserve">. 2022;29(6):834-42. </w:t>
      </w:r>
      <w:r>
        <w:rPr>
          <w:rStyle w:val="8"/>
          <w:rFonts w:hint="default" w:ascii="Calibri" w:hAnsi="Calibri" w:eastAsia="宋体" w:cs="Calibri"/>
          <w:sz w:val="22"/>
          <w:szCs w:val="22"/>
        </w:rPr>
        <w:t xml:space="preserve">DOI:10.12264/JFSC2021-0112 </w:t>
      </w:r>
    </w:p>
    <w:p w14:paraId="1E6172A3">
      <w:pPr>
        <w:numPr>
          <w:ilvl w:val="0"/>
          <w:numId w:val="1"/>
        </w:numPr>
        <w:ind w:left="425" w:leftChars="0" w:hanging="425" w:firstLineChars="0"/>
        <w:rPr>
          <w:rFonts w:hint="default" w:ascii="Calibri" w:hAnsi="Calibri" w:cs="Calibri"/>
          <w:sz w:val="22"/>
          <w:szCs w:val="22"/>
        </w:rPr>
      </w:pPr>
      <w:r>
        <w:rPr>
          <w:rFonts w:hint="default" w:ascii="Calibri" w:hAnsi="Calibri" w:cs="Calibri"/>
          <w:sz w:val="22"/>
          <w:szCs w:val="22"/>
        </w:rPr>
        <w:t>Liu M, Li X, Kong J, et al. Application of the liquid chip "Yellow Sea Chip No.1" in genetic evaluation of the base population with resistance to acute hepatopancreatic necrosis disease in</w:t>
      </w:r>
      <w:r>
        <w:rPr>
          <w:rFonts w:hint="default" w:ascii="Calibri" w:hAnsi="Calibri" w:cs="Calibri"/>
          <w:i/>
          <w:iCs/>
          <w:sz w:val="22"/>
          <w:szCs w:val="22"/>
        </w:rPr>
        <w:t xml:space="preserve"> Litopenaeus vannamei. J Fish China. </w:t>
      </w:r>
      <w:r>
        <w:rPr>
          <w:rFonts w:hint="default" w:ascii="Calibri" w:hAnsi="Calibri" w:cs="Calibri"/>
          <w:sz w:val="22"/>
          <w:szCs w:val="22"/>
        </w:rPr>
        <w:t xml:space="preserve">2023;47(1):019417.  </w:t>
      </w:r>
      <w:r>
        <w:rPr>
          <w:rStyle w:val="8"/>
          <w:rFonts w:hint="default" w:ascii="Calibri" w:hAnsi="Calibri" w:eastAsia="宋体" w:cs="Calibri"/>
          <w:sz w:val="22"/>
          <w:szCs w:val="22"/>
        </w:rPr>
        <w:t>DOI: 10.11964/jfc.20211013127</w:t>
      </w:r>
    </w:p>
    <w:p w14:paraId="5284E334">
      <w:pPr>
        <w:numPr>
          <w:ilvl w:val="0"/>
          <w:numId w:val="1"/>
        </w:numPr>
        <w:ind w:left="425" w:leftChars="0" w:hanging="425" w:firstLineChars="0"/>
        <w:rPr>
          <w:rFonts w:hint="default" w:ascii="Calibri" w:hAnsi="Calibri" w:cs="Calibri"/>
          <w:sz w:val="22"/>
          <w:szCs w:val="22"/>
        </w:rPr>
      </w:pPr>
      <w:r>
        <w:rPr>
          <w:rFonts w:hint="default" w:ascii="Calibri" w:hAnsi="Calibri" w:cs="Calibri"/>
          <w:sz w:val="22"/>
          <w:szCs w:val="22"/>
        </w:rPr>
        <w:t xml:space="preserve">Liu Y, Luan S, Liu M, et al. Genomic prediction accuracy analysis of AHPND resistance genome prediction in </w:t>
      </w:r>
      <w:r>
        <w:rPr>
          <w:rFonts w:hint="default" w:ascii="Calibri" w:hAnsi="Calibri" w:cs="Calibri"/>
          <w:i/>
          <w:iCs/>
          <w:sz w:val="22"/>
          <w:szCs w:val="22"/>
        </w:rPr>
        <w:t xml:space="preserve">Litopenaeus vannamei </w:t>
      </w:r>
      <w:r>
        <w:rPr>
          <w:rFonts w:hint="default" w:ascii="Calibri" w:hAnsi="Calibri" w:cs="Calibri"/>
          <w:sz w:val="22"/>
          <w:szCs w:val="22"/>
        </w:rPr>
        <w:t xml:space="preserve">using SNP panels with different densities. </w:t>
      </w:r>
      <w:r>
        <w:rPr>
          <w:rFonts w:hint="default" w:ascii="Calibri" w:hAnsi="Calibri" w:cs="Calibri"/>
          <w:i/>
          <w:iCs/>
          <w:sz w:val="22"/>
          <w:szCs w:val="22"/>
        </w:rPr>
        <w:t>J Fish China</w:t>
      </w:r>
      <w:r>
        <w:rPr>
          <w:rFonts w:hint="default" w:ascii="Calibri" w:hAnsi="Calibri" w:cs="Calibri"/>
          <w:sz w:val="22"/>
          <w:szCs w:val="22"/>
        </w:rPr>
        <w:t xml:space="preserve">. 2023;47(1):19612. </w:t>
      </w:r>
      <w:r>
        <w:rPr>
          <w:rStyle w:val="8"/>
          <w:rFonts w:hint="default" w:ascii="Calibri" w:hAnsi="Calibri" w:eastAsia="宋体" w:cs="Calibri"/>
          <w:sz w:val="22"/>
          <w:szCs w:val="22"/>
        </w:rPr>
        <w:t>DOI:10.11964/jfc.20221113779</w:t>
      </w:r>
    </w:p>
    <w:sectPr>
      <w:head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2A965">
    <w:pPr>
      <w:pStyle w:val="3"/>
      <w:bidi w:val="0"/>
      <w:rPr>
        <w:rFonts w:hint="default"/>
        <w:lang w:val="en-US" w:eastAsia="zh-CN"/>
      </w:rPr>
    </w:pPr>
    <w:r>
      <w:drawing>
        <wp:anchor distT="0" distB="0" distL="114300" distR="114300" simplePos="0" relativeHeight="251659264" behindDoc="0" locked="0" layoutInCell="1" allowOverlap="1">
          <wp:simplePos x="0" y="0"/>
          <wp:positionH relativeFrom="margin">
            <wp:posOffset>-810260</wp:posOffset>
          </wp:positionH>
          <wp:positionV relativeFrom="paragraph">
            <wp:posOffset>-456565</wp:posOffset>
          </wp:positionV>
          <wp:extent cx="1649730" cy="598805"/>
          <wp:effectExtent l="0" t="0" r="11430" b="10795"/>
          <wp:wrapNone/>
          <wp:docPr id="1" name="Picture 91337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9133783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649730" cy="598805"/>
                  </a:xfrm>
                  <a:prstGeom prst="rect">
                    <a:avLst/>
                  </a:prstGeom>
                  <a:noFill/>
                </pic:spPr>
              </pic:pic>
            </a:graphicData>
          </a:graphic>
        </wp:anchor>
      </w:drawing>
    </w:r>
    <w:r>
      <w:rPr>
        <w:sz w:val="18"/>
      </w:rPr>
      <mc:AlternateContent>
        <mc:Choice Requires="wps">
          <w:drawing>
            <wp:anchor distT="0" distB="0" distL="114300" distR="114300" simplePos="0" relativeHeight="251660288" behindDoc="0" locked="0" layoutInCell="1" allowOverlap="1">
              <wp:simplePos x="0" y="0"/>
              <wp:positionH relativeFrom="column">
                <wp:posOffset>-1172845</wp:posOffset>
              </wp:positionH>
              <wp:positionV relativeFrom="paragraph">
                <wp:posOffset>203835</wp:posOffset>
              </wp:positionV>
              <wp:extent cx="7620635" cy="37465"/>
              <wp:effectExtent l="0" t="15875" r="14605" b="22860"/>
              <wp:wrapNone/>
              <wp:docPr id="3" name="直接连接符 3"/>
              <wp:cNvGraphicFramePr/>
              <a:graphic xmlns:a="http://schemas.openxmlformats.org/drawingml/2006/main">
                <a:graphicData uri="http://schemas.microsoft.com/office/word/2010/wordprocessingShape">
                  <wps:wsp>
                    <wps:cNvCnPr/>
                    <wps:spPr>
                      <a:xfrm>
                        <a:off x="351155" y="861060"/>
                        <a:ext cx="7620635" cy="37465"/>
                      </a:xfrm>
                      <a:prstGeom prst="line">
                        <a:avLst/>
                      </a:prstGeom>
                      <a:ln w="31750">
                        <a:solidFill>
                          <a:srgbClr val="126249"/>
                        </a:solidFill>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92.35pt;margin-top:16.05pt;height:2.95pt;width:600.05pt;z-index:251660288;mso-width-relative:page;mso-height-relative:page;" filled="f" stroked="t" coordsize="21600,21600" o:gfxdata="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J06M4PaAAAACwEAAA8AAAAAAAAAAQAgAAAAIgAA&#10;AGRycy9kb3ducmV2LnhtbFBLAQIUABQAAAAIAIdO4kDQoQ2ZzQEAAG8DAAAOAAAAAAAAAAEAIAAA&#10;ACkBAABkcnMvZTJvRG9jLnhtbFBLBQYAAAAABgAGAFkBAABoBQAAAAA=&#10;">
              <v:fill on="f" focussize="0,0"/>
              <v:stroke weight="2.5pt" color="#126249"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7920E6"/>
    <w:multiLevelType w:val="singleLevel"/>
    <w:tmpl w:val="1A7920E6"/>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ED3D71"/>
    <w:rsid w:val="1D2B6122"/>
    <w:rsid w:val="23CF6ED0"/>
    <w:rsid w:val="37E07A80"/>
    <w:rsid w:val="3E7B5F79"/>
    <w:rsid w:val="42F37821"/>
    <w:rsid w:val="518317DA"/>
    <w:rsid w:val="5E1F0A7A"/>
    <w:rsid w:val="61B4487A"/>
    <w:rsid w:val="62970C2B"/>
    <w:rsid w:val="686504D6"/>
    <w:rsid w:val="741F20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Strong"/>
    <w:basedOn w:val="5"/>
    <w:qFormat/>
    <w:uiPriority w:val="0"/>
    <w:rPr>
      <w:b/>
    </w:rPr>
  </w:style>
  <w:style w:type="character" w:styleId="7">
    <w:name w:val="FollowedHyperlink"/>
    <w:basedOn w:val="5"/>
    <w:qFormat/>
    <w:uiPriority w:val="0"/>
    <w:rPr>
      <w:color w:val="800080"/>
      <w:u w:val="single"/>
    </w:rPr>
  </w:style>
  <w:style w:type="character" w:styleId="8">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230</Words>
  <Characters>1498</Characters>
  <Lines>0</Lines>
  <Paragraphs>0</Paragraphs>
  <TotalTime>3</TotalTime>
  <ScaleCrop>false</ScaleCrop>
  <LinksUpToDate>false</LinksUpToDate>
  <CharactersWithSpaces>1722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2024-11-27T09:35:00Z</dcterms:created>
  <dc:creator>16601</dc:creator>
  <cp:lastModifiedBy>Honey</cp:lastModifiedBy>
  <dcterms:modified xsi:type="dcterms:W3CDTF">2025-03-13T08:46:22Z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718E7EBBDB374BEA9087E8715F7A33BB_13</vt:lpwstr>
  </property>
  <property fmtid="{D5CDD505-2E9C-101B-9397-08002B2CF9AE}" pid="4" name="KSOTemplateDocerSaveRecord">
    <vt:lpwstr>eyJoZGlkIjoiYTM5MjEzOTRiY2Q0YzQ3YzM0ZDhiNzM4ZDI4YjgwY2IiLCJ1c2VySWQiOiI2NDI5MzMwMDIifQ==</vt:lpwstr>
  </property>
</Properties>
</file>