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LISTENING CHUYÊN ĐỀ GAP FILLING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https://www.ieltstutor.vn/blog/so-tay-tu-vung-bai-tap-ielts-listening-chuyen-de-gap-filling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nghe: https://www.ieltstutor.me/blog/listening-fill-in-the-blank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IELTS TUTOR đã chọn sẵn 25 từ tổng quan nhất từ bài transcript của đề listening, học viên chỉ cần hoàn thiện các ô trống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Bài sổ tay từ vựng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https://docs.google.com/document/d/1wcma8sevpqrkS6HbfDkZpYnuAhKcRIVF/edit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90"/>
        <w:gridCol w:w="1245"/>
        <w:gridCol w:w="1725"/>
        <w:gridCol w:w="1980"/>
        <w:gridCol w:w="1590"/>
        <w:gridCol w:w="1425"/>
        <w:gridCol w:w="1890"/>
        <w:tblGridChange w:id="0">
          <w:tblGrid>
            <w:gridCol w:w="690"/>
            <w:gridCol w:w="1470"/>
            <w:gridCol w:w="1590"/>
            <w:gridCol w:w="1245"/>
            <w:gridCol w:w="1725"/>
            <w:gridCol w:w="1980"/>
            <w:gridCol w:w="1590"/>
            <w:gridCol w:w="1425"/>
            <w:gridCol w:w="189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(có thể chọn từ hoặc cụm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 của từ / cụm đó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(đọc thêm về ứng dụng của youglish trong IELTS LISTENING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https://www.ieltstutor.me/blog/phan-mem-giup-tra-tu-cum-tu-ielts-speaking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nếu cả cụm không có trong youglish thì paste link từng từ - Sau khi paste link xong thì nhớ nghe 5 clip của mỗi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Phát âm (Ghi cụ thể phiên âm của từng từ, nếu học 1 cụm có 3 từ ghi phiên âm 3 từ của cụm đó)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 (tự viết ví dụ nhé, đừng copy từ điển)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 </w:t>
            </w:r>
          </w:p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(ghi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 (ghi 3 từ)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 (Đọc kĩ hướng dẫn về word form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https://www.ieltsdanang.vn/blog/word-form-trong-so-tay-tu-vung-nhu-the-nao-cho-dung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(tối thiểu 1 từ kèm từ loại)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Enquire the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https://youglish.com/pronounce/enquire%20/english?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0" w:firstLine="0"/>
              <w:jc w:val="left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https://youglish.com/pronounce/course/english?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color w:val="1d2a57"/>
              </w:rPr>
            </w:pPr>
            <w:r w:rsidDel="00000000" w:rsidR="00000000" w:rsidRPr="00000000">
              <w:rPr>
                <w:rFonts w:ascii="Arial" w:cs="Arial" w:eastAsia="Arial" w:hAnsi="Arial"/>
                <w:color w:val="1d2a57"/>
                <w:rtl w:val="0"/>
              </w:rPr>
              <w:t xml:space="preserve">/ɪnˈkwaɪr/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color w:val="1d2a57"/>
              </w:rPr>
            </w:pPr>
            <w:r w:rsidDel="00000000" w:rsidR="00000000" w:rsidRPr="00000000">
              <w:rPr>
                <w:rFonts w:ascii="Arial" w:cs="Arial" w:eastAsia="Arial" w:hAnsi="Arial"/>
                <w:color w:val="1d2a57"/>
                <w:rtl w:val="0"/>
              </w:rPr>
              <w:t xml:space="preserve">/kɔːrs/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hỏi thông tin về khoá học = ask for more information about the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Officials from around the country have called to inquire about the program / course.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inquire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Query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Certainty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Incurious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uninquiring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Enquiry (noun)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cooperatively</w:t>
            </w:r>
          </w:p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intrigue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equitable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unintended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suspend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irritably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Spiritually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coherent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adapt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undertake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mixture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Unaddressed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observation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civilisation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dietary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drastically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expelled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LISTENING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s://www.ieltsdanang.vn/blog/word-form-trong-so-tay-tu-vung-nhu-the-nao-cho-dung" TargetMode="External"/><Relationship Id="rId12" Type="http://schemas.openxmlformats.org/officeDocument/2006/relationships/hyperlink" Target="https://www.ieltstutor.me/blog/phan-mem-giup-tra-tu-cum-tu-ielts-speak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wcma8sevpqrkS6HbfDkZpYnuAhKcRIVF/edit" TargetMode="External"/><Relationship Id="rId15" Type="http://schemas.openxmlformats.org/officeDocument/2006/relationships/hyperlink" Target="https://youglish.com/pronounce/course/english?" TargetMode="External"/><Relationship Id="rId14" Type="http://schemas.openxmlformats.org/officeDocument/2006/relationships/hyperlink" Target="https://youglish.com/pronounce/enquire%20/english?" TargetMode="Externa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5uVML7OThzUlWvIIAh/fKqVv9w==">AMUW2mU4tePTY3/77FPByuwKP41ddMwpYYNnofOc3Pqf46npA6cxjdEdNVVO39WHYEeW5EypzMXiN6FZ8soe+KnQKmJZ7NfkDItKzs8EjWMP4z/+mNRqeU8=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